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CD591">
      <w:pPr>
        <w:spacing w:before="110" w:line="224" w:lineRule="auto"/>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7F2DA612">
      <w:pPr>
        <w:spacing w:line="289" w:lineRule="auto"/>
        <w:jc w:val="center"/>
      </w:pPr>
    </w:p>
    <w:p w14:paraId="43B4EB5D">
      <w:pPr>
        <w:spacing w:line="290" w:lineRule="auto"/>
        <w:jc w:val="center"/>
      </w:pPr>
    </w:p>
    <w:p w14:paraId="1F3FFBC4">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val="en-US" w:eastAsia="zh-CN"/>
        </w:rPr>
        <w:t>社保中心</w:t>
      </w:r>
      <w:r>
        <w:rPr>
          <w:rFonts w:hint="eastAsia" w:ascii="方正大标宋简体" w:hAnsi="Times New Roman" w:eastAsia="方正大标宋简体" w:cs="Times New Roman"/>
          <w:snapToGrid/>
          <w:kern w:val="2"/>
          <w:sz w:val="44"/>
          <w:szCs w:val="44"/>
        </w:rPr>
        <w:t>2024年部门预算</w:t>
      </w:r>
    </w:p>
    <w:p w14:paraId="6309F22F">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p>
    <w:p w14:paraId="7928DF8E">
      <w:pPr>
        <w:spacing w:line="334" w:lineRule="auto"/>
        <w:rPr>
          <w:rFonts w:eastAsia="宋体"/>
        </w:rPr>
      </w:pPr>
    </w:p>
    <w:p w14:paraId="3C226B05">
      <w:pPr>
        <w:widowControl w:val="0"/>
        <w:kinsoku/>
        <w:autoSpaceDE/>
        <w:autoSpaceDN/>
        <w:adjustRightInd/>
        <w:snapToGrid/>
        <w:jc w:val="center"/>
        <w:textAlignment w:val="auto"/>
        <w:rPr>
          <w:rFonts w:ascii="黑体" w:hAnsi="黑体" w:eastAsia="黑体" w:cs="黑体"/>
          <w:snapToGrid/>
          <w:kern w:val="2"/>
          <w:sz w:val="32"/>
          <w:szCs w:val="32"/>
        </w:rPr>
      </w:pPr>
    </w:p>
    <w:p w14:paraId="16F01A82">
      <w:pPr>
        <w:widowControl w:val="0"/>
        <w:kinsoku/>
        <w:autoSpaceDE/>
        <w:autoSpaceDN/>
        <w:adjustRightInd/>
        <w:snapToGrid/>
        <w:jc w:val="center"/>
        <w:textAlignment w:val="auto"/>
      </w:pPr>
      <w:r>
        <w:rPr>
          <w:rFonts w:hint="eastAsia" w:ascii="黑体" w:hAnsi="黑体" w:eastAsia="黑体" w:cs="黑体"/>
          <w:snapToGrid/>
          <w:kern w:val="2"/>
          <w:sz w:val="32"/>
          <w:szCs w:val="32"/>
        </w:rPr>
        <w:t>目    录</w:t>
      </w:r>
    </w:p>
    <w:p w14:paraId="7BF41A9A">
      <w:pPr>
        <w:spacing w:line="347" w:lineRule="auto"/>
      </w:pPr>
    </w:p>
    <w:p w14:paraId="4CAAEFC3">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概况</w:t>
      </w:r>
    </w:p>
    <w:p w14:paraId="3FFCAA7B">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48FB48E2">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38202EE2">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年部门预算表</w:t>
      </w:r>
    </w:p>
    <w:p w14:paraId="33E657E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5EE7E5E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49C8A27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220EA05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64F883A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6241D70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15972E6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3F09457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727A450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4CEFE72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10423A3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2364213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年部门预算情况说明</w:t>
      </w:r>
    </w:p>
    <w:p w14:paraId="5A094A2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一、2024年部门预算收支情况说明</w:t>
      </w:r>
    </w:p>
    <w:p w14:paraId="7509CE3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二、2024年"三公”经费预算情况说明</w:t>
      </w:r>
    </w:p>
    <w:p w14:paraId="19CDC17B">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60F4DAF"/>
    <w:p w14:paraId="2088CBE3"/>
    <w:p w14:paraId="6F67AFDE"/>
    <w:p w14:paraId="261FC95B"/>
    <w:p w14:paraId="6F64C83A"/>
    <w:p w14:paraId="4FC99543">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概况</w:t>
      </w:r>
    </w:p>
    <w:p w14:paraId="2DAF7F2D">
      <w:pPr>
        <w:spacing w:before="214"/>
        <w:rPr>
          <w:rFonts w:hint="eastAsia" w:ascii="楷体" w:hAnsi="楷体" w:eastAsia="楷体" w:cs="楷体"/>
          <w:b/>
          <w:bCs/>
          <w:spacing w:val="13"/>
          <w:sz w:val="32"/>
          <w:szCs w:val="32"/>
        </w:rPr>
      </w:pPr>
      <w:r>
        <w:rPr>
          <w:rFonts w:hint="eastAsia" w:ascii="楷体" w:hAnsi="楷体" w:eastAsia="楷体" w:cs="楷体"/>
          <w:b/>
          <w:bCs/>
          <w:spacing w:val="13"/>
          <w:sz w:val="32"/>
          <w:szCs w:val="32"/>
        </w:rPr>
        <w:t>一、部门主要职责</w:t>
      </w:r>
    </w:p>
    <w:p w14:paraId="3A96D527">
      <w:pPr>
        <w:pStyle w:val="3"/>
        <w:keepNext w:val="0"/>
        <w:keepLines w:val="0"/>
        <w:widowControl/>
        <w:suppressLineNumbers w:val="0"/>
        <w:spacing w:before="105" w:beforeAutospacing="0" w:after="105" w:afterAutospacing="0" w:line="30" w:lineRule="atLeast"/>
        <w:ind w:firstLine="644" w:firstLineChars="200"/>
        <w:rPr>
          <w:rFonts w:hint="eastAsia" w:ascii="楷体" w:hAnsi="楷体" w:eastAsia="楷体" w:cs="楷体"/>
          <w:snapToGrid w:val="0"/>
          <w:color w:val="000000"/>
          <w:spacing w:val="1"/>
          <w:kern w:val="0"/>
          <w:sz w:val="32"/>
          <w:szCs w:val="32"/>
          <w:lang w:val="en-US" w:eastAsia="zh-CN" w:bidi="ar-SA"/>
        </w:rPr>
      </w:pPr>
      <w:r>
        <w:rPr>
          <w:rFonts w:hint="eastAsia" w:ascii="楷体" w:hAnsi="楷体" w:eastAsia="楷体" w:cs="楷体"/>
          <w:snapToGrid w:val="0"/>
          <w:color w:val="000000"/>
          <w:spacing w:val="1"/>
          <w:kern w:val="0"/>
          <w:sz w:val="32"/>
          <w:szCs w:val="32"/>
          <w:lang w:val="en-US" w:eastAsia="zh-CN" w:bidi="ar-SA"/>
        </w:rPr>
        <w:t xml:space="preserve">负责企业基本养老保险、机关事业养老保险、工伤保险、城乡居民养老保险管理办法的实施。承担全县企业基本养老保险、机关事业养老保险、工伤保险、城乡居民养老保险业务经办事务；负责退休员工养老金的核定、审批，协同各部门做好退休人员社会化管理工作； 负责调动人员养老保险转移手续的办理；负责工伤待遇的核定和支付工作；承担全县企业基本养老保险、机关事业养老保险、工伤保险、城乡居民养老保险稽核工作； 负责全县参保人员的信息录入和档案管理工作； 承担社会保险信息统计汇总、上报工作；负责组织开展社会保险政策宣传、经办人员培训等工作；负责社保待遇基金拨付、社保基金收支统计与汇总，定期做好财务预决算的编制；承办县人力资源和社会保障局交办的其他工作。 </w:t>
      </w:r>
    </w:p>
    <w:p w14:paraId="797F1649">
      <w:pPr>
        <w:spacing w:before="214"/>
        <w:rPr>
          <w:rFonts w:hint="eastAsia" w:ascii="楷体" w:hAnsi="楷体" w:eastAsia="楷体" w:cs="楷体"/>
          <w:spacing w:val="13"/>
          <w:sz w:val="32"/>
          <w:szCs w:val="32"/>
        </w:rPr>
      </w:pPr>
    </w:p>
    <w:p w14:paraId="65491B4A">
      <w:pPr>
        <w:numPr>
          <w:ilvl w:val="0"/>
          <w:numId w:val="1"/>
        </w:numPr>
        <w:spacing w:before="214"/>
        <w:rPr>
          <w:rFonts w:hint="eastAsia" w:ascii="楷体" w:hAnsi="楷体" w:eastAsia="楷体" w:cs="楷体"/>
          <w:b/>
          <w:bCs/>
          <w:spacing w:val="13"/>
          <w:sz w:val="32"/>
          <w:szCs w:val="32"/>
        </w:rPr>
      </w:pPr>
      <w:r>
        <w:rPr>
          <w:rFonts w:hint="eastAsia" w:ascii="楷体" w:hAnsi="楷体" w:eastAsia="楷体" w:cs="楷体"/>
          <w:b/>
          <w:bCs/>
          <w:spacing w:val="13"/>
          <w:sz w:val="32"/>
          <w:szCs w:val="32"/>
        </w:rPr>
        <w:t>机构设置及人员情况</w:t>
      </w:r>
    </w:p>
    <w:p w14:paraId="66E25FE9">
      <w:pPr>
        <w:spacing w:line="580" w:lineRule="exact"/>
        <w:ind w:firstLine="629"/>
        <w:jc w:val="left"/>
        <w:rPr>
          <w:rFonts w:hint="default" w:asciiTheme="minorEastAsia" w:hAnsiTheme="minorEastAsia" w:eastAsiaTheme="minorEastAsia" w:cstheme="minorEastAsia"/>
          <w:spacing w:val="-2"/>
          <w:sz w:val="28"/>
          <w:szCs w:val="28"/>
          <w:lang w:val="en-US"/>
        </w:rPr>
      </w:pPr>
      <w:r>
        <w:rPr>
          <w:rFonts w:hint="eastAsia" w:asciiTheme="minorEastAsia" w:hAnsiTheme="minorEastAsia" w:eastAsiaTheme="minorEastAsia" w:cstheme="minorEastAsia"/>
          <w:spacing w:val="-2"/>
          <w:sz w:val="28"/>
          <w:szCs w:val="28"/>
        </w:rPr>
        <w:t xml:space="preserve">纳入本部门预算汇编范围的单位共 </w:t>
      </w:r>
      <w:r>
        <w:rPr>
          <w:rFonts w:hint="eastAsia" w:asciiTheme="minorEastAsia" w:hAnsiTheme="minorEastAsia" w:eastAsiaTheme="minorEastAsia" w:cstheme="minorEastAsia"/>
          <w:spacing w:val="-2"/>
          <w:sz w:val="28"/>
          <w:szCs w:val="28"/>
          <w:lang w:val="en-US" w:eastAsia="zh-CN"/>
        </w:rPr>
        <w:t>1</w:t>
      </w:r>
      <w:r>
        <w:rPr>
          <w:rFonts w:hint="eastAsia" w:asciiTheme="minorEastAsia" w:hAnsiTheme="minorEastAsia" w:eastAsiaTheme="minorEastAsia" w:cstheme="minorEastAsia"/>
          <w:spacing w:val="-2"/>
          <w:sz w:val="28"/>
          <w:szCs w:val="28"/>
        </w:rPr>
        <w:t xml:space="preserve"> 个，包括：</w:t>
      </w:r>
      <w:r>
        <w:rPr>
          <w:rFonts w:hint="eastAsia" w:asciiTheme="minorEastAsia" w:hAnsiTheme="minorEastAsia" w:eastAsiaTheme="minorEastAsia" w:cstheme="minorEastAsia"/>
          <w:spacing w:val="-2"/>
          <w:sz w:val="28"/>
          <w:szCs w:val="28"/>
          <w:lang w:eastAsia="zh-CN"/>
        </w:rPr>
        <w:t>浮梁县社会事业</w:t>
      </w:r>
      <w:r>
        <w:rPr>
          <w:rFonts w:hint="eastAsia" w:asciiTheme="minorEastAsia" w:hAnsiTheme="minorEastAsia" w:eastAsiaTheme="minorEastAsia" w:cstheme="minorEastAsia"/>
          <w:spacing w:val="-2"/>
          <w:sz w:val="28"/>
          <w:szCs w:val="28"/>
          <w:lang w:val="en-US" w:eastAsia="zh-CN"/>
        </w:rPr>
        <w:t>保险事业服务中心。</w:t>
      </w:r>
    </w:p>
    <w:p w14:paraId="208D6267">
      <w:pPr>
        <w:spacing w:line="580" w:lineRule="exact"/>
        <w:ind w:firstLine="629"/>
        <w:jc w:val="left"/>
        <w:rPr>
          <w:rFonts w:ascii="仿宋" w:hAnsi="仿宋" w:eastAsia="仿宋" w:cs="仿宋"/>
          <w:spacing w:val="-9"/>
          <w:sz w:val="32"/>
          <w:szCs w:val="32"/>
        </w:rPr>
      </w:pPr>
      <w:r>
        <w:rPr>
          <w:rFonts w:hint="eastAsia" w:asciiTheme="minorEastAsia" w:hAnsiTheme="minorEastAsia" w:eastAsiaTheme="minorEastAsia" w:cstheme="minorEastAsia"/>
          <w:spacing w:val="-2"/>
          <w:sz w:val="28"/>
          <w:szCs w:val="28"/>
        </w:rPr>
        <w:t>本部门20</w:t>
      </w:r>
      <w:r>
        <w:rPr>
          <w:rFonts w:hint="eastAsia" w:asciiTheme="minorEastAsia" w:hAnsiTheme="minorEastAsia" w:eastAsiaTheme="minorEastAsia" w:cstheme="minorEastAsia"/>
          <w:spacing w:val="-2"/>
          <w:sz w:val="28"/>
          <w:szCs w:val="28"/>
          <w:lang w:val="en-US" w:eastAsia="zh-CN"/>
        </w:rPr>
        <w:t>23</w:t>
      </w:r>
      <w:r>
        <w:rPr>
          <w:rFonts w:hint="eastAsia" w:asciiTheme="minorEastAsia" w:hAnsiTheme="minorEastAsia" w:eastAsiaTheme="minorEastAsia" w:cstheme="minorEastAsia"/>
          <w:spacing w:val="-2"/>
          <w:sz w:val="28"/>
          <w:szCs w:val="28"/>
        </w:rPr>
        <w:t xml:space="preserve">年年末编制人数 </w:t>
      </w:r>
      <w:r>
        <w:rPr>
          <w:rFonts w:hint="eastAsia" w:asciiTheme="minorEastAsia" w:hAnsiTheme="minorEastAsia" w:eastAsiaTheme="minorEastAsia" w:cstheme="minorEastAsia"/>
          <w:spacing w:val="-2"/>
          <w:sz w:val="28"/>
          <w:szCs w:val="28"/>
          <w:lang w:val="en-US" w:eastAsia="zh-CN"/>
        </w:rPr>
        <w:t>28</w:t>
      </w:r>
      <w:r>
        <w:rPr>
          <w:rFonts w:hint="eastAsia" w:asciiTheme="minorEastAsia" w:hAnsiTheme="minorEastAsia" w:eastAsiaTheme="minorEastAsia" w:cstheme="minorEastAsia"/>
          <w:spacing w:val="-2"/>
          <w:sz w:val="28"/>
          <w:szCs w:val="28"/>
        </w:rPr>
        <w:t>人</w:t>
      </w:r>
      <w:r>
        <w:rPr>
          <w:rFonts w:hint="eastAsia" w:asciiTheme="minorEastAsia" w:hAnsiTheme="minorEastAsia" w:eastAsiaTheme="minorEastAsia" w:cstheme="minorEastAsia"/>
          <w:spacing w:val="-2"/>
          <w:sz w:val="28"/>
          <w:szCs w:val="28"/>
          <w:lang w:eastAsia="zh-CN"/>
        </w:rPr>
        <w:t>。</w:t>
      </w:r>
      <w:r>
        <w:rPr>
          <w:rFonts w:hint="eastAsia" w:asciiTheme="minorEastAsia" w:hAnsiTheme="minorEastAsia" w:eastAsiaTheme="minorEastAsia" w:cstheme="minorEastAsia"/>
          <w:spacing w:val="-2"/>
          <w:sz w:val="28"/>
          <w:szCs w:val="28"/>
        </w:rPr>
        <w:t xml:space="preserve">其中行政编制 </w:t>
      </w:r>
      <w:r>
        <w:rPr>
          <w:rFonts w:hint="eastAsia" w:asciiTheme="minorEastAsia" w:hAnsiTheme="minorEastAsia" w:eastAsiaTheme="minorEastAsia" w:cstheme="minorEastAsia"/>
          <w:spacing w:val="-2"/>
          <w:sz w:val="28"/>
          <w:szCs w:val="28"/>
          <w:lang w:val="en-US" w:eastAsia="zh-CN"/>
        </w:rPr>
        <w:t>0</w:t>
      </w:r>
      <w:r>
        <w:rPr>
          <w:rFonts w:hint="eastAsia" w:asciiTheme="minorEastAsia" w:hAnsiTheme="minorEastAsia" w:eastAsiaTheme="minorEastAsia" w:cstheme="minorEastAsia"/>
          <w:spacing w:val="-2"/>
          <w:sz w:val="28"/>
          <w:szCs w:val="28"/>
        </w:rPr>
        <w:t xml:space="preserve"> 人，事业编制 </w:t>
      </w:r>
      <w:r>
        <w:rPr>
          <w:rFonts w:hint="eastAsia" w:asciiTheme="minorEastAsia" w:hAnsiTheme="minorEastAsia" w:eastAsiaTheme="minorEastAsia" w:cstheme="minorEastAsia"/>
          <w:spacing w:val="-2"/>
          <w:sz w:val="28"/>
          <w:szCs w:val="28"/>
          <w:lang w:val="en-US" w:eastAsia="zh-CN"/>
        </w:rPr>
        <w:t>28</w:t>
      </w:r>
      <w:r>
        <w:rPr>
          <w:rFonts w:hint="eastAsia" w:asciiTheme="minorEastAsia" w:hAnsiTheme="minorEastAsia" w:eastAsiaTheme="minorEastAsia" w:cstheme="minorEastAsia"/>
          <w:spacing w:val="-2"/>
          <w:sz w:val="28"/>
          <w:szCs w:val="28"/>
        </w:rPr>
        <w:t xml:space="preserve">人；年末实有人数 </w:t>
      </w:r>
      <w:r>
        <w:rPr>
          <w:rFonts w:hint="eastAsia" w:asciiTheme="minorEastAsia" w:hAnsiTheme="minorEastAsia" w:eastAsiaTheme="minorEastAsia" w:cstheme="minorEastAsia"/>
          <w:spacing w:val="-2"/>
          <w:sz w:val="28"/>
          <w:szCs w:val="28"/>
          <w:lang w:val="en-US" w:eastAsia="zh-CN"/>
        </w:rPr>
        <w:t>31</w:t>
      </w:r>
      <w:r>
        <w:rPr>
          <w:rFonts w:hint="eastAsia" w:asciiTheme="minorEastAsia" w:hAnsiTheme="minorEastAsia" w:eastAsiaTheme="minorEastAsia" w:cstheme="minorEastAsia"/>
          <w:spacing w:val="-2"/>
          <w:sz w:val="28"/>
          <w:szCs w:val="28"/>
        </w:rPr>
        <w:t>人，其中在职人员</w:t>
      </w:r>
      <w:r>
        <w:rPr>
          <w:rFonts w:hint="eastAsia" w:asciiTheme="minorEastAsia" w:hAnsiTheme="minorEastAsia" w:eastAsiaTheme="minorEastAsia" w:cstheme="minorEastAsia"/>
          <w:spacing w:val="-2"/>
          <w:sz w:val="28"/>
          <w:szCs w:val="28"/>
          <w:lang w:val="en-US" w:eastAsia="zh-CN"/>
        </w:rPr>
        <w:t>25</w:t>
      </w:r>
      <w:r>
        <w:rPr>
          <w:rFonts w:hint="eastAsia" w:asciiTheme="minorEastAsia" w:hAnsiTheme="minorEastAsia" w:eastAsiaTheme="minorEastAsia" w:cstheme="minorEastAsia"/>
          <w:spacing w:val="-2"/>
          <w:sz w:val="28"/>
          <w:szCs w:val="28"/>
        </w:rPr>
        <w:t xml:space="preserve">人，离休人员 </w:t>
      </w:r>
      <w:r>
        <w:rPr>
          <w:rFonts w:hint="eastAsia" w:asciiTheme="minorEastAsia" w:hAnsiTheme="minorEastAsia" w:eastAsiaTheme="minorEastAsia" w:cstheme="minorEastAsia"/>
          <w:spacing w:val="-2"/>
          <w:sz w:val="28"/>
          <w:szCs w:val="28"/>
          <w:lang w:val="en-US" w:eastAsia="zh-CN"/>
        </w:rPr>
        <w:t>0</w:t>
      </w:r>
      <w:r>
        <w:rPr>
          <w:rFonts w:hint="eastAsia" w:asciiTheme="minorEastAsia" w:hAnsiTheme="minorEastAsia" w:eastAsiaTheme="minorEastAsia" w:cstheme="minorEastAsia"/>
          <w:spacing w:val="-2"/>
          <w:sz w:val="28"/>
          <w:szCs w:val="28"/>
        </w:rPr>
        <w:t xml:space="preserve"> 人，退休人员 </w:t>
      </w:r>
      <w:r>
        <w:rPr>
          <w:rFonts w:hint="eastAsia" w:asciiTheme="minorEastAsia" w:hAnsiTheme="minorEastAsia" w:eastAsiaTheme="minorEastAsia" w:cstheme="minorEastAsia"/>
          <w:spacing w:val="-2"/>
          <w:sz w:val="28"/>
          <w:szCs w:val="28"/>
          <w:lang w:val="en-US" w:eastAsia="zh-CN"/>
        </w:rPr>
        <w:t>6</w:t>
      </w:r>
      <w:r>
        <w:rPr>
          <w:rFonts w:hint="eastAsia" w:asciiTheme="minorEastAsia" w:hAnsiTheme="minorEastAsia" w:eastAsiaTheme="minorEastAsia" w:cstheme="minorEastAsia"/>
          <w:spacing w:val="-2"/>
          <w:sz w:val="28"/>
          <w:szCs w:val="28"/>
        </w:rPr>
        <w:t xml:space="preserve">人；年末学生人数 </w:t>
      </w:r>
      <w:r>
        <w:rPr>
          <w:rFonts w:hint="eastAsia" w:asciiTheme="minorEastAsia" w:hAnsiTheme="minorEastAsia" w:eastAsiaTheme="minorEastAsia" w:cstheme="minorEastAsia"/>
          <w:spacing w:val="-2"/>
          <w:sz w:val="28"/>
          <w:szCs w:val="28"/>
          <w:lang w:val="en-US" w:eastAsia="zh-CN"/>
        </w:rPr>
        <w:t>0</w:t>
      </w:r>
      <w:r>
        <w:rPr>
          <w:rFonts w:hint="eastAsia" w:asciiTheme="minorEastAsia" w:hAnsiTheme="minorEastAsia" w:eastAsiaTheme="minorEastAsia" w:cstheme="minorEastAsia"/>
          <w:spacing w:val="-2"/>
          <w:sz w:val="28"/>
          <w:szCs w:val="28"/>
        </w:rPr>
        <w:t xml:space="preserve"> 人。</w:t>
      </w:r>
    </w:p>
    <w:p w14:paraId="0341DD14">
      <w:pPr>
        <w:numPr>
          <w:ilvl w:val="0"/>
          <w:numId w:val="0"/>
        </w:numPr>
        <w:kinsoku w:val="0"/>
        <w:autoSpaceDE w:val="0"/>
        <w:autoSpaceDN w:val="0"/>
        <w:adjustRightInd w:val="0"/>
        <w:snapToGrid w:val="0"/>
        <w:spacing w:before="214"/>
        <w:textAlignment w:val="baseline"/>
        <w:rPr>
          <w:rFonts w:hint="eastAsia" w:ascii="楷体" w:hAnsi="楷体" w:eastAsia="楷体" w:cs="楷体"/>
          <w:b/>
          <w:bCs/>
          <w:spacing w:val="13"/>
          <w:sz w:val="32"/>
          <w:szCs w:val="32"/>
        </w:rPr>
      </w:pPr>
    </w:p>
    <w:p w14:paraId="096370B6">
      <w:pPr>
        <w:numPr>
          <w:ilvl w:val="0"/>
          <w:numId w:val="0"/>
        </w:numPr>
        <w:kinsoku w:val="0"/>
        <w:autoSpaceDE w:val="0"/>
        <w:autoSpaceDN w:val="0"/>
        <w:adjustRightInd w:val="0"/>
        <w:snapToGrid w:val="0"/>
        <w:spacing w:before="214"/>
        <w:textAlignment w:val="baseline"/>
        <w:rPr>
          <w:rFonts w:hint="eastAsia" w:ascii="楷体" w:hAnsi="楷体" w:eastAsia="楷体" w:cs="楷体"/>
          <w:b/>
          <w:bCs/>
          <w:spacing w:val="13"/>
          <w:sz w:val="32"/>
          <w:szCs w:val="32"/>
        </w:rPr>
      </w:pPr>
    </w:p>
    <w:p w14:paraId="284F6629">
      <w:pPr>
        <w:numPr>
          <w:ilvl w:val="0"/>
          <w:numId w:val="0"/>
        </w:numPr>
        <w:kinsoku w:val="0"/>
        <w:autoSpaceDE w:val="0"/>
        <w:autoSpaceDN w:val="0"/>
        <w:adjustRightInd w:val="0"/>
        <w:snapToGrid w:val="0"/>
        <w:spacing w:before="214"/>
        <w:textAlignment w:val="baseline"/>
        <w:rPr>
          <w:rFonts w:hint="eastAsia" w:ascii="楷体" w:hAnsi="楷体" w:eastAsia="楷体" w:cs="楷体"/>
          <w:b/>
          <w:bCs/>
          <w:spacing w:val="13"/>
          <w:sz w:val="32"/>
          <w:szCs w:val="32"/>
        </w:rPr>
      </w:pPr>
    </w:p>
    <w:p w14:paraId="59981915">
      <w:pPr>
        <w:spacing w:before="3"/>
        <w:ind w:right="52"/>
        <w:rPr>
          <w:rFonts w:ascii="仿宋" w:hAnsi="仿宋" w:eastAsia="仿宋" w:cs="仿宋"/>
          <w:spacing w:val="-9"/>
          <w:sz w:val="32"/>
          <w:szCs w:val="32"/>
        </w:rPr>
      </w:pPr>
    </w:p>
    <w:p w14:paraId="68CEA360"/>
    <w:p w14:paraId="0946B67B">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年部门预算表</w:t>
      </w:r>
    </w:p>
    <w:p w14:paraId="5E7496C1">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75C7E28D">
      <w:pPr>
        <w:spacing w:before="215"/>
        <w:ind w:firstLine="3550"/>
        <w:rPr>
          <w:rFonts w:ascii="仿宋" w:hAnsi="仿宋" w:eastAsia="仿宋" w:cs="仿宋"/>
          <w:spacing w:val="17"/>
          <w:sz w:val="32"/>
          <w:szCs w:val="32"/>
        </w:rPr>
      </w:pPr>
    </w:p>
    <w:p w14:paraId="0A6265CE"/>
    <w:p w14:paraId="2E949CFF">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val="en-US" w:eastAsia="zh-CN"/>
        </w:rPr>
        <w:t>社保中心</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年部门预算情况说明</w:t>
      </w:r>
    </w:p>
    <w:p w14:paraId="1FD6BAD5">
      <w:pPr>
        <w:spacing w:before="214"/>
        <w:rPr>
          <w:rFonts w:hint="eastAsia" w:ascii="楷体" w:hAnsi="楷体" w:eastAsia="楷体" w:cs="楷体"/>
          <w:spacing w:val="13"/>
          <w:sz w:val="32"/>
          <w:szCs w:val="32"/>
        </w:rPr>
      </w:pPr>
    </w:p>
    <w:p w14:paraId="5BCDF42A">
      <w:pPr>
        <w:spacing w:before="214"/>
        <w:rPr>
          <w:rFonts w:ascii="楷体" w:hAnsi="楷体" w:eastAsia="楷体" w:cs="楷体"/>
          <w:spacing w:val="13"/>
          <w:sz w:val="32"/>
          <w:szCs w:val="32"/>
        </w:rPr>
      </w:pPr>
      <w:r>
        <w:rPr>
          <w:rFonts w:hint="eastAsia" w:ascii="楷体" w:hAnsi="楷体" w:eastAsia="楷体" w:cs="楷体"/>
          <w:spacing w:val="13"/>
          <w:sz w:val="32"/>
          <w:szCs w:val="32"/>
        </w:rPr>
        <w:t>一、2024年部门预算收支情况说明</w:t>
      </w:r>
    </w:p>
    <w:p w14:paraId="7F283FB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p w14:paraId="4ED360C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344DB1B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说明部门收入预算总额和结构，较上年预算安排的增(减)变化。</w:t>
      </w:r>
    </w:p>
    <w:p w14:paraId="3953EBB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本年收入预算5957.71万元，财政拨款5957.71万元。上年财政拨款预算6335万元，减少377.29万元，对比上年下降6%。</w:t>
      </w:r>
    </w:p>
    <w:p w14:paraId="7B56C55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p w14:paraId="73C8117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619EB8C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说明部门支出预算总额并按资金性质、功能分类和经济分类分别说明支出的金额和结构，较上年预算安排的增(减)变化。</w:t>
      </w:r>
    </w:p>
    <w:p w14:paraId="0920E7C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本年支出预算5957.71万元，人员类336.24万元，公用经费27万元，项目5594.47万元。上年支出预算6335万元，减少377.29万元，对比上年下降6%。</w:t>
      </w:r>
    </w:p>
    <w:p w14:paraId="50FB8A2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p w14:paraId="0FC6497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69DA86F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说明部门财政拨款支出预算数，较上年预算安排的增(减)变化。</w:t>
      </w:r>
    </w:p>
    <w:p w14:paraId="3048A7B1">
      <w:pPr>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本年财政拨款支出预算数5957.71万元，人员类336.24万元，公用经费27万元，项目5594.47万元。对比上年下降6%。</w:t>
      </w:r>
    </w:p>
    <w:p w14:paraId="20905EF3">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rPr>
      </w:pPr>
    </w:p>
    <w:p w14:paraId="0CC245F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4A11C83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说明部门政府性基金支出总额，以及支出的结构和金额，较上年预算安排的增(减)变化。如无，则说明没有使用政府性基金预算拨款安排的支出。</w:t>
      </w:r>
    </w:p>
    <w:p w14:paraId="4E0A851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没有使用政府性基金预算拨款安排的支出</w:t>
      </w:r>
      <w:r>
        <w:rPr>
          <w:rFonts w:hint="eastAsia" w:ascii="仿宋_GB2312" w:hAnsi="Times New Roman" w:eastAsia="仿宋_GB2312" w:cs="Times New Roman"/>
          <w:snapToGrid/>
          <w:kern w:val="2"/>
          <w:sz w:val="32"/>
          <w:szCs w:val="32"/>
          <w:lang w:eastAsia="zh-CN"/>
        </w:rPr>
        <w:t>。</w:t>
      </w:r>
    </w:p>
    <w:p w14:paraId="4DF1C96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444A78B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说明国有资本经营预算支出总额，以及支出的结构和金额，较上年预算安排的增(减)变化。如无，则说明没有使用国有资本经营预算拨款安排的支出。</w:t>
      </w:r>
    </w:p>
    <w:p w14:paraId="60EA96E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没有使用国有资本经营预算拨款安排的支出。</w:t>
      </w:r>
    </w:p>
    <w:p w14:paraId="333CC830">
      <w:pPr>
        <w:widowControl w:val="0"/>
        <w:numPr>
          <w:ilvl w:val="0"/>
          <w:numId w:val="2"/>
        </w:numPr>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机关运行经费等重要事项的说明</w:t>
      </w:r>
    </w:p>
    <w:p w14:paraId="2950782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2024年部门机关运行费预算</w:t>
      </w:r>
      <w:r>
        <w:rPr>
          <w:rFonts w:hint="eastAsia" w:ascii="仿宋_GB2312" w:hAnsi="Times New Roman" w:eastAsia="仿宋_GB2312" w:cs="Times New Roman"/>
          <w:snapToGrid/>
          <w:kern w:val="2"/>
          <w:sz w:val="32"/>
          <w:szCs w:val="32"/>
          <w:lang w:val="en-US" w:eastAsia="zh-CN"/>
        </w:rPr>
        <w:t>27</w:t>
      </w:r>
      <w:r>
        <w:rPr>
          <w:rFonts w:hint="eastAsia" w:ascii="仿宋_GB2312" w:hAnsi="Times New Roman" w:eastAsia="仿宋_GB2312" w:cs="Times New Roman"/>
          <w:snapToGrid/>
          <w:kern w:val="2"/>
          <w:sz w:val="32"/>
          <w:szCs w:val="32"/>
        </w:rPr>
        <w:t>万元，比2023年预算增加</w:t>
      </w:r>
      <w:r>
        <w:rPr>
          <w:rFonts w:hint="eastAsia" w:ascii="仿宋_GB2312" w:hAnsi="Times New Roman" w:eastAsia="仿宋_GB2312" w:cs="Times New Roman"/>
          <w:snapToGrid/>
          <w:kern w:val="2"/>
          <w:sz w:val="32"/>
          <w:szCs w:val="32"/>
          <w:lang w:val="en-US" w:eastAsia="zh-CN"/>
        </w:rPr>
        <w:t>9.37</w:t>
      </w:r>
      <w:r>
        <w:rPr>
          <w:rFonts w:hint="eastAsia" w:ascii="仿宋_GB2312" w:hAnsi="Times New Roman" w:eastAsia="仿宋_GB2312" w:cs="Times New Roman"/>
          <w:snapToGrid/>
          <w:kern w:val="2"/>
          <w:sz w:val="32"/>
          <w:szCs w:val="32"/>
        </w:rPr>
        <w:t>万元，增长</w:t>
      </w:r>
      <w:r>
        <w:rPr>
          <w:rFonts w:hint="eastAsia" w:ascii="仿宋_GB2312" w:hAnsi="Times New Roman" w:eastAsia="仿宋_GB2312" w:cs="Times New Roman"/>
          <w:snapToGrid/>
          <w:kern w:val="2"/>
          <w:sz w:val="32"/>
          <w:szCs w:val="32"/>
          <w:lang w:val="en-US" w:eastAsia="zh-CN"/>
        </w:rPr>
        <w:t>53</w:t>
      </w:r>
      <w:r>
        <w:rPr>
          <w:rFonts w:hint="eastAsia" w:ascii="仿宋_GB2312" w:hAnsi="Times New Roman" w:eastAsia="仿宋_GB2312" w:cs="Times New Roman"/>
          <w:snapToGrid/>
          <w:kern w:val="2"/>
          <w:sz w:val="32"/>
          <w:szCs w:val="32"/>
        </w:rPr>
        <w:t>%。</w:t>
      </w:r>
    </w:p>
    <w:p w14:paraId="64854F3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6620C36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2024年部门所属各单位政府采购总额</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18720E2B">
      <w:pPr>
        <w:widowControl w:val="0"/>
        <w:kinsoku/>
        <w:autoSpaceDE/>
        <w:autoSpaceDN/>
        <w:adjustRightInd/>
        <w:snapToGrid/>
        <w:ind w:firstLine="320" w:firstLineChars="1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5B60220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截至2023年12月31日，部门共有车辆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辆，其中，一般公务用车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p>
    <w:p w14:paraId="24D56AE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2024年部门预算安排购置车辆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辆，安排购置单位价值200万元以上大型设备具体为:</w:t>
      </w:r>
      <w:r>
        <w:rPr>
          <w:rFonts w:hint="eastAsia" w:ascii="仿宋_GB2312" w:hAnsi="Times New Roman" w:eastAsia="仿宋_GB2312" w:cs="Times New Roman"/>
          <w:snapToGrid/>
          <w:kern w:val="2"/>
          <w:sz w:val="32"/>
          <w:szCs w:val="32"/>
          <w:lang w:val="en-US" w:eastAsia="zh-CN"/>
        </w:rPr>
        <w:t>无。</w:t>
      </w:r>
    </w:p>
    <w:p w14:paraId="58FAC29A">
      <w:pPr>
        <w:widowControl w:val="0"/>
        <w:kinsoku/>
        <w:autoSpaceDE/>
        <w:autoSpaceDN/>
        <w:adjustRightInd/>
        <w:snapToGrid/>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(九)项目情况说明</w:t>
      </w:r>
    </w:p>
    <w:p w14:paraId="1EA0423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w:t>
      </w:r>
      <w:r>
        <w:rPr>
          <w:rFonts w:hint="eastAsia" w:ascii="仿宋_GB2312" w:hAnsi="Times New Roman" w:eastAsia="仿宋_GB2312" w:cs="Times New Roman"/>
          <w:snapToGrid/>
          <w:kern w:val="2"/>
          <w:sz w:val="32"/>
          <w:szCs w:val="32"/>
          <w:lang w:val="en-US" w:eastAsia="zh-CN"/>
        </w:rPr>
        <w:t>助保贷</w:t>
      </w:r>
      <w:r>
        <w:rPr>
          <w:rFonts w:hint="eastAsia" w:ascii="仿宋_GB2312" w:hAnsi="Times New Roman" w:eastAsia="仿宋_GB2312" w:cs="Times New Roman"/>
          <w:snapToGrid/>
          <w:kern w:val="2"/>
          <w:sz w:val="32"/>
          <w:szCs w:val="32"/>
        </w:rPr>
        <w:t>项目项目</w:t>
      </w:r>
    </w:p>
    <w:p w14:paraId="356DB45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对困难人员提供贷款贴息补贴</w:t>
      </w:r>
    </w:p>
    <w:p w14:paraId="01476D2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val="en-US" w:eastAsia="zh-CN"/>
        </w:rPr>
        <w:t>:助保贷</w:t>
      </w:r>
      <w:r>
        <w:rPr>
          <w:rFonts w:hint="eastAsia" w:ascii="仿宋_GB2312" w:hAnsi="Times New Roman" w:eastAsia="仿宋_GB2312" w:cs="Times New Roman"/>
          <w:snapToGrid/>
          <w:kern w:val="2"/>
          <w:sz w:val="32"/>
          <w:szCs w:val="32"/>
        </w:rPr>
        <w:t>项目</w:t>
      </w:r>
    </w:p>
    <w:p w14:paraId="2F7F4E8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val="en-US" w:eastAsia="zh-CN"/>
        </w:rPr>
        <w:t>:浮梁社保中心</w:t>
      </w:r>
    </w:p>
    <w:p w14:paraId="546C765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val="en-US" w:eastAsia="zh-CN"/>
        </w:rPr>
        <w:t>:对困难人员提供贷款贴息补贴</w:t>
      </w:r>
    </w:p>
    <w:p w14:paraId="123EF9F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:一年</w:t>
      </w:r>
    </w:p>
    <w:p w14:paraId="4CF83C9F">
      <w:pPr>
        <w:ind w:firstLine="640" w:firstLineChars="200"/>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val="en-US" w:eastAsia="zh-CN"/>
        </w:rPr>
        <w:t>:2万元</w:t>
      </w:r>
    </w:p>
    <w:p w14:paraId="0DEB383C">
      <w:pPr>
        <w:ind w:firstLine="640" w:firstLineChars="200"/>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val="en-US" w:eastAsia="zh-CN"/>
        </w:rPr>
        <w:t>:保证困难人员正常参保。</w:t>
      </w:r>
    </w:p>
    <w:p w14:paraId="126E218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p>
    <w:p w14:paraId="5C83832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w:t>
      </w:r>
      <w:r>
        <w:rPr>
          <w:rFonts w:hint="eastAsia" w:ascii="仿宋_GB2312" w:hAnsi="Times New Roman" w:eastAsia="仿宋_GB2312" w:cs="Times New Roman"/>
          <w:snapToGrid/>
          <w:kern w:val="2"/>
          <w:sz w:val="32"/>
          <w:szCs w:val="32"/>
          <w:lang w:val="en-US" w:eastAsia="zh-CN"/>
        </w:rPr>
        <w:t>发放被征地农民生活补助金</w:t>
      </w:r>
      <w:r>
        <w:rPr>
          <w:rFonts w:hint="eastAsia" w:ascii="仿宋_GB2312" w:hAnsi="Times New Roman" w:eastAsia="仿宋_GB2312" w:cs="Times New Roman"/>
          <w:snapToGrid/>
          <w:kern w:val="2"/>
          <w:sz w:val="32"/>
          <w:szCs w:val="32"/>
        </w:rPr>
        <w:t>项目项目</w:t>
      </w:r>
    </w:p>
    <w:p w14:paraId="41F504D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发放被征地农民生活补助金</w:t>
      </w:r>
    </w:p>
    <w:p w14:paraId="0B49153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val="en-US" w:eastAsia="zh-CN"/>
        </w:rPr>
        <w:t>:浮府发〔2004〕46号</w:t>
      </w:r>
    </w:p>
    <w:p w14:paraId="011F1D4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val="en-US" w:eastAsia="zh-CN"/>
        </w:rPr>
        <w:t>:浮梁社保中心</w:t>
      </w:r>
    </w:p>
    <w:p w14:paraId="1CDDBC6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val="en-US" w:eastAsia="zh-CN"/>
        </w:rPr>
        <w:t>:每月发放被征地农民生活补助金</w:t>
      </w:r>
    </w:p>
    <w:p w14:paraId="0B652AF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:一年</w:t>
      </w:r>
    </w:p>
    <w:p w14:paraId="5B08DEDF">
      <w:pPr>
        <w:ind w:firstLine="640" w:firstLineChars="200"/>
        <w:rPr>
          <w:rFonts w:hint="default" w:eastAsia="仿宋_GB231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2790万元</w:t>
      </w:r>
    </w:p>
    <w:p w14:paraId="46EEA7DA">
      <w:pPr>
        <w:ind w:firstLine="640" w:firstLineChars="200"/>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val="en-US" w:eastAsia="zh-CN"/>
        </w:rPr>
        <w:t>:足额及时发放被征地农民生活补助金</w:t>
      </w:r>
    </w:p>
    <w:p w14:paraId="1958C54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14:paraId="4EB3DF6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机关事业单位基本养老保险缴费（上线准备期欠缴资金）</w:t>
      </w:r>
      <w:r>
        <w:rPr>
          <w:rFonts w:hint="eastAsia" w:ascii="仿宋_GB2312" w:hAnsi="Times New Roman" w:eastAsia="仿宋_GB2312" w:cs="Times New Roman"/>
          <w:snapToGrid/>
          <w:kern w:val="2"/>
          <w:sz w:val="32"/>
          <w:szCs w:val="32"/>
        </w:rPr>
        <w:t>项目</w:t>
      </w:r>
    </w:p>
    <w:p w14:paraId="4CA5A08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发放机关养老保险金</w:t>
      </w:r>
    </w:p>
    <w:p w14:paraId="4ABFE79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val="en-US" w:eastAsia="zh-CN"/>
        </w:rPr>
        <w:t>:</w:t>
      </w:r>
      <w:r>
        <w:rPr>
          <w:rFonts w:hint="eastAsia" w:ascii="仿宋_GB2312" w:hAnsi="Times New Roman" w:eastAsia="仿宋_GB2312" w:cs="Times New Roman"/>
          <w:snapToGrid/>
          <w:kern w:val="2"/>
          <w:sz w:val="32"/>
          <w:szCs w:val="32"/>
          <w:lang w:eastAsia="zh-CN"/>
        </w:rPr>
        <w:t>赣人社发〔2019〕27号</w:t>
      </w:r>
    </w:p>
    <w:p w14:paraId="6BFD0D3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val="en-US" w:eastAsia="zh-CN"/>
        </w:rPr>
        <w:t>:浮梁社保中心</w:t>
      </w:r>
    </w:p>
    <w:p w14:paraId="26AD956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val="en-US" w:eastAsia="zh-CN"/>
        </w:rPr>
        <w:t>:每月</w:t>
      </w:r>
      <w:r>
        <w:rPr>
          <w:rFonts w:hint="eastAsia" w:ascii="仿宋_GB2312" w:hAnsi="Times New Roman" w:eastAsia="仿宋_GB2312" w:cs="Times New Roman"/>
          <w:snapToGrid/>
          <w:kern w:val="2"/>
          <w:sz w:val="32"/>
          <w:szCs w:val="32"/>
          <w:lang w:eastAsia="zh-CN"/>
        </w:rPr>
        <w:t>发放机关养老保险金</w:t>
      </w:r>
    </w:p>
    <w:p w14:paraId="488357D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:一年</w:t>
      </w:r>
    </w:p>
    <w:p w14:paraId="294E7B5A">
      <w:pPr>
        <w:ind w:firstLine="640" w:firstLineChars="200"/>
        <w:rPr>
          <w:rFonts w:hint="default" w:eastAsia="仿宋_GB231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2496万元</w:t>
      </w:r>
    </w:p>
    <w:p w14:paraId="2BF8F81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val="en-US" w:eastAsia="zh-CN"/>
        </w:rPr>
        <w:t>:保障机关事业单位退休人员养老金每月15日及时准确发放到位。</w:t>
      </w:r>
    </w:p>
    <w:p w14:paraId="37BBAB71">
      <w:pPr>
        <w:widowControl w:val="0"/>
        <w:kinsoku/>
        <w:autoSpaceDE/>
        <w:autoSpaceDN/>
        <w:adjustRightInd/>
        <w:snapToGrid/>
        <w:ind w:firstLine="1600" w:firstLineChars="500"/>
        <w:jc w:val="both"/>
        <w:textAlignment w:val="auto"/>
        <w:rPr>
          <w:rFonts w:hint="eastAsia" w:ascii="仿宋_GB2312" w:hAnsi="Times New Roman" w:eastAsia="仿宋_GB2312" w:cs="Times New Roman"/>
          <w:snapToGrid/>
          <w:kern w:val="2"/>
          <w:sz w:val="32"/>
          <w:szCs w:val="32"/>
          <w:lang w:val="en-US" w:eastAsia="zh-CN"/>
        </w:rPr>
      </w:pPr>
    </w:p>
    <w:p w14:paraId="3C5E765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发放被征地农民养老保险金（方案一）</w:t>
      </w:r>
      <w:r>
        <w:rPr>
          <w:rFonts w:hint="eastAsia" w:ascii="仿宋_GB2312" w:hAnsi="Times New Roman" w:eastAsia="仿宋_GB2312" w:cs="Times New Roman"/>
          <w:snapToGrid/>
          <w:kern w:val="2"/>
          <w:sz w:val="32"/>
          <w:szCs w:val="32"/>
        </w:rPr>
        <w:t>项目</w:t>
      </w:r>
    </w:p>
    <w:p w14:paraId="15FE13B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发放被征地农民养老保险金（方案一）</w:t>
      </w:r>
    </w:p>
    <w:p w14:paraId="41F71E8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val="en-US" w:eastAsia="zh-CN"/>
        </w:rPr>
        <w:t>:浮府发〔2012〕2号</w:t>
      </w:r>
    </w:p>
    <w:p w14:paraId="4EF6EE9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val="en-US" w:eastAsia="zh-CN"/>
        </w:rPr>
        <w:t>:浮梁社保中心</w:t>
      </w:r>
    </w:p>
    <w:p w14:paraId="3557D7D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val="en-US" w:eastAsia="zh-CN"/>
        </w:rPr>
        <w:t>:每月发放被征地农民养老保险金</w:t>
      </w:r>
    </w:p>
    <w:p w14:paraId="3A94D5E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:一年</w:t>
      </w:r>
    </w:p>
    <w:p w14:paraId="7112571F">
      <w:pPr>
        <w:ind w:firstLine="640" w:firstLineChars="200"/>
        <w:rPr>
          <w:rFonts w:hint="default" w:eastAsia="仿宋_GB231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43万元</w:t>
      </w:r>
    </w:p>
    <w:p w14:paraId="32CAA9B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val="en-US" w:eastAsia="zh-CN"/>
        </w:rPr>
        <w:t>:足额及时发放被征地农民养老保险金</w:t>
      </w:r>
    </w:p>
    <w:p w14:paraId="36719F4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14:paraId="1B5FB30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手工联社生补</w:t>
      </w:r>
      <w:r>
        <w:rPr>
          <w:rFonts w:hint="eastAsia" w:ascii="仿宋_GB2312" w:hAnsi="Times New Roman" w:eastAsia="仿宋_GB2312" w:cs="Times New Roman"/>
          <w:snapToGrid/>
          <w:kern w:val="2"/>
          <w:sz w:val="32"/>
          <w:szCs w:val="32"/>
        </w:rPr>
        <w:t>项目</w:t>
      </w:r>
    </w:p>
    <w:p w14:paraId="6FE4A06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发放手工联社职工生活补贴</w:t>
      </w:r>
    </w:p>
    <w:p w14:paraId="56D64C3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val="en-US" w:eastAsia="zh-CN"/>
        </w:rPr>
        <w:t>:</w:t>
      </w:r>
      <w:r>
        <w:rPr>
          <w:rFonts w:hint="eastAsia" w:ascii="仿宋_GB2312" w:hAnsi="Times New Roman" w:eastAsia="仿宋_GB2312" w:cs="Times New Roman"/>
          <w:snapToGrid/>
          <w:kern w:val="2"/>
          <w:sz w:val="32"/>
          <w:szCs w:val="32"/>
          <w:lang w:eastAsia="zh-CN"/>
        </w:rPr>
        <w:t>景人社字(2022)221号</w:t>
      </w:r>
    </w:p>
    <w:p w14:paraId="3ABF26C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val="en-US" w:eastAsia="zh-CN"/>
        </w:rPr>
        <w:t>:浮梁社保中心</w:t>
      </w:r>
    </w:p>
    <w:p w14:paraId="107D915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val="en-US" w:eastAsia="zh-CN"/>
        </w:rPr>
        <w:t>:确保对手工联社及未安置知青发放生活补贴到位、发放及时。</w:t>
      </w:r>
    </w:p>
    <w:p w14:paraId="321862D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:一年</w:t>
      </w:r>
    </w:p>
    <w:p w14:paraId="586D13AF">
      <w:pPr>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220万元</w:t>
      </w:r>
    </w:p>
    <w:p w14:paraId="7FAF46E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val="en-US" w:eastAsia="zh-CN"/>
        </w:rPr>
        <w:t>:足额及时发放手工联社及未安置知青生活补贴</w:t>
      </w:r>
    </w:p>
    <w:p w14:paraId="15311EE5">
      <w:pPr>
        <w:ind w:firstLine="640" w:firstLineChars="200"/>
        <w:rPr>
          <w:rFonts w:ascii="仿宋_GB2312" w:hAnsi="Times New Roman" w:eastAsia="仿宋_GB2312" w:cs="Times New Roman"/>
          <w:snapToGrid/>
          <w:kern w:val="2"/>
          <w:sz w:val="32"/>
          <w:szCs w:val="32"/>
        </w:rPr>
      </w:pPr>
    </w:p>
    <w:p w14:paraId="36FC7B2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社保工作经办服务专项</w:t>
      </w:r>
      <w:r>
        <w:rPr>
          <w:rFonts w:hint="eastAsia" w:ascii="仿宋_GB2312" w:hAnsi="Times New Roman" w:eastAsia="仿宋_GB2312" w:cs="Times New Roman"/>
          <w:snapToGrid/>
          <w:kern w:val="2"/>
          <w:sz w:val="32"/>
          <w:szCs w:val="32"/>
        </w:rPr>
        <w:t>项目</w:t>
      </w:r>
    </w:p>
    <w:p w14:paraId="5C104ED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强化社保业务经办服务</w:t>
      </w:r>
    </w:p>
    <w:p w14:paraId="2A8D7F2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val="en-US" w:eastAsia="zh-CN"/>
        </w:rPr>
        <w:t>:保障社会保险事业服务中心各项业务的正常高效运转</w:t>
      </w:r>
    </w:p>
    <w:p w14:paraId="07FE68E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val="en-US" w:eastAsia="zh-CN"/>
        </w:rPr>
        <w:t>:浮梁社保中心</w:t>
      </w:r>
    </w:p>
    <w:p w14:paraId="683AB22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val="en-US" w:eastAsia="zh-CN"/>
        </w:rPr>
        <w:t>:确保经办业务正常运转</w:t>
      </w:r>
    </w:p>
    <w:p w14:paraId="112D507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:一年</w:t>
      </w:r>
    </w:p>
    <w:p w14:paraId="49335247">
      <w:pPr>
        <w:ind w:firstLine="640" w:firstLineChars="200"/>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19.47万元</w:t>
      </w:r>
    </w:p>
    <w:p w14:paraId="481D3E9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val="en-US" w:eastAsia="zh-CN"/>
        </w:rPr>
        <w:t>:保障社会保险事业服务正常高效运转</w:t>
      </w:r>
    </w:p>
    <w:p w14:paraId="683A629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14:paraId="16663E2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7</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val="en-US" w:eastAsia="zh-CN"/>
        </w:rPr>
        <w:t>村两委人员职业伤害险</w:t>
      </w:r>
      <w:r>
        <w:rPr>
          <w:rFonts w:hint="eastAsia" w:ascii="仿宋_GB2312" w:hAnsi="Times New Roman" w:eastAsia="仿宋_GB2312" w:cs="Times New Roman"/>
          <w:snapToGrid/>
          <w:kern w:val="2"/>
          <w:sz w:val="32"/>
          <w:szCs w:val="32"/>
        </w:rPr>
        <w:t>项目</w:t>
      </w:r>
    </w:p>
    <w:p w14:paraId="4A2BB5F5">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：落实浮梁县村两委干部参加新业态从业人员职业伤害险保障工作</w:t>
      </w:r>
    </w:p>
    <w:p w14:paraId="6D793EA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val="en-US" w:eastAsia="zh-CN"/>
        </w:rPr>
        <w:t>:落实浮梁县村两委干部参加新业态从业人员职业伤害险保障工作</w:t>
      </w:r>
    </w:p>
    <w:p w14:paraId="15B9B68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val="en-US" w:eastAsia="zh-CN"/>
        </w:rPr>
        <w:t>:浮梁社保中心</w:t>
      </w:r>
    </w:p>
    <w:p w14:paraId="55721AFE">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val="en-US" w:eastAsia="zh-CN"/>
        </w:rPr>
        <w:t>:积极宣传</w:t>
      </w:r>
    </w:p>
    <w:p w14:paraId="1DB7B72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val="en-US" w:eastAsia="zh-CN"/>
        </w:rPr>
        <w:t>:一年</w:t>
      </w:r>
    </w:p>
    <w:p w14:paraId="0C020C81">
      <w:pPr>
        <w:ind w:firstLine="640" w:firstLineChars="200"/>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24万元</w:t>
      </w:r>
    </w:p>
    <w:p w14:paraId="400F487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val="en-US" w:eastAsia="zh-CN"/>
        </w:rPr>
        <w:t>:保障村两委人员获得职业伤害险相关医疗和经济保障</w:t>
      </w:r>
    </w:p>
    <w:p w14:paraId="184D5B6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14:paraId="60D3C55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14:paraId="2A7CD166">
      <w:pPr>
        <w:widowControl w:val="0"/>
        <w:kinsoku/>
        <w:autoSpaceDE/>
        <w:autoSpaceDN/>
        <w:adjustRightInd/>
        <w:snapToGrid/>
        <w:jc w:val="both"/>
        <w:textAlignment w:val="auto"/>
        <w:rPr>
          <w:rFonts w:ascii="仿宋_GB2312" w:hAnsi="Times New Roman" w:eastAsia="仿宋_GB2312" w:cs="Times New Roman"/>
          <w:snapToGrid/>
          <w:kern w:val="2"/>
          <w:sz w:val="32"/>
          <w:szCs w:val="32"/>
        </w:rPr>
      </w:pPr>
    </w:p>
    <w:p w14:paraId="492DBFC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14:paraId="122BBE14">
      <w:pPr>
        <w:spacing w:before="214"/>
        <w:rPr>
          <w:rFonts w:ascii="楷体" w:hAnsi="楷体" w:eastAsia="楷体" w:cs="楷体"/>
          <w:spacing w:val="13"/>
          <w:sz w:val="32"/>
          <w:szCs w:val="32"/>
        </w:rPr>
      </w:pPr>
      <w:r>
        <w:rPr>
          <w:rFonts w:hint="eastAsia" w:ascii="楷体" w:hAnsi="楷体" w:eastAsia="楷体" w:cs="楷体"/>
          <w:spacing w:val="13"/>
          <w:sz w:val="32"/>
          <w:szCs w:val="32"/>
        </w:rPr>
        <w:t>二、2024年"三公”经费预算情况说明</w:t>
      </w:r>
    </w:p>
    <w:p w14:paraId="737743A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p w14:paraId="65750CF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2024年</w:t>
      </w:r>
      <w:r>
        <w:rPr>
          <w:rFonts w:hint="eastAsia" w:ascii="仿宋_GB2312" w:hAnsi="Times New Roman" w:eastAsia="仿宋_GB2312" w:cs="Times New Roman"/>
          <w:snapToGrid/>
          <w:kern w:val="2"/>
          <w:sz w:val="32"/>
          <w:szCs w:val="32"/>
          <w:lang w:val="en-US" w:eastAsia="zh-CN"/>
        </w:rPr>
        <w:t>社保中心</w:t>
      </w:r>
      <w:r>
        <w:rPr>
          <w:rFonts w:hint="eastAsia" w:ascii="仿宋_GB2312" w:hAnsi="Times New Roman" w:eastAsia="仿宋_GB2312" w:cs="Times New Roman"/>
          <w:snapToGrid/>
          <w:kern w:val="2"/>
          <w:sz w:val="32"/>
          <w:szCs w:val="32"/>
        </w:rPr>
        <w:t>"三公"经费一般公共预算安排</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万元。上年预算安排6万元，减少1万元，下降17%。</w:t>
      </w:r>
    </w:p>
    <w:p w14:paraId="5575C75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其中:</w:t>
      </w:r>
    </w:p>
    <w:p w14:paraId="02178A8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14:paraId="336E610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万元，上年预算安排6万元</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比上年减</w:t>
      </w:r>
      <w:r>
        <w:rPr>
          <w:rFonts w:hint="eastAsia" w:ascii="仿宋_GB2312" w:hAnsi="Times New Roman" w:eastAsia="仿宋_GB2312" w:cs="Times New Roman"/>
          <w:snapToGrid/>
          <w:kern w:val="2"/>
          <w:sz w:val="32"/>
          <w:szCs w:val="32"/>
          <w:lang w:val="en-US" w:eastAsia="zh-CN"/>
        </w:rPr>
        <w:t>少1</w:t>
      </w:r>
      <w:r>
        <w:rPr>
          <w:rFonts w:hint="eastAsia" w:ascii="仿宋_GB2312" w:hAnsi="Times New Roman" w:eastAsia="仿宋_GB2312" w:cs="Times New Roman"/>
          <w:snapToGrid/>
          <w:kern w:val="2"/>
          <w:sz w:val="32"/>
          <w:szCs w:val="32"/>
        </w:rPr>
        <w:t>万元，下降17%。主要原因是:</w:t>
      </w:r>
      <w:r>
        <w:rPr>
          <w:rFonts w:hint="eastAsia" w:ascii="仿宋_GB2312" w:hAnsi="Times New Roman" w:eastAsia="仿宋_GB2312" w:cs="Times New Roman"/>
          <w:snapToGrid/>
          <w:kern w:val="2"/>
          <w:sz w:val="32"/>
          <w:szCs w:val="32"/>
          <w:lang w:val="en-US" w:eastAsia="zh-CN"/>
        </w:rPr>
        <w:t>按财政要求减少</w:t>
      </w:r>
      <w:r>
        <w:rPr>
          <w:rFonts w:hint="eastAsia" w:ascii="仿宋_GB2312" w:hAnsi="Times New Roman" w:eastAsia="仿宋_GB2312" w:cs="Times New Roman"/>
          <w:snapToGrid/>
          <w:kern w:val="2"/>
          <w:sz w:val="32"/>
          <w:szCs w:val="32"/>
        </w:rPr>
        <w:t>。</w:t>
      </w:r>
      <w:bookmarkStart w:id="0" w:name="_GoBack"/>
      <w:bookmarkEnd w:id="0"/>
    </w:p>
    <w:p w14:paraId="1DF5EFB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14:paraId="52C9A2B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val="en-US" w:eastAsia="zh-CN"/>
        </w:rPr>
        <w:t>无</w:t>
      </w:r>
      <w:r>
        <w:rPr>
          <w:rFonts w:hint="eastAsia" w:ascii="仿宋_GB2312" w:hAnsi="Times New Roman" w:eastAsia="仿宋_GB2312" w:cs="Times New Roman"/>
          <w:snapToGrid/>
          <w:kern w:val="2"/>
          <w:sz w:val="32"/>
          <w:szCs w:val="32"/>
        </w:rPr>
        <w:t>。</w:t>
      </w:r>
    </w:p>
    <w:p w14:paraId="1537A259">
      <w:pPr>
        <w:spacing w:before="173"/>
        <w:ind w:right="49" w:firstLine="599"/>
        <w:rPr>
          <w:rFonts w:ascii="仿宋" w:hAnsi="仿宋" w:eastAsia="仿宋" w:cs="仿宋"/>
          <w:spacing w:val="-15"/>
          <w:w w:val="94"/>
          <w:sz w:val="32"/>
          <w:szCs w:val="32"/>
        </w:rPr>
      </w:pPr>
    </w:p>
    <w:p w14:paraId="226DDD58">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2D4816C">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123DFE1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6E506B6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07F367D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799FB2B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3353467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6C8E8D3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4B06CEA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75680B6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07D621B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(八)使用非财政拨款结余:填列历年滚存的非限定用途的非统计财政拨款结余弥补2024年收支差额的数额。</w:t>
      </w:r>
    </w:p>
    <w:p w14:paraId="32797E7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(九)上年结转和结余:填列2023年全部结转和结余的资金数，包括当年结转结余资金和历年滚存结转结余资金。</w:t>
      </w:r>
    </w:p>
    <w:p w14:paraId="394BCC22">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09E1DA6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对部门预算中涉及的支出功能分类科目(明细到项级)，结合部门实际，参照《2024年政府收支分类科目》的规范说明进行解释。</w:t>
      </w:r>
    </w:p>
    <w:p w14:paraId="1D63A386">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56D801E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三公经费</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55BE15C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机关运行经费</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08C034E0-343F-4D50-920C-B8402D03685E}"/>
  </w:font>
  <w:font w:name="黑体">
    <w:panose1 w:val="02010609060101010101"/>
    <w:charset w:val="86"/>
    <w:family w:val="auto"/>
    <w:pitch w:val="default"/>
    <w:sig w:usb0="800002BF" w:usb1="38CF7CFA" w:usb2="00000016" w:usb3="00000000" w:csb0="00040001" w:csb1="00000000"/>
    <w:embedRegular r:id="rId2" w:fontKey="{A7A3D36D-8E0A-455F-9BF9-991038A8D3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3" w:fontKey="{25AAAAC5-DE22-41CA-9DDB-414C9416604E}"/>
  </w:font>
  <w:font w:name="楷体">
    <w:altName w:val="宋体"/>
    <w:panose1 w:val="02010609060101010101"/>
    <w:charset w:val="86"/>
    <w:family w:val="modern"/>
    <w:pitch w:val="default"/>
    <w:sig w:usb0="00000000" w:usb1="00000000" w:usb2="00000016" w:usb3="00000000" w:csb0="00040001" w:csb1="00000000"/>
    <w:embedRegular r:id="rId4" w:fontKey="{07D129C0-AB19-4A06-8702-D5268F697357}"/>
  </w:font>
  <w:font w:name="仿宋">
    <w:altName w:val="微软雅黑"/>
    <w:panose1 w:val="02010609060101010101"/>
    <w:charset w:val="86"/>
    <w:family w:val="modern"/>
    <w:pitch w:val="default"/>
    <w:sig w:usb0="00000000" w:usb1="00000000" w:usb2="00000016" w:usb3="00000000" w:csb0="00040001" w:csb1="00000000"/>
    <w:embedRegular r:id="rId5" w:fontKey="{27DC7058-73BE-4D12-BEDD-21C566758127}"/>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6" w:fontKey="{EB8DAEDC-452C-419E-839F-0DB8AE480D3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7ACA1"/>
    <w:multiLevelType w:val="singleLevel"/>
    <w:tmpl w:val="9DD7ACA1"/>
    <w:lvl w:ilvl="0" w:tentative="0">
      <w:start w:val="2"/>
      <w:numFmt w:val="chineseCounting"/>
      <w:suff w:val="nothing"/>
      <w:lvlText w:val="%1、"/>
      <w:lvlJc w:val="left"/>
      <w:rPr>
        <w:rFonts w:hint="eastAsia"/>
      </w:rPr>
    </w:lvl>
  </w:abstractNum>
  <w:abstractNum w:abstractNumId="1">
    <w:nsid w:val="2BBEBC86"/>
    <w:multiLevelType w:val="singleLevel"/>
    <w:tmpl w:val="2BBEBC86"/>
    <w:lvl w:ilvl="0" w:tentative="0">
      <w:start w:val="6"/>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DlhZThmMjc4MmU4NTMzNDA0ZDEwODQwY2Q5OGQxOTMifQ=="/>
  </w:docVars>
  <w:rsids>
    <w:rsidRoot w:val="00E637E3"/>
    <w:rsid w:val="00083C5A"/>
    <w:rsid w:val="0028241F"/>
    <w:rsid w:val="002E17BC"/>
    <w:rsid w:val="007D2708"/>
    <w:rsid w:val="00821D0F"/>
    <w:rsid w:val="009F3C2E"/>
    <w:rsid w:val="00A55E03"/>
    <w:rsid w:val="00A67F2C"/>
    <w:rsid w:val="00C726DB"/>
    <w:rsid w:val="00E637E3"/>
    <w:rsid w:val="04FA4C5C"/>
    <w:rsid w:val="083B347B"/>
    <w:rsid w:val="0F2E5AE8"/>
    <w:rsid w:val="13EB044B"/>
    <w:rsid w:val="180A0D7A"/>
    <w:rsid w:val="1A87464A"/>
    <w:rsid w:val="1DAF6046"/>
    <w:rsid w:val="1F3A5DE3"/>
    <w:rsid w:val="200B777F"/>
    <w:rsid w:val="22F17E3D"/>
    <w:rsid w:val="233829F3"/>
    <w:rsid w:val="23E24451"/>
    <w:rsid w:val="27680E3C"/>
    <w:rsid w:val="28B74E8B"/>
    <w:rsid w:val="2BDE6E19"/>
    <w:rsid w:val="2F7B4DDE"/>
    <w:rsid w:val="325D7BAC"/>
    <w:rsid w:val="342C311B"/>
    <w:rsid w:val="371B5A09"/>
    <w:rsid w:val="399F745E"/>
    <w:rsid w:val="3A362036"/>
    <w:rsid w:val="3B337E5E"/>
    <w:rsid w:val="474E6296"/>
    <w:rsid w:val="476D2917"/>
    <w:rsid w:val="4A070E34"/>
    <w:rsid w:val="535A3AA7"/>
    <w:rsid w:val="58505733"/>
    <w:rsid w:val="5CBD29A0"/>
    <w:rsid w:val="5D24489D"/>
    <w:rsid w:val="5FFC52AF"/>
    <w:rsid w:val="61F67C9C"/>
    <w:rsid w:val="62B17737"/>
    <w:rsid w:val="64397C2F"/>
    <w:rsid w:val="6C0006DE"/>
    <w:rsid w:val="6EEA194B"/>
    <w:rsid w:val="717A762F"/>
    <w:rsid w:val="77C90C27"/>
    <w:rsid w:val="789C633C"/>
    <w:rsid w:val="78BD078C"/>
    <w:rsid w:val="7B1F5CAB"/>
    <w:rsid w:val="7C2B1EB0"/>
    <w:rsid w:val="7D067899"/>
    <w:rsid w:val="7EC133B5"/>
    <w:rsid w:val="7FAF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3345</Words>
  <Characters>3544</Characters>
  <Lines>14</Lines>
  <Paragraphs>4</Paragraphs>
  <TotalTime>14</TotalTime>
  <ScaleCrop>false</ScaleCrop>
  <LinksUpToDate>false</LinksUpToDate>
  <CharactersWithSpaces>3575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2024-02-19T02:57:00Z</dcterms:created>
  <dc:creator>Administrator</dc:creator>
  <cp:lastModifiedBy>swag</cp:lastModifiedBy>
  <dcterms:modified xsi:type="dcterms:W3CDTF">2025-08-06T05:27:12Z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2052-12.1.0.21915</vt:lpwstr>
  </property>
  <property fmtid="{D5CDD505-2E9C-101B-9397-08002B2CF9AE}" pid="5" name="ICV">
    <vt:lpwstr>3F4EE16EA512423EAA47A6AACE14790A_13</vt:lpwstr>
  </property>
  <property fmtid="{D5CDD505-2E9C-101B-9397-08002B2CF9AE}" pid="6" name="KSOTemplateDocerSaveRecord">
    <vt:lpwstr>eyJoZGlkIjoiNDlhZThmMjc4MmU4NTMzNDA0ZDEwODQwY2Q5OGQxOTMiLCJ1c2VySWQiOiIyODQ2NjE2ODEifQ==</vt:lpwstr>
  </property>
</Properties>
</file>