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876E4">
      <w:pPr>
        <w:pStyle w:val="7"/>
        <w:spacing w:before="0" w:beforeAutospacing="0" w:after="0" w:afterAutospacing="0" w:line="560" w:lineRule="exact"/>
        <w:jc w:val="center"/>
        <w:rPr>
          <w:rFonts w:ascii="Times New Roman" w:hAnsi="Times New Roman" w:eastAsia="宋体"/>
          <w:b/>
          <w:bCs/>
          <w:sz w:val="44"/>
          <w:szCs w:val="44"/>
          <w:shd w:val="clear" w:color="auto" w:fill="FFFFFF"/>
        </w:rPr>
      </w:pPr>
      <w:bookmarkStart w:id="9" w:name="_GoBack"/>
      <w:r>
        <w:rPr>
          <w:rFonts w:ascii="Times New Roman" w:hAnsi="Times New Roman" w:eastAsia="宋体"/>
          <w:b/>
          <w:bCs/>
          <w:sz w:val="44"/>
          <w:szCs w:val="44"/>
          <w:shd w:val="clear" w:color="auto" w:fill="FFFFFF"/>
        </w:rPr>
        <w:t>浮梁县202</w:t>
      </w:r>
      <w:r>
        <w:rPr>
          <w:rFonts w:hint="eastAsia" w:ascii="Times New Roman" w:hAnsi="Times New Roman" w:eastAsia="宋体"/>
          <w:b/>
          <w:bCs/>
          <w:sz w:val="44"/>
          <w:szCs w:val="44"/>
          <w:shd w:val="clear" w:color="auto" w:fill="FFFFFF"/>
          <w:lang w:val="en-US" w:eastAsia="zh-CN"/>
        </w:rPr>
        <w:t>7</w:t>
      </w:r>
      <w:r>
        <w:rPr>
          <w:rFonts w:ascii="Times New Roman" w:hAnsi="Times New Roman" w:eastAsia="宋体"/>
          <w:b/>
          <w:bCs/>
          <w:sz w:val="44"/>
          <w:szCs w:val="44"/>
          <w:shd w:val="clear" w:color="auto" w:fill="FFFFFF"/>
        </w:rPr>
        <w:t>年农作物秸秆综合利用项目</w:t>
      </w:r>
      <w:r>
        <w:rPr>
          <w:rFonts w:hint="eastAsia" w:ascii="Times New Roman" w:hAnsi="Times New Roman" w:eastAsia="宋体"/>
          <w:b/>
          <w:bCs/>
          <w:sz w:val="44"/>
          <w:szCs w:val="44"/>
          <w:shd w:val="clear" w:color="auto" w:fill="FFFFFF"/>
          <w:lang w:val="en-US" w:eastAsia="zh-CN"/>
        </w:rPr>
        <w:t>储备</w:t>
      </w:r>
      <w:r>
        <w:rPr>
          <w:rFonts w:ascii="Times New Roman" w:hAnsi="Times New Roman" w:eastAsia="宋体"/>
          <w:b/>
          <w:bCs/>
          <w:sz w:val="44"/>
          <w:szCs w:val="44"/>
          <w:shd w:val="clear" w:color="auto" w:fill="FFFFFF"/>
        </w:rPr>
        <w:t>实施方案</w:t>
      </w:r>
    </w:p>
    <w:bookmarkEnd w:id="9"/>
    <w:p w14:paraId="49060AD4">
      <w:pPr>
        <w:pStyle w:val="7"/>
        <w:spacing w:before="0" w:beforeAutospacing="0" w:after="0" w:afterAutospacing="0" w:line="560" w:lineRule="exact"/>
        <w:jc w:val="both"/>
        <w:rPr>
          <w:rFonts w:ascii="Times New Roman" w:hAnsi="Times New Roman" w:eastAsia="仿宋"/>
          <w:sz w:val="30"/>
          <w:szCs w:val="30"/>
          <w:shd w:val="clear" w:color="auto" w:fill="FFFFFF"/>
        </w:rPr>
      </w:pPr>
      <w:r>
        <w:rPr>
          <w:rFonts w:ascii="Times New Roman" w:hAnsi="Times New Roman" w:eastAsia="宋体"/>
          <w:sz w:val="30"/>
          <w:szCs w:val="30"/>
          <w:shd w:val="clear" w:color="auto" w:fill="FFFFFF"/>
        </w:rPr>
        <w:t xml:space="preserve">    </w:t>
      </w:r>
      <w:r>
        <w:rPr>
          <w:rFonts w:ascii="Times New Roman" w:hAnsi="Times New Roman" w:eastAsia="仿宋"/>
          <w:sz w:val="30"/>
          <w:szCs w:val="30"/>
          <w:shd w:val="clear" w:color="auto" w:fill="FFFFFF"/>
        </w:rPr>
        <w:t>为做好我县农作物秸秆综合利用工作，培育壮大一批秸秆综合利用主体，充分发挥中央财政对农作物秸秆综合利用资金效能，根据江西省农业生态与资源保护站《关于组织申报和推荐202</w:t>
      </w:r>
      <w:r>
        <w:rPr>
          <w:rFonts w:hint="eastAsia" w:ascii="Times New Roman" w:hAnsi="Times New Roman" w:eastAsia="仿宋"/>
          <w:sz w:val="30"/>
          <w:szCs w:val="30"/>
          <w:shd w:val="clear" w:color="auto" w:fill="FFFFFF"/>
          <w:lang w:val="en-US" w:eastAsia="zh-CN"/>
        </w:rPr>
        <w:t>7</w:t>
      </w:r>
      <w:r>
        <w:rPr>
          <w:rFonts w:ascii="Times New Roman" w:hAnsi="Times New Roman" w:eastAsia="仿宋"/>
          <w:sz w:val="30"/>
          <w:szCs w:val="30"/>
          <w:shd w:val="clear" w:color="auto" w:fill="FFFFFF"/>
        </w:rPr>
        <w:t>年农作物秸秆综合利用项目县的通知》要求，结合我县实际，制定了本方案。</w:t>
      </w:r>
    </w:p>
    <w:p w14:paraId="07DA468E">
      <w:pPr>
        <w:pStyle w:val="4"/>
        <w:rPr>
          <w:rFonts w:cs="Times New Roman"/>
          <w:shd w:val="clear" w:color="auto" w:fill="FFFFFF"/>
        </w:rPr>
      </w:pPr>
      <w:r>
        <w:rPr>
          <w:rFonts w:cs="Times New Roman"/>
          <w:shd w:val="clear" w:color="auto" w:fill="FFFFFF"/>
        </w:rPr>
        <w:t>一、项目县基本情况</w:t>
      </w:r>
    </w:p>
    <w:p w14:paraId="6B54C601">
      <w:pPr>
        <w:pStyle w:val="3"/>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1.项目概况</w:t>
      </w:r>
    </w:p>
    <w:p w14:paraId="418A35DE">
      <w:pPr>
        <w:pStyle w:val="3"/>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项目名称：浮梁县202</w:t>
      </w:r>
      <w:r>
        <w:rPr>
          <w:rFonts w:hint="eastAsia" w:ascii="Times New Roman" w:hAnsi="Times New Roman" w:eastAsia="仿宋" w:cs="Times New Roman"/>
          <w:b w:val="0"/>
          <w:bCs w:val="0"/>
          <w:kern w:val="0"/>
          <w:sz w:val="30"/>
          <w:szCs w:val="30"/>
          <w:shd w:val="clear" w:color="auto" w:fill="FFFFFF"/>
          <w:lang w:val="en-US" w:eastAsia="zh-CN"/>
        </w:rPr>
        <w:t>7</w:t>
      </w:r>
      <w:r>
        <w:rPr>
          <w:rFonts w:ascii="Times New Roman" w:hAnsi="Times New Roman" w:eastAsia="仿宋" w:cs="Times New Roman"/>
          <w:b w:val="0"/>
          <w:bCs w:val="0"/>
          <w:kern w:val="0"/>
          <w:sz w:val="30"/>
          <w:szCs w:val="30"/>
          <w:shd w:val="clear" w:color="auto" w:fill="FFFFFF"/>
        </w:rPr>
        <w:t>年中央财政农作物秸秆综合利用重点县项目</w:t>
      </w:r>
    </w:p>
    <w:p w14:paraId="6E415213">
      <w:pPr>
        <w:pStyle w:val="3"/>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项目类型：农作物秸秆综合利用</w:t>
      </w:r>
    </w:p>
    <w:p w14:paraId="5AF6873B">
      <w:pPr>
        <w:pStyle w:val="3"/>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项目性质：以奖代补</w:t>
      </w:r>
    </w:p>
    <w:p w14:paraId="3EAEC4AA">
      <w:pPr>
        <w:pStyle w:val="3"/>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项目总投资：</w:t>
      </w:r>
      <w:r>
        <w:rPr>
          <w:rFonts w:hint="eastAsia" w:ascii="Times New Roman" w:hAnsi="Times New Roman" w:eastAsia="仿宋" w:cs="Times New Roman"/>
          <w:b w:val="0"/>
          <w:bCs w:val="0"/>
          <w:kern w:val="0"/>
          <w:sz w:val="30"/>
          <w:szCs w:val="30"/>
          <w:shd w:val="clear" w:color="auto" w:fill="FFFFFF"/>
          <w:lang w:val="en-US" w:eastAsia="zh-CN"/>
        </w:rPr>
        <w:t>260</w:t>
      </w:r>
      <w:r>
        <w:rPr>
          <w:rFonts w:ascii="Times New Roman" w:hAnsi="Times New Roman" w:eastAsia="仿宋" w:cs="Times New Roman"/>
          <w:b w:val="0"/>
          <w:bCs w:val="0"/>
          <w:kern w:val="0"/>
          <w:sz w:val="30"/>
          <w:szCs w:val="30"/>
          <w:shd w:val="clear" w:color="auto" w:fill="FFFFFF"/>
        </w:rPr>
        <w:t>万元</w:t>
      </w:r>
    </w:p>
    <w:p w14:paraId="51BB8C9E">
      <w:pPr>
        <w:pStyle w:val="3"/>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组织实施单位：浮梁县农业农村局</w:t>
      </w:r>
    </w:p>
    <w:p w14:paraId="230E6197">
      <w:pPr>
        <w:pStyle w:val="3"/>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建设期限：202</w:t>
      </w:r>
      <w:r>
        <w:rPr>
          <w:rFonts w:hint="eastAsia" w:ascii="Times New Roman" w:hAnsi="Times New Roman" w:eastAsia="仿宋" w:cs="Times New Roman"/>
          <w:b w:val="0"/>
          <w:bCs w:val="0"/>
          <w:kern w:val="0"/>
          <w:sz w:val="30"/>
          <w:szCs w:val="30"/>
          <w:shd w:val="clear" w:color="auto" w:fill="FFFFFF"/>
          <w:lang w:val="en-US" w:eastAsia="zh-CN"/>
        </w:rPr>
        <w:t>7</w:t>
      </w:r>
      <w:r>
        <w:rPr>
          <w:rFonts w:ascii="Times New Roman" w:hAnsi="Times New Roman" w:eastAsia="仿宋" w:cs="Times New Roman"/>
          <w:b w:val="0"/>
          <w:bCs w:val="0"/>
          <w:kern w:val="0"/>
          <w:sz w:val="30"/>
          <w:szCs w:val="30"/>
          <w:shd w:val="clear" w:color="auto" w:fill="FFFFFF"/>
        </w:rPr>
        <w:t>年</w:t>
      </w:r>
    </w:p>
    <w:p w14:paraId="79781974">
      <w:pPr>
        <w:pStyle w:val="3"/>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项目总体目标：扶持5家主体从事秸秆</w:t>
      </w:r>
      <w:r>
        <w:rPr>
          <w:rFonts w:hint="eastAsia" w:ascii="Times New Roman" w:hAnsi="Times New Roman" w:eastAsia="仿宋" w:cs="Times New Roman"/>
          <w:b w:val="0"/>
          <w:bCs w:val="0"/>
          <w:kern w:val="0"/>
          <w:sz w:val="30"/>
          <w:szCs w:val="30"/>
          <w:shd w:val="clear" w:color="auto" w:fill="FFFFFF"/>
          <w:lang w:eastAsia="zh-CN"/>
        </w:rPr>
        <w:t>“</w:t>
      </w:r>
      <w:r>
        <w:rPr>
          <w:rFonts w:ascii="Times New Roman" w:hAnsi="Times New Roman" w:eastAsia="仿宋" w:cs="Times New Roman"/>
          <w:b w:val="0"/>
          <w:bCs w:val="0"/>
          <w:kern w:val="0"/>
          <w:sz w:val="30"/>
          <w:szCs w:val="30"/>
          <w:shd w:val="clear" w:color="auto" w:fill="FFFFFF"/>
        </w:rPr>
        <w:t>五化</w:t>
      </w:r>
      <w:r>
        <w:rPr>
          <w:rFonts w:hint="eastAsia" w:ascii="Times New Roman" w:hAnsi="Times New Roman" w:eastAsia="仿宋" w:cs="Times New Roman"/>
          <w:b w:val="0"/>
          <w:bCs w:val="0"/>
          <w:kern w:val="0"/>
          <w:sz w:val="30"/>
          <w:szCs w:val="30"/>
          <w:shd w:val="clear" w:color="auto" w:fill="FFFFFF"/>
          <w:lang w:eastAsia="zh-CN"/>
        </w:rPr>
        <w:t>”</w:t>
      </w:r>
      <w:r>
        <w:rPr>
          <w:rFonts w:ascii="Times New Roman" w:hAnsi="Times New Roman" w:eastAsia="仿宋" w:cs="Times New Roman"/>
          <w:b w:val="0"/>
          <w:bCs w:val="0"/>
          <w:kern w:val="0"/>
          <w:sz w:val="30"/>
          <w:szCs w:val="30"/>
          <w:shd w:val="clear" w:color="auto" w:fill="FFFFFF"/>
        </w:rPr>
        <w:t>利用（秸秆饲料化利用实施主体3家，秸秆燃料化利用实施主体1家，秸秆还田利用实施主体</w:t>
      </w:r>
      <w:r>
        <w:rPr>
          <w:rFonts w:hint="eastAsia" w:ascii="Times New Roman" w:hAnsi="Times New Roman" w:eastAsia="仿宋" w:cs="Times New Roman"/>
          <w:b w:val="0"/>
          <w:bCs w:val="0"/>
          <w:kern w:val="0"/>
          <w:sz w:val="30"/>
          <w:szCs w:val="30"/>
          <w:shd w:val="clear" w:color="auto" w:fill="FFFFFF"/>
        </w:rPr>
        <w:t>若干</w:t>
      </w:r>
      <w:r>
        <w:rPr>
          <w:rFonts w:ascii="Times New Roman" w:hAnsi="Times New Roman" w:eastAsia="仿宋" w:cs="Times New Roman"/>
          <w:b w:val="0"/>
          <w:bCs w:val="0"/>
          <w:kern w:val="0"/>
          <w:sz w:val="30"/>
          <w:szCs w:val="30"/>
          <w:shd w:val="clear" w:color="auto" w:fill="FFFFFF"/>
        </w:rPr>
        <w:t>），开展秸秆还田示范，实现年度秸秆综合利用率95%以上。</w:t>
      </w:r>
    </w:p>
    <w:p w14:paraId="751DD82A">
      <w:pPr>
        <w:pStyle w:val="3"/>
        <w:jc w:val="both"/>
        <w:rPr>
          <w:rFonts w:ascii="Times New Roman" w:hAnsi="Times New Roman" w:eastAsia="仿宋" w:cs="Times New Roman"/>
          <w:b w:val="0"/>
          <w:bCs w:val="0"/>
          <w:kern w:val="0"/>
          <w:sz w:val="32"/>
          <w:szCs w:val="32"/>
          <w:shd w:val="clear" w:color="auto" w:fill="FFFFFF"/>
        </w:rPr>
      </w:pPr>
      <w:r>
        <w:rPr>
          <w:rFonts w:ascii="Times New Roman" w:hAnsi="Times New Roman" w:eastAsia="仿宋" w:cs="Times New Roman"/>
          <w:b w:val="0"/>
          <w:bCs w:val="0"/>
          <w:kern w:val="0"/>
          <w:sz w:val="32"/>
          <w:szCs w:val="32"/>
          <w:shd w:val="clear" w:color="auto" w:fill="FFFFFF"/>
        </w:rPr>
        <w:t>2. 浮梁县基本情况</w:t>
      </w:r>
    </w:p>
    <w:p w14:paraId="3344674A">
      <w:pPr>
        <w:pStyle w:val="3"/>
        <w:ind w:firstLine="600"/>
        <w:jc w:val="both"/>
        <w:rPr>
          <w:rFonts w:ascii="Times New Roman" w:hAnsi="Times New Roman" w:eastAsia="仿宋" w:cs="Times New Roman"/>
          <w:b w:val="0"/>
          <w:bCs w:val="0"/>
          <w:sz w:val="30"/>
          <w:szCs w:val="30"/>
          <w:shd w:val="clear" w:color="auto" w:fill="FFFFFF"/>
        </w:rPr>
      </w:pPr>
      <w:bookmarkStart w:id="0" w:name="OLE_LINK1"/>
      <w:r>
        <w:rPr>
          <w:rFonts w:ascii="Times New Roman" w:hAnsi="Times New Roman" w:eastAsia="仿宋" w:cs="Times New Roman"/>
          <w:b w:val="0"/>
          <w:bCs w:val="0"/>
          <w:kern w:val="0"/>
          <w:sz w:val="30"/>
          <w:szCs w:val="30"/>
          <w:shd w:val="clear" w:color="auto" w:fill="FFFFFF"/>
        </w:rPr>
        <w:t>浮梁县</w:t>
      </w:r>
      <w:bookmarkEnd w:id="0"/>
      <w:r>
        <w:rPr>
          <w:rFonts w:ascii="Times New Roman" w:hAnsi="Times New Roman" w:eastAsia="仿宋" w:cs="Times New Roman"/>
          <w:b w:val="0"/>
          <w:bCs w:val="0"/>
          <w:kern w:val="0"/>
          <w:sz w:val="30"/>
          <w:szCs w:val="30"/>
          <w:shd w:val="clear" w:color="auto" w:fill="FFFFFF"/>
        </w:rPr>
        <w:t>地处江西省东北部，是景德镇市下辖县，总面积2851平方公里，辖9镇7乡，常住人口约28万人。作为传统农业县，浮梁县主要农作物为水稻、油菜、玉米等，年秸秆产生量约35万吨，可收集量约25万吨，综合利用率约90%。近年来，浮梁县大力发展畜牧业，现有羊养殖企业85家（存栏量超10头）、牛养殖企业51家（存栏量超10头），规模化养殖对秸秆饲料化需求迫切。然而，当前秸秆离田利用率不足40%，露天焚烧现象仍存，需通过资源化利用提升生态效益和经济效益。</w:t>
      </w:r>
      <w:r>
        <w:rPr>
          <w:rFonts w:ascii="Times New Roman" w:hAnsi="Times New Roman" w:eastAsia="仿宋" w:cs="Times New Roman"/>
          <w:b w:val="0"/>
          <w:bCs w:val="0"/>
          <w:kern w:val="0"/>
          <w:sz w:val="30"/>
          <w:szCs w:val="30"/>
          <w:shd w:val="clear" w:color="auto" w:fill="FFFFFF"/>
          <w:lang w:bidi="ar"/>
        </w:rPr>
        <w:t>随着我县大力发展油菜种植，面积逐年增加，中晚稻秸秆离田综合利用的重要性越来越迫切，与油菜种植矛盾十分突出。县政府高度重视农作物秸秆综合利用工作，借此</w:t>
      </w:r>
      <w:r>
        <w:rPr>
          <w:rFonts w:ascii="Times New Roman" w:hAnsi="Times New Roman" w:eastAsia="仿宋" w:cs="Times New Roman"/>
          <w:b w:val="0"/>
          <w:bCs w:val="0"/>
          <w:sz w:val="30"/>
          <w:szCs w:val="30"/>
          <w:shd w:val="clear" w:color="auto" w:fill="FFFFFF"/>
        </w:rPr>
        <w:t>农作物秸秆综合利用重点项目县为契机，</w:t>
      </w:r>
      <w:r>
        <w:rPr>
          <w:rFonts w:hint="eastAsia" w:ascii="Times New Roman" w:hAnsi="Times New Roman" w:eastAsia="仿宋" w:cs="Times New Roman"/>
          <w:b w:val="0"/>
          <w:bCs w:val="0"/>
          <w:sz w:val="30"/>
          <w:szCs w:val="30"/>
          <w:shd w:val="clear" w:color="auto" w:fill="FFFFFF"/>
        </w:rPr>
        <w:t>进一步提升我县农作物秸秆综合利用水平</w:t>
      </w:r>
      <w:r>
        <w:rPr>
          <w:rFonts w:ascii="Times New Roman" w:hAnsi="Times New Roman" w:eastAsia="仿宋" w:cs="Times New Roman"/>
          <w:b w:val="0"/>
          <w:bCs w:val="0"/>
          <w:sz w:val="30"/>
          <w:szCs w:val="30"/>
          <w:shd w:val="clear" w:color="auto" w:fill="FFFFFF"/>
        </w:rPr>
        <w:t>。</w:t>
      </w:r>
    </w:p>
    <w:p w14:paraId="623B4E88">
      <w:pPr>
        <w:pStyle w:val="4"/>
        <w:rPr>
          <w:rFonts w:cs="Times New Roman" w:eastAsiaTheme="minorEastAsia"/>
          <w:shd w:val="clear" w:color="auto" w:fill="FFFFFF"/>
        </w:rPr>
      </w:pPr>
      <w:r>
        <w:rPr>
          <w:rFonts w:cs="Times New Roman" w:eastAsiaTheme="minorEastAsia"/>
          <w:shd w:val="clear" w:color="auto" w:fill="FFFFFF"/>
        </w:rPr>
        <w:t>二、项目目标</w:t>
      </w:r>
    </w:p>
    <w:p w14:paraId="12EC417F">
      <w:pPr>
        <w:pStyle w:val="3"/>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1指导思想</w:t>
      </w:r>
    </w:p>
    <w:p w14:paraId="5838B7B3">
      <w:pPr>
        <w:ind w:firstLine="600" w:firstLineChars="200"/>
        <w:rPr>
          <w:rFonts w:ascii="Times New Roman" w:hAnsi="Times New Roman" w:eastAsia="仿宋" w:cs="Times New Roman"/>
          <w:sz w:val="30"/>
          <w:szCs w:val="30"/>
          <w:shd w:val="clear" w:color="auto" w:fill="FFFFFF"/>
        </w:rPr>
      </w:pPr>
      <w:r>
        <w:rPr>
          <w:rFonts w:ascii="Times New Roman" w:hAnsi="Times New Roman" w:eastAsia="仿宋" w:cs="Times New Roman"/>
          <w:sz w:val="30"/>
          <w:szCs w:val="30"/>
          <w:shd w:val="clear" w:color="auto" w:fill="FFFFFF"/>
        </w:rPr>
        <w:t>坚持以习近平生态文明思想为指导，全面贯彻落实中央、省委及市委精神，牢固树立绿色发展和低碳农业理念，深入推进秸秆综合利用。坚持以秸秆农用为主，离田利用为辅，推动秸秆产业化发展，不断提升秸秆综合利用水平，为农业绿色发展、乡村振兴做出贡献。</w:t>
      </w:r>
    </w:p>
    <w:p w14:paraId="3D93547C">
      <w:pPr>
        <w:pStyle w:val="3"/>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2基本原则</w:t>
      </w:r>
    </w:p>
    <w:p w14:paraId="55E9D1BF">
      <w:pPr>
        <w:pStyle w:val="3"/>
        <w:ind w:firstLine="600" w:firstLineChars="200"/>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（1）多元利用，农用为主。因地制宜，多元利用，以秸秆高效还田为主，秸秆离田资源化利用为辅，构建具有浮梁县特色的秸秆综合利用模式。</w:t>
      </w:r>
    </w:p>
    <w:p w14:paraId="24438DA4">
      <w:pPr>
        <w:pStyle w:val="3"/>
        <w:ind w:firstLine="600" w:firstLineChars="200"/>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（2）因地制宜、突出重点。根据全县秸秆资源种类及分布，结合秸秆综合利用现状，选择重点区域，建设一批示范工程，扶持一批秸秆资源化利用企业，推进秸秆产业发展，提升秸秆综合利用水平。</w:t>
      </w:r>
    </w:p>
    <w:p w14:paraId="0DA20F9A">
      <w:pPr>
        <w:pStyle w:val="3"/>
        <w:ind w:firstLine="600" w:firstLineChars="200"/>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3）产业经营、市场运作。指导和鼓励新型现代农业经营主体（企业、农民专业合作社、家庭农场、种植大户）开展秸秆捡拾离田收储和资源化利用，发展产业经营，强化技术培训指导，加快先进成熟技术应用，充分发挥经营主体的能动性，建立以市场为导向的秸秆产业发展机制。</w:t>
      </w:r>
    </w:p>
    <w:p w14:paraId="57D9316C">
      <w:pPr>
        <w:pStyle w:val="3"/>
        <w:ind w:firstLine="600" w:firstLineChars="200"/>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4）科技推动、强化支撑。推进产学研相结合，整合资源，着力解决秸秆综合利用领域共性和关键性技术难题，提高技术、装备和工艺水平。积极构建秸秆长效机制，完善社会化服务体系，推动秸秆利用产业发展。</w:t>
      </w:r>
    </w:p>
    <w:p w14:paraId="2AC5F1CD">
      <w:pPr>
        <w:pStyle w:val="3"/>
        <w:jc w:val="both"/>
        <w:rPr>
          <w:rFonts w:ascii="Times New Roman" w:hAnsi="Times New Roman" w:eastAsia="仿宋" w:cs="Times New Roman"/>
          <w:b w:val="0"/>
          <w:bCs w:val="0"/>
          <w:kern w:val="0"/>
          <w:sz w:val="30"/>
          <w:szCs w:val="30"/>
          <w:shd w:val="clear" w:color="auto" w:fill="FFFFFF"/>
        </w:rPr>
      </w:pPr>
      <w:r>
        <w:rPr>
          <w:rFonts w:ascii="Times New Roman" w:hAnsi="Times New Roman" w:eastAsia="仿宋" w:cs="Times New Roman"/>
          <w:b w:val="0"/>
          <w:bCs w:val="0"/>
          <w:kern w:val="0"/>
          <w:sz w:val="30"/>
          <w:szCs w:val="30"/>
          <w:shd w:val="clear" w:color="auto" w:fill="FFFFFF"/>
        </w:rPr>
        <w:t>3总体目标</w:t>
      </w:r>
    </w:p>
    <w:p w14:paraId="048B23F8">
      <w:pPr>
        <w:ind w:firstLine="600" w:firstLineChars="200"/>
        <w:rPr>
          <w:rFonts w:ascii="Times New Roman" w:hAnsi="Times New Roman" w:eastAsia="仿宋" w:cs="Times New Roman"/>
          <w:kern w:val="0"/>
          <w:sz w:val="30"/>
          <w:szCs w:val="30"/>
          <w:shd w:val="clear" w:color="auto" w:fill="FFFFFF"/>
          <w:lang w:bidi="ar"/>
        </w:rPr>
      </w:pPr>
      <w:r>
        <w:rPr>
          <w:rFonts w:ascii="Times New Roman" w:hAnsi="Times New Roman" w:eastAsia="仿宋" w:cs="Times New Roman"/>
          <w:kern w:val="0"/>
          <w:sz w:val="30"/>
          <w:szCs w:val="30"/>
          <w:shd w:val="clear" w:color="auto" w:fill="FFFFFF"/>
          <w:lang w:bidi="ar"/>
        </w:rPr>
        <w:t>以农业绿色发展生态循环为导向，坚持农用优先，多元利用的原则，通过政府引导、市场运作，建立完善可长效运行的农作物秸秆综合利用运行机制，实现整县推进，辖域耕地地力质量得到提升，秸秆离田利用产业基本建成，收储运体系基本建立，有效解决因秸秆废弃和焚烧带来的资源浪费和环境污染等问题，促进乡村产业兴旺、生态振兴。精心安排秸秆还田、离田利用优先时序，因地制宜推广秸秆机械化粉碎还田、异地覆盖还田以及</w:t>
      </w:r>
      <w:r>
        <w:rPr>
          <w:rFonts w:hint="eastAsia" w:ascii="Times New Roman" w:hAnsi="Times New Roman" w:eastAsia="仿宋" w:cs="Times New Roman"/>
          <w:kern w:val="0"/>
          <w:sz w:val="30"/>
          <w:szCs w:val="30"/>
          <w:shd w:val="clear" w:color="auto" w:fill="FFFFFF"/>
          <w:lang w:eastAsia="zh-CN" w:bidi="ar"/>
        </w:rPr>
        <w:t>“</w:t>
      </w:r>
      <w:r>
        <w:rPr>
          <w:rFonts w:ascii="Times New Roman" w:hAnsi="Times New Roman" w:eastAsia="仿宋" w:cs="Times New Roman"/>
          <w:kern w:val="0"/>
          <w:sz w:val="30"/>
          <w:szCs w:val="30"/>
          <w:shd w:val="clear" w:color="auto" w:fill="FFFFFF"/>
          <w:lang w:bidi="ar"/>
        </w:rPr>
        <w:t>秸-饲-肥</w:t>
      </w:r>
      <w:r>
        <w:rPr>
          <w:rFonts w:hint="eastAsia" w:ascii="Times New Roman" w:hAnsi="Times New Roman" w:eastAsia="仿宋" w:cs="Times New Roman"/>
          <w:kern w:val="0"/>
          <w:sz w:val="30"/>
          <w:szCs w:val="30"/>
          <w:shd w:val="clear" w:color="auto" w:fill="FFFFFF"/>
          <w:lang w:eastAsia="zh-CN" w:bidi="ar"/>
        </w:rPr>
        <w:t>”</w:t>
      </w:r>
      <w:r>
        <w:rPr>
          <w:rFonts w:ascii="Times New Roman" w:hAnsi="Times New Roman" w:eastAsia="仿宋" w:cs="Times New Roman"/>
          <w:kern w:val="0"/>
          <w:sz w:val="30"/>
          <w:szCs w:val="30"/>
          <w:shd w:val="clear" w:color="auto" w:fill="FFFFFF"/>
          <w:lang w:bidi="ar"/>
        </w:rPr>
        <w:t>、</w:t>
      </w:r>
      <w:r>
        <w:rPr>
          <w:rFonts w:hint="eastAsia" w:ascii="Times New Roman" w:hAnsi="Times New Roman" w:eastAsia="仿宋" w:cs="Times New Roman"/>
          <w:kern w:val="0"/>
          <w:sz w:val="30"/>
          <w:szCs w:val="30"/>
          <w:shd w:val="clear" w:color="auto" w:fill="FFFFFF"/>
          <w:lang w:eastAsia="zh-CN" w:bidi="ar"/>
        </w:rPr>
        <w:t>“</w:t>
      </w:r>
      <w:r>
        <w:rPr>
          <w:rFonts w:ascii="Times New Roman" w:hAnsi="Times New Roman" w:eastAsia="仿宋" w:cs="Times New Roman"/>
          <w:kern w:val="0"/>
          <w:sz w:val="30"/>
          <w:szCs w:val="30"/>
          <w:shd w:val="clear" w:color="auto" w:fill="FFFFFF"/>
          <w:lang w:bidi="ar"/>
        </w:rPr>
        <w:t>秸-菌-肥</w:t>
      </w:r>
      <w:r>
        <w:rPr>
          <w:rFonts w:hint="eastAsia" w:ascii="Times New Roman" w:hAnsi="Times New Roman" w:eastAsia="仿宋" w:cs="Times New Roman"/>
          <w:kern w:val="0"/>
          <w:sz w:val="30"/>
          <w:szCs w:val="30"/>
          <w:shd w:val="clear" w:color="auto" w:fill="FFFFFF"/>
          <w:lang w:eastAsia="zh-CN" w:bidi="ar"/>
        </w:rPr>
        <w:t>”</w:t>
      </w:r>
      <w:r>
        <w:rPr>
          <w:rFonts w:ascii="Times New Roman" w:hAnsi="Times New Roman" w:eastAsia="仿宋" w:cs="Times New Roman"/>
          <w:kern w:val="0"/>
          <w:sz w:val="30"/>
          <w:szCs w:val="30"/>
          <w:shd w:val="clear" w:color="auto" w:fill="FFFFFF"/>
          <w:lang w:bidi="ar"/>
        </w:rPr>
        <w:t>等循环回田技术模式，提高土壤钾素利用率，促进农田土壤固碳增汇，巩固提升土地综合生产能力。合理布局秸秆利用产业和收储运体系，科学布局和建设秸秆收储运站</w:t>
      </w:r>
      <w:r>
        <w:rPr>
          <w:rFonts w:hint="eastAsia" w:ascii="Times New Roman" w:hAnsi="Times New Roman" w:eastAsia="仿宋" w:cs="Times New Roman"/>
          <w:kern w:val="0"/>
          <w:sz w:val="30"/>
          <w:szCs w:val="30"/>
          <w:shd w:val="clear" w:color="auto" w:fill="FFFFFF"/>
          <w:lang w:bidi="ar"/>
        </w:rPr>
        <w:t>（</w:t>
      </w:r>
      <w:r>
        <w:rPr>
          <w:rFonts w:ascii="Times New Roman" w:hAnsi="Times New Roman" w:eastAsia="仿宋" w:cs="Times New Roman"/>
          <w:kern w:val="0"/>
          <w:sz w:val="30"/>
          <w:szCs w:val="30"/>
          <w:shd w:val="clear" w:color="auto" w:fill="FFFFFF"/>
          <w:lang w:bidi="ar"/>
        </w:rPr>
        <w:t>点</w:t>
      </w:r>
      <w:r>
        <w:rPr>
          <w:rFonts w:hint="eastAsia" w:ascii="Times New Roman" w:hAnsi="Times New Roman" w:eastAsia="仿宋" w:cs="Times New Roman"/>
          <w:kern w:val="0"/>
          <w:sz w:val="30"/>
          <w:szCs w:val="30"/>
          <w:shd w:val="clear" w:color="auto" w:fill="FFFFFF"/>
          <w:lang w:bidi="ar"/>
        </w:rPr>
        <w:t>）</w:t>
      </w:r>
      <w:r>
        <w:rPr>
          <w:rFonts w:ascii="Times New Roman" w:hAnsi="Times New Roman" w:eastAsia="仿宋" w:cs="Times New Roman"/>
          <w:kern w:val="0"/>
          <w:sz w:val="30"/>
          <w:szCs w:val="30"/>
          <w:shd w:val="clear" w:color="auto" w:fill="FFFFFF"/>
          <w:lang w:bidi="ar"/>
        </w:rPr>
        <w:t>，按照合理运输半径，建设市有龙头企业、乡镇有规范收储组织、村有固定收储网点的收储运体系，调整优化秸秆综合利用结构，加快推进秸秆产业高质量发展和转型升级，</w:t>
      </w:r>
      <w:bookmarkStart w:id="1" w:name="OLE_LINK4"/>
      <w:r>
        <w:rPr>
          <w:rFonts w:hint="eastAsia" w:ascii="Times New Roman" w:hAnsi="Times New Roman" w:eastAsia="仿宋" w:cs="Times New Roman"/>
          <w:kern w:val="0"/>
          <w:sz w:val="30"/>
          <w:szCs w:val="30"/>
          <w:shd w:val="clear" w:color="auto" w:fill="FFFFFF"/>
          <w:lang w:bidi="ar"/>
        </w:rPr>
        <w:t>建立秸秆资源综合利用信息化监管机制，健全区域秸秆综合利用资源台账。推动全县秸秆综合利用率达到95%以上，其中中晚稻秸秆离田利用率力争达到50%以上。</w:t>
      </w:r>
      <w:bookmarkEnd w:id="1"/>
    </w:p>
    <w:p w14:paraId="48B5E051">
      <w:pPr>
        <w:ind w:firstLine="602" w:firstLineChars="200"/>
        <w:rPr>
          <w:rFonts w:ascii="Times New Roman" w:hAnsi="Times New Roman" w:eastAsia="仿宋" w:cs="Times New Roman"/>
          <w:b/>
          <w:bCs/>
          <w:sz w:val="30"/>
          <w:szCs w:val="30"/>
        </w:rPr>
      </w:pPr>
      <w:r>
        <w:rPr>
          <w:rFonts w:ascii="Times New Roman" w:hAnsi="Times New Roman" w:eastAsia="仿宋" w:cs="Times New Roman"/>
          <w:b/>
          <w:bCs/>
          <w:kern w:val="0"/>
          <w:sz w:val="30"/>
          <w:szCs w:val="30"/>
          <w:shd w:val="clear" w:color="auto" w:fill="FFFFFF"/>
          <w:lang w:bidi="ar"/>
        </w:rPr>
        <w:t>一是</w:t>
      </w:r>
      <w:r>
        <w:rPr>
          <w:rStyle w:val="11"/>
          <w:rFonts w:ascii="Times New Roman" w:hAnsi="Times New Roman" w:cs="Times New Roman"/>
          <w:sz w:val="30"/>
          <w:szCs w:val="30"/>
        </w:rPr>
        <w:t>健全收储运用体系</w:t>
      </w:r>
      <w:r>
        <w:rPr>
          <w:rStyle w:val="11"/>
          <w:rFonts w:ascii="Times New Roman" w:hAnsi="Times New Roman" w:cs="Times New Roman"/>
          <w:b w:val="0"/>
          <w:bCs w:val="0"/>
          <w:sz w:val="30"/>
          <w:szCs w:val="30"/>
        </w:rPr>
        <w:t>，</w:t>
      </w:r>
      <w:r>
        <w:rPr>
          <w:rFonts w:ascii="Times New Roman" w:hAnsi="Times New Roman" w:eastAsia="仿宋" w:cs="Times New Roman"/>
          <w:sz w:val="30"/>
          <w:szCs w:val="30"/>
        </w:rPr>
        <w:t>以</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秸秆就地就近利用</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为原则，按照</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政府引导+企业主导</w:t>
      </w:r>
      <w:r>
        <w:rPr>
          <w:rFonts w:ascii="Times New Roman" w:hAnsi="Times New Roman" w:eastAsia="仿宋" w:cs="Times New Roman"/>
          <w:b/>
          <w:bCs/>
          <w:sz w:val="30"/>
          <w:szCs w:val="30"/>
        </w:rPr>
        <w:t>+</w:t>
      </w:r>
      <w:r>
        <w:rPr>
          <w:rFonts w:ascii="Times New Roman" w:hAnsi="Times New Roman" w:eastAsia="仿宋" w:cs="Times New Roman"/>
          <w:sz w:val="30"/>
          <w:szCs w:val="30"/>
        </w:rPr>
        <w:t>农民参与</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的运作方式，加快构建政府、企业、农户三方共赢的产销合作利益链接机制，提高商品化秸秆收储运能力。</w:t>
      </w:r>
      <w:r>
        <w:rPr>
          <w:rFonts w:ascii="Times New Roman" w:hAnsi="Times New Roman" w:eastAsia="仿宋" w:cs="Times New Roman"/>
          <w:b/>
          <w:bCs/>
          <w:kern w:val="0"/>
          <w:sz w:val="30"/>
          <w:szCs w:val="30"/>
          <w:shd w:val="clear" w:color="auto" w:fill="FFFFFF"/>
          <w:lang w:bidi="ar"/>
        </w:rPr>
        <w:t>二是</w:t>
      </w:r>
      <w:r>
        <w:rPr>
          <w:rStyle w:val="11"/>
          <w:rFonts w:ascii="Times New Roman" w:hAnsi="Times New Roman" w:cs="Times New Roman"/>
          <w:sz w:val="30"/>
          <w:szCs w:val="30"/>
        </w:rPr>
        <w:t>提升秸秆还田水平</w:t>
      </w:r>
      <w:r>
        <w:rPr>
          <w:rStyle w:val="11"/>
          <w:rFonts w:ascii="Times New Roman" w:hAnsi="Times New Roman" w:cs="Times New Roman"/>
          <w:b w:val="0"/>
          <w:bCs w:val="0"/>
          <w:sz w:val="30"/>
          <w:szCs w:val="30"/>
        </w:rPr>
        <w:t>，</w:t>
      </w:r>
      <w:r>
        <w:rPr>
          <w:rFonts w:ascii="Times New Roman" w:hAnsi="Times New Roman" w:eastAsia="仿宋" w:cs="Times New Roman"/>
          <w:sz w:val="30"/>
          <w:szCs w:val="30"/>
        </w:rPr>
        <w:t>以提升土壤有机质、改善耕层结构为方向，因地制宜推广秸秆机械化深翻还田等成熟技术，并配套完善田间水肥管理。结合地方种养业特色，鼓励推广</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秸-菌-肥</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秸-饲-肥</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等</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秸秆农用、循环回田</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的秸秆循环利用技术模式，发挥秸秆在种养结合中的纽带作用，实现农业资源高质高效利用，进一步提升农业综合效益。</w:t>
      </w:r>
      <w:r>
        <w:rPr>
          <w:rFonts w:ascii="Times New Roman" w:hAnsi="Times New Roman" w:eastAsia="仿宋" w:cs="Times New Roman"/>
          <w:b/>
          <w:bCs/>
          <w:sz w:val="30"/>
          <w:szCs w:val="30"/>
        </w:rPr>
        <w:t>三是</w:t>
      </w:r>
      <w:r>
        <w:rPr>
          <w:rStyle w:val="11"/>
          <w:rFonts w:ascii="Times New Roman" w:hAnsi="Times New Roman" w:cs="Times New Roman"/>
          <w:sz w:val="30"/>
          <w:szCs w:val="30"/>
        </w:rPr>
        <w:t>加快市场主体培育</w:t>
      </w:r>
      <w:r>
        <w:rPr>
          <w:rStyle w:val="11"/>
          <w:rFonts w:ascii="Times New Roman" w:hAnsi="Times New Roman" w:cs="Times New Roman"/>
          <w:b w:val="0"/>
          <w:bCs w:val="0"/>
          <w:sz w:val="30"/>
          <w:szCs w:val="30"/>
        </w:rPr>
        <w:t>，</w:t>
      </w:r>
      <w:r>
        <w:rPr>
          <w:rFonts w:hint="eastAsia" w:ascii="Times New Roman" w:hAnsi="Times New Roman" w:eastAsia="仿宋" w:cs="Times New Roman"/>
          <w:sz w:val="30"/>
          <w:szCs w:val="30"/>
        </w:rPr>
        <w:t>以肥料化、饲料化、燃料化利用为主</w:t>
      </w:r>
      <w:r>
        <w:rPr>
          <w:rFonts w:ascii="Times New Roman" w:hAnsi="Times New Roman" w:eastAsia="仿宋" w:cs="Times New Roman"/>
          <w:sz w:val="30"/>
          <w:szCs w:val="30"/>
        </w:rPr>
        <w:t>，发展秸秆规模化生产生物质颗粒、饲养草食动物等特色产业。培育一批秸秆收储、还田等经营主体，发展一批秸秆离田规模化市场利用主体，打造一批可推广、易复制、能持久的秸秆综合利用技术模式；延伸产业链、提升价值链，加快推进秸秆综合利用产业结构优化和提质增效。</w:t>
      </w:r>
      <w:r>
        <w:rPr>
          <w:rFonts w:ascii="Times New Roman" w:hAnsi="Times New Roman" w:eastAsia="仿宋" w:cs="Times New Roman"/>
          <w:b/>
          <w:bCs/>
          <w:sz w:val="30"/>
          <w:szCs w:val="30"/>
        </w:rPr>
        <w:t>四是</w:t>
      </w:r>
      <w:r>
        <w:rPr>
          <w:rStyle w:val="11"/>
          <w:rFonts w:ascii="Times New Roman" w:hAnsi="Times New Roman" w:cs="Times New Roman"/>
          <w:sz w:val="30"/>
          <w:szCs w:val="30"/>
        </w:rPr>
        <w:t>建立秸秆资源综合利用监管平台</w:t>
      </w:r>
      <w:r>
        <w:rPr>
          <w:rStyle w:val="11"/>
          <w:rFonts w:ascii="Times New Roman" w:hAnsi="Times New Roman" w:cs="Times New Roman"/>
          <w:b w:val="0"/>
          <w:bCs w:val="0"/>
          <w:sz w:val="30"/>
          <w:szCs w:val="30"/>
        </w:rPr>
        <w:t>，</w:t>
      </w:r>
      <w:r>
        <w:rPr>
          <w:rFonts w:hint="eastAsia" w:ascii="Times New Roman" w:hAnsi="Times New Roman" w:eastAsia="仿宋" w:cs="Times New Roman"/>
          <w:sz w:val="30"/>
          <w:szCs w:val="30"/>
        </w:rPr>
        <w:t>完善秸秆综合利用数字化监管机制，统筹推进资源台账、补贴管理、技术指导等全过程管理，形成县级监管、属地负责、合作社（企业、种植大户）实施的三级联动管理机制，健全区域秸秆综合利用资源台账。</w:t>
      </w:r>
    </w:p>
    <w:p w14:paraId="701BBBBD">
      <w:pPr>
        <w:pStyle w:val="4"/>
        <w:rPr>
          <w:rFonts w:cs="Times New Roman" w:eastAsiaTheme="minorEastAsia"/>
          <w:shd w:val="clear" w:color="auto" w:fill="FFFFFF"/>
        </w:rPr>
      </w:pPr>
      <w:r>
        <w:rPr>
          <w:rFonts w:cs="Times New Roman" w:eastAsiaTheme="minorEastAsia"/>
          <w:shd w:val="clear" w:color="auto" w:fill="FFFFFF"/>
        </w:rPr>
        <w:t>三、项目建设内容</w:t>
      </w:r>
    </w:p>
    <w:p w14:paraId="72FE3220">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项目共计投入中央财政秸秆综合利用项目资金</w:t>
      </w:r>
      <w:r>
        <w:rPr>
          <w:rFonts w:hint="eastAsia" w:ascii="Times New Roman" w:hAnsi="Times New Roman" w:eastAsia="仿宋" w:cs="Times New Roman"/>
          <w:sz w:val="30"/>
          <w:szCs w:val="30"/>
          <w:lang w:val="en-US" w:eastAsia="zh-CN"/>
        </w:rPr>
        <w:t>260</w:t>
      </w:r>
      <w:r>
        <w:rPr>
          <w:rFonts w:ascii="Times New Roman" w:hAnsi="Times New Roman" w:eastAsia="仿宋" w:cs="Times New Roman"/>
          <w:sz w:val="30"/>
          <w:szCs w:val="30"/>
        </w:rPr>
        <w:t>万元。项目资金主要用于秸秆燃料化、饲料化、肥料化利用项目、秸秆收储运体系建设、还田示范片建设、建立全县秸秆台帐、宣传培训等方面。资金使用采取</w:t>
      </w:r>
      <w:r>
        <w:rPr>
          <w:rFonts w:hint="eastAsia" w:ascii="Times New Roman" w:hAnsi="Times New Roman" w:eastAsia="仿宋" w:cs="Times New Roman"/>
          <w:sz w:val="30"/>
          <w:szCs w:val="30"/>
        </w:rPr>
        <w:t>“</w:t>
      </w:r>
      <w:r>
        <w:rPr>
          <w:rFonts w:ascii="Times New Roman" w:hAnsi="Times New Roman" w:eastAsia="仿宋" w:cs="Times New Roman"/>
          <w:sz w:val="30"/>
          <w:szCs w:val="30"/>
        </w:rPr>
        <w:t>以奖代补、先建后补</w:t>
      </w:r>
      <w:r>
        <w:rPr>
          <w:rFonts w:hint="eastAsia" w:ascii="Times New Roman" w:hAnsi="Times New Roman" w:eastAsia="仿宋" w:cs="Times New Roman"/>
          <w:sz w:val="30"/>
          <w:szCs w:val="30"/>
        </w:rPr>
        <w:t>”</w:t>
      </w:r>
      <w:r>
        <w:rPr>
          <w:rFonts w:ascii="Times New Roman" w:hAnsi="Times New Roman" w:eastAsia="仿宋" w:cs="Times New Roman"/>
          <w:sz w:val="30"/>
          <w:szCs w:val="30"/>
        </w:rPr>
        <w:t>的方式，支持秸秆综合利用的重点领域和收储运体系环节。</w:t>
      </w:r>
    </w:p>
    <w:p w14:paraId="11146295">
      <w:pPr>
        <w:pStyle w:val="5"/>
        <w:jc w:val="both"/>
        <w:rPr>
          <w:rFonts w:cs="Times New Roman"/>
        </w:rPr>
      </w:pPr>
      <w:r>
        <w:rPr>
          <w:rFonts w:cs="Times New Roman"/>
        </w:rPr>
        <w:t>(一) 基础工作</w:t>
      </w:r>
    </w:p>
    <w:p w14:paraId="0586919C">
      <w:pPr>
        <w:pStyle w:val="6"/>
        <w:rPr>
          <w:rFonts w:cs="Times New Roman"/>
        </w:rPr>
      </w:pPr>
      <w:r>
        <w:rPr>
          <w:rFonts w:cs="Times New Roman"/>
        </w:rPr>
        <w:t>1、秸秆资源台账建设</w:t>
      </w:r>
    </w:p>
    <w:p w14:paraId="1A5B0D59">
      <w:pPr>
        <w:pStyle w:val="6"/>
        <w:rPr>
          <w:rFonts w:cs="Times New Roman"/>
        </w:rPr>
      </w:pPr>
      <w:r>
        <w:rPr>
          <w:rFonts w:cs="Times New Roman"/>
        </w:rPr>
        <w:t>（1）做好农作物草谷比、秸秆可收集系数监测，产生量台账</w:t>
      </w:r>
    </w:p>
    <w:p w14:paraId="55396F4C">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选择水稻、油菜2个主要农作物种类进行草谷比、秸秆可收集系数监测。一是获取理论资源量数据。理论资源量为粮食产量与该农作物草谷比的乘积，草谷比通过现场取样、检测、计算获得当地草谷比。二是获取可收集资源量数据。可收集资源量为理论资源量与收集系数的乘积，收集系数为某一区域某种农作物秸秆可收集资源量与理论资源量的比值，可以采用推荐的作物秸秆收集系数，也可以通过实地调查作物割茬高度占作物株高的比例和秸秆枝叶损失率计算。通过科学规范监测，全面掌握全县秸秆产生情况，建立全县秸秆产生量台账。农作物草谷比、秸秆可收集系数监测具体由县农业农村局组织专家负责实施。</w:t>
      </w:r>
    </w:p>
    <w:p w14:paraId="7C315C04">
      <w:pPr>
        <w:pStyle w:val="6"/>
        <w:rPr>
          <w:rFonts w:cs="Times New Roman"/>
        </w:rPr>
      </w:pPr>
      <w:r>
        <w:rPr>
          <w:rFonts w:cs="Times New Roman"/>
        </w:rPr>
        <w:t>（2）做好农作物秸秆直接还田量台账</w:t>
      </w:r>
    </w:p>
    <w:p w14:paraId="176FAC1A">
      <w:pPr>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lang w:val="en-US" w:eastAsia="zh-CN"/>
        </w:rPr>
        <w:t>一</w:t>
      </w:r>
      <w:r>
        <w:rPr>
          <w:rFonts w:ascii="Times New Roman" w:hAnsi="Times New Roman" w:eastAsia="仿宋" w:cs="Times New Roman"/>
          <w:sz w:val="30"/>
          <w:szCs w:val="30"/>
        </w:rPr>
        <w:t>是做好市场主体规模化利用调查。通过对区域内所有从事秸秆</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五料化</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利用的市场主体进行普查可获得市场主体规模化秸秆利用量；</w:t>
      </w:r>
      <w:r>
        <w:rPr>
          <w:rFonts w:hint="eastAsia" w:ascii="Times New Roman" w:hAnsi="Times New Roman" w:eastAsia="仿宋" w:cs="Times New Roman"/>
          <w:sz w:val="30"/>
          <w:szCs w:val="30"/>
          <w:lang w:val="en-US" w:eastAsia="zh-CN"/>
        </w:rPr>
        <w:t>二</w:t>
      </w:r>
      <w:r>
        <w:rPr>
          <w:rFonts w:ascii="Times New Roman" w:hAnsi="Times New Roman" w:eastAsia="仿宋" w:cs="Times New Roman"/>
          <w:sz w:val="30"/>
          <w:szCs w:val="30"/>
        </w:rPr>
        <w:t>是做好秸秆直接还田量调查。通过统计、计算或估算可收集资源量与还田比例的乘积</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得出直接还田量。还田比例为秸秆还田量占可收集资源量的比重。</w:t>
      </w:r>
    </w:p>
    <w:p w14:paraId="032D571C">
      <w:pPr>
        <w:pStyle w:val="6"/>
        <w:rPr>
          <w:rFonts w:cs="Times New Roman"/>
        </w:rPr>
      </w:pPr>
      <w:r>
        <w:rPr>
          <w:rFonts w:cs="Times New Roman"/>
        </w:rPr>
        <w:t>（3）农作物秸秆还田监测</w:t>
      </w:r>
    </w:p>
    <w:p w14:paraId="322A0DBB">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选择我县具有代表性的鹅湖镇主要粮食作物双季稻种植模式地布设1个秸秆还田监测点位，在浮梁镇、瑶里镇、鹅湖镇、湘湖镇、寿安镇、三龙镇、蛟潭镇、经公桥镇、峙滩镇、西湖乡、勒功乡、江村乡、兴田乡、黄坛乡、臧湾乡、王港乡设置不少于10个秸秆还田调查点位，开展秸秆还田效果监测与评价</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由县农业农村局组织专家负责实施。</w:t>
      </w:r>
    </w:p>
    <w:p w14:paraId="7035E167">
      <w:pPr>
        <w:pStyle w:val="6"/>
        <w:rPr>
          <w:rFonts w:cs="Times New Roman"/>
        </w:rPr>
      </w:pPr>
      <w:r>
        <w:rPr>
          <w:rFonts w:cs="Times New Roman"/>
        </w:rPr>
        <w:t>（4）做好农作物秸秆市场需求台账</w:t>
      </w:r>
    </w:p>
    <w:p w14:paraId="69E645B7">
      <w:pPr>
        <w:pStyle w:val="2"/>
        <w:ind w:firstLine="300"/>
        <w:jc w:val="both"/>
        <w:rPr>
          <w:rFonts w:ascii="Times New Roman" w:hAnsi="Times New Roman" w:eastAsia="仿宋"/>
          <w:b w:val="0"/>
          <w:bCs w:val="0"/>
          <w:kern w:val="2"/>
          <w:sz w:val="30"/>
          <w:szCs w:val="30"/>
        </w:rPr>
      </w:pPr>
      <w:r>
        <w:rPr>
          <w:rFonts w:ascii="Times New Roman" w:hAnsi="Times New Roman" w:eastAsia="仿宋"/>
          <w:b w:val="0"/>
          <w:bCs w:val="0"/>
          <w:kern w:val="2"/>
          <w:sz w:val="30"/>
          <w:szCs w:val="30"/>
        </w:rPr>
        <w:t>结合浮梁县养殖企业、</w:t>
      </w:r>
      <w:bookmarkStart w:id="2" w:name="_Hlk193637591"/>
      <w:r>
        <w:rPr>
          <w:rFonts w:ascii="Times New Roman" w:hAnsi="Times New Roman" w:eastAsia="仿宋"/>
          <w:b w:val="0"/>
          <w:bCs w:val="0"/>
          <w:kern w:val="2"/>
          <w:sz w:val="30"/>
          <w:szCs w:val="30"/>
        </w:rPr>
        <w:t>生物质颗粒企业</w:t>
      </w:r>
      <w:bookmarkEnd w:id="2"/>
      <w:r>
        <w:rPr>
          <w:rFonts w:ascii="Times New Roman" w:hAnsi="Times New Roman" w:eastAsia="仿宋"/>
          <w:b w:val="0"/>
          <w:bCs w:val="0"/>
          <w:kern w:val="2"/>
          <w:sz w:val="30"/>
          <w:szCs w:val="30"/>
        </w:rPr>
        <w:t>数据，重点统计草食动物养殖集中乡镇（如蛟潭镇、经公桥镇、鹅湖镇）的饲料需求、生物质颗粒企业燃料需求，定向规划</w:t>
      </w:r>
      <w:bookmarkStart w:id="3" w:name="_Hlk193637473"/>
      <w:r>
        <w:rPr>
          <w:rFonts w:ascii="Times New Roman" w:hAnsi="Times New Roman" w:eastAsia="仿宋"/>
          <w:b w:val="0"/>
          <w:bCs w:val="0"/>
          <w:kern w:val="2"/>
          <w:sz w:val="30"/>
          <w:szCs w:val="30"/>
        </w:rPr>
        <w:t>秸秆饲料化</w:t>
      </w:r>
      <w:bookmarkEnd w:id="3"/>
      <w:r>
        <w:rPr>
          <w:rFonts w:ascii="Times New Roman" w:hAnsi="Times New Roman" w:eastAsia="仿宋"/>
          <w:b w:val="0"/>
          <w:bCs w:val="0"/>
          <w:kern w:val="2"/>
          <w:sz w:val="30"/>
          <w:szCs w:val="30"/>
        </w:rPr>
        <w:t>、燃料化供应。</w:t>
      </w:r>
    </w:p>
    <w:p w14:paraId="0230C260">
      <w:pPr>
        <w:pStyle w:val="6"/>
        <w:rPr>
          <w:rFonts w:cs="Times New Roman"/>
        </w:rPr>
      </w:pPr>
      <w:r>
        <w:rPr>
          <w:rFonts w:cs="Times New Roman"/>
        </w:rPr>
        <w:t>2、收储运体系建设</w:t>
      </w:r>
    </w:p>
    <w:p w14:paraId="36D389DD">
      <w:pPr>
        <w:pStyle w:val="6"/>
        <w:rPr>
          <w:rFonts w:cs="Times New Roman"/>
        </w:rPr>
      </w:pPr>
      <w:r>
        <w:rPr>
          <w:rFonts w:cs="Times New Roman"/>
        </w:rPr>
        <w:t>（1）建设完善秸秆收储运体系</w:t>
      </w:r>
    </w:p>
    <w:p w14:paraId="7D0DF6B7">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按照</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政府引导+企业主导+农民参与</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的运行模式，以秸秆资源化利用主体企业为中心，遵循就近就地原则，建设辐射全县秸秆离田资源化利用收储运体系。使我县秸秆资源化水平得到提高，减少秸秆资源的浪费与流失，为我县草食动物养殖产业和生物质等产业秸秆原料实现本土化提供保障，建设成市级有龙头企业、乡镇有规范收储组织、村有固定收储网点的收储运体系，推进我县秸秆收储（运）专业化、标准化、市场化。</w:t>
      </w:r>
    </w:p>
    <w:p w14:paraId="125D7FD3">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秸秆捡拾打捆离田要求：每个秸秆收储点年须完成秸秆捡拾打捆离田建设规模要求，且打捆秸秆的形状和重量与打捆机型号相符，每亩稻田捡拾打捆的秸秆量不能少于300公斤。</w:t>
      </w:r>
    </w:p>
    <w:p w14:paraId="5AE72E02">
      <w:pPr>
        <w:pStyle w:val="6"/>
        <w:rPr>
          <w:rFonts w:cs="Times New Roman"/>
        </w:rPr>
      </w:pPr>
      <w:r>
        <w:rPr>
          <w:rFonts w:cs="Times New Roman"/>
        </w:rPr>
        <w:t>（2）加强主体培育</w:t>
      </w:r>
    </w:p>
    <w:p w14:paraId="1B098092">
      <w:pPr>
        <w:pStyle w:val="2"/>
        <w:ind w:firstLine="600" w:firstLineChars="200"/>
        <w:jc w:val="both"/>
        <w:rPr>
          <w:rFonts w:ascii="Times New Roman" w:hAnsi="Times New Roman" w:eastAsia="仿宋"/>
          <w:b w:val="0"/>
          <w:bCs w:val="0"/>
          <w:kern w:val="2"/>
          <w:sz w:val="30"/>
          <w:szCs w:val="30"/>
        </w:rPr>
      </w:pPr>
      <w:r>
        <w:rPr>
          <w:rFonts w:hint="eastAsia" w:ascii="Times New Roman" w:hAnsi="Times New Roman" w:eastAsia="仿宋"/>
          <w:b w:val="0"/>
          <w:bCs w:val="0"/>
          <w:kern w:val="2"/>
          <w:sz w:val="30"/>
          <w:szCs w:val="30"/>
        </w:rPr>
        <w:t>力争培育一批收储能力达千吨以上的秸秆收储运主体。优先支持</w:t>
      </w:r>
      <w:r>
        <w:rPr>
          <w:rFonts w:ascii="Times New Roman" w:hAnsi="Times New Roman" w:eastAsia="仿宋"/>
          <w:b w:val="0"/>
          <w:bCs w:val="0"/>
          <w:kern w:val="2"/>
          <w:sz w:val="30"/>
          <w:szCs w:val="30"/>
        </w:rPr>
        <w:t>已登记养殖企业（如</w:t>
      </w:r>
      <w:r>
        <w:rPr>
          <w:rFonts w:ascii="Times New Roman" w:hAnsi="Times New Roman" w:eastAsia="仿宋"/>
          <w:sz w:val="30"/>
          <w:szCs w:val="30"/>
        </w:rPr>
        <w:t>浮梁浩然农牧业发展有限公司</w:t>
      </w:r>
      <w:r>
        <w:rPr>
          <w:rFonts w:ascii="Times New Roman" w:hAnsi="Times New Roman" w:eastAsia="仿宋"/>
          <w:b w:val="0"/>
          <w:bCs w:val="0"/>
          <w:kern w:val="2"/>
          <w:sz w:val="30"/>
          <w:szCs w:val="30"/>
        </w:rPr>
        <w:t>）参与收储体系建设，打通秸秆利用产业发展瓶颈，同时解决了秸秆焚烧污染环境问题。</w:t>
      </w:r>
    </w:p>
    <w:p w14:paraId="4758E56C">
      <w:pPr>
        <w:pStyle w:val="6"/>
        <w:rPr>
          <w:rFonts w:cs="Times New Roman"/>
        </w:rPr>
      </w:pPr>
      <w:r>
        <w:rPr>
          <w:rFonts w:cs="Times New Roman"/>
        </w:rPr>
        <w:t>3、全过程管理监管</w:t>
      </w:r>
    </w:p>
    <w:p w14:paraId="2D9AA7D1">
      <w:pPr>
        <w:ind w:firstLine="600" w:firstLineChars="200"/>
        <w:rPr>
          <w:rFonts w:ascii="Times New Roman" w:hAnsi="Times New Roman" w:cs="Times New Roman"/>
        </w:rPr>
      </w:pPr>
      <w:r>
        <w:rPr>
          <w:rFonts w:hint="eastAsia" w:ascii="Times New Roman" w:hAnsi="Times New Roman" w:eastAsia="仿宋" w:cs="Times New Roman"/>
          <w:sz w:val="30"/>
          <w:szCs w:val="30"/>
        </w:rPr>
        <w:t>开展秸秆综合利用台账管理，建立资源登记、补贴事项、技术服务、供需对接等基础记录，做好秸秆资源摸排、补贴资料审核、技术指导、台账整理和统计汇总等工作。及时登记秸秆产生量、收储点库存、养殖场需求等情况，为收储、还田、设备购置等补贴事项提供依据。整理秸秆还田技术资料，记录专家咨询和服务指导情况，促进养殖场与收储主体对接，做到供需有记录、匹配有依据、过程可追溯、数据可汇总。</w:t>
      </w:r>
    </w:p>
    <w:p w14:paraId="61593DFB">
      <w:pPr>
        <w:pStyle w:val="6"/>
        <w:rPr>
          <w:rFonts w:cs="Times New Roman"/>
        </w:rPr>
      </w:pPr>
      <w:r>
        <w:rPr>
          <w:rFonts w:cs="Times New Roman"/>
        </w:rPr>
        <w:t>4、宣传推广与技术培训</w:t>
      </w:r>
    </w:p>
    <w:p w14:paraId="433DF0BE">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聘请符合条件的第三方机构建设开展宣传推广活动，向各类媒体推送农作物秸秆综合利用项目推进、工作动态、技术推广等方面信息资讯；同时通过张贴宣传标语、发放技术宣传资料、开展技术咨询服务活动，加强对秸秆综合利用知识的普及，让广大群众充分认识秸秆综合利用技术的重大意义，确保秸秆收储运工作顺利进行，秸秆综合利用技术推广。</w:t>
      </w:r>
    </w:p>
    <w:p w14:paraId="3A4993F2">
      <w:pPr>
        <w:pStyle w:val="5"/>
        <w:jc w:val="both"/>
        <w:rPr>
          <w:rFonts w:cs="Times New Roman"/>
        </w:rPr>
      </w:pPr>
      <w:r>
        <w:rPr>
          <w:rFonts w:cs="Times New Roman"/>
        </w:rPr>
        <w:t>(二)秸秆综合利用的主要路径</w:t>
      </w:r>
    </w:p>
    <w:p w14:paraId="487C6F38">
      <w:pPr>
        <w:pStyle w:val="6"/>
        <w:rPr>
          <w:rFonts w:cs="Times New Roman"/>
        </w:rPr>
      </w:pPr>
      <w:r>
        <w:rPr>
          <w:rFonts w:cs="Times New Roman"/>
        </w:rPr>
        <w:t>1.秸秆高质量还田</w:t>
      </w:r>
    </w:p>
    <w:p w14:paraId="33BD8C79">
      <w:pPr>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因地制宜推广使用</w:t>
      </w:r>
      <w:r>
        <w:rPr>
          <w:rFonts w:ascii="Times New Roman" w:hAnsi="Times New Roman" w:eastAsia="仿宋" w:cs="Times New Roman"/>
          <w:sz w:val="30"/>
          <w:szCs w:val="30"/>
        </w:rPr>
        <w:t>新型高效秸秆粉碎机、双轴粉碎旋耕机、大马力机械粉碎还田、异地覆盖还田提升秸秆还田质量。以及</w:t>
      </w:r>
      <w:r>
        <w:rPr>
          <w:rFonts w:hint="eastAsia" w:ascii="Times New Roman" w:hAnsi="Times New Roman" w:eastAsia="仿宋" w:cs="Times New Roman"/>
          <w:sz w:val="30"/>
          <w:szCs w:val="30"/>
        </w:rPr>
        <w:t>“</w:t>
      </w:r>
      <w:r>
        <w:rPr>
          <w:rFonts w:ascii="Times New Roman" w:hAnsi="Times New Roman" w:eastAsia="仿宋" w:cs="Times New Roman"/>
          <w:sz w:val="30"/>
          <w:szCs w:val="30"/>
        </w:rPr>
        <w:t>秸</w:t>
      </w:r>
      <w:r>
        <w:rPr>
          <w:rFonts w:hint="eastAsia" w:ascii="Times New Roman" w:hAnsi="Times New Roman" w:eastAsia="仿宋" w:cs="Times New Roman"/>
          <w:sz w:val="30"/>
          <w:szCs w:val="30"/>
        </w:rPr>
        <w:t>—</w:t>
      </w:r>
      <w:r>
        <w:rPr>
          <w:rFonts w:ascii="Times New Roman" w:hAnsi="Times New Roman" w:eastAsia="仿宋" w:cs="Times New Roman"/>
          <w:sz w:val="30"/>
          <w:szCs w:val="30"/>
        </w:rPr>
        <w:t>菌</w:t>
      </w:r>
      <w:r>
        <w:rPr>
          <w:rFonts w:hint="eastAsia" w:ascii="Times New Roman" w:hAnsi="Times New Roman" w:eastAsia="仿宋" w:cs="Times New Roman"/>
          <w:sz w:val="30"/>
          <w:szCs w:val="30"/>
        </w:rPr>
        <w:t>—</w:t>
      </w:r>
      <w:r>
        <w:rPr>
          <w:rFonts w:ascii="Times New Roman" w:hAnsi="Times New Roman" w:eastAsia="仿宋" w:cs="Times New Roman"/>
          <w:sz w:val="30"/>
          <w:szCs w:val="30"/>
        </w:rPr>
        <w:t>肥</w:t>
      </w:r>
      <w:r>
        <w:rPr>
          <w:rFonts w:hint="eastAsia" w:ascii="Times New Roman" w:hAnsi="Times New Roman" w:eastAsia="仿宋" w:cs="Times New Roman"/>
          <w:sz w:val="30"/>
          <w:szCs w:val="30"/>
        </w:rPr>
        <w:t>”</w:t>
      </w:r>
      <w:r>
        <w:rPr>
          <w:rFonts w:ascii="Times New Roman" w:hAnsi="Times New Roman" w:eastAsia="仿宋" w:cs="Times New Roman"/>
          <w:sz w:val="30"/>
          <w:szCs w:val="30"/>
        </w:rPr>
        <w:t>、</w:t>
      </w:r>
      <w:r>
        <w:rPr>
          <w:rFonts w:hint="eastAsia" w:ascii="Times New Roman" w:hAnsi="Times New Roman" w:eastAsia="仿宋" w:cs="Times New Roman"/>
          <w:sz w:val="30"/>
          <w:szCs w:val="30"/>
        </w:rPr>
        <w:t>“</w:t>
      </w:r>
      <w:r>
        <w:rPr>
          <w:rFonts w:ascii="Times New Roman" w:hAnsi="Times New Roman" w:eastAsia="仿宋" w:cs="Times New Roman"/>
          <w:sz w:val="30"/>
          <w:szCs w:val="30"/>
        </w:rPr>
        <w:t>秸</w:t>
      </w:r>
      <w:r>
        <w:rPr>
          <w:rFonts w:hint="eastAsia" w:ascii="Times New Roman" w:hAnsi="Times New Roman" w:eastAsia="仿宋" w:cs="Times New Roman"/>
          <w:sz w:val="30"/>
          <w:szCs w:val="30"/>
        </w:rPr>
        <w:t>—</w:t>
      </w:r>
      <w:r>
        <w:rPr>
          <w:rFonts w:ascii="Times New Roman" w:hAnsi="Times New Roman" w:eastAsia="仿宋" w:cs="Times New Roman"/>
          <w:sz w:val="30"/>
          <w:szCs w:val="30"/>
        </w:rPr>
        <w:t>饲</w:t>
      </w:r>
      <w:r>
        <w:rPr>
          <w:rFonts w:hint="eastAsia" w:ascii="Times New Roman" w:hAnsi="Times New Roman" w:eastAsia="仿宋" w:cs="Times New Roman"/>
          <w:sz w:val="30"/>
          <w:szCs w:val="30"/>
        </w:rPr>
        <w:t>—</w:t>
      </w:r>
      <w:r>
        <w:rPr>
          <w:rFonts w:ascii="Times New Roman" w:hAnsi="Times New Roman" w:eastAsia="仿宋" w:cs="Times New Roman"/>
          <w:sz w:val="30"/>
          <w:szCs w:val="30"/>
        </w:rPr>
        <w:t>肥</w:t>
      </w:r>
      <w:r>
        <w:rPr>
          <w:rFonts w:hint="eastAsia" w:ascii="Times New Roman" w:hAnsi="Times New Roman" w:eastAsia="仿宋" w:cs="Times New Roman"/>
          <w:sz w:val="30"/>
          <w:szCs w:val="30"/>
        </w:rPr>
        <w:t>”、“秸—养殖粪污—沼—肥”</w:t>
      </w:r>
      <w:r>
        <w:rPr>
          <w:rFonts w:ascii="Times New Roman" w:hAnsi="Times New Roman" w:eastAsia="仿宋" w:cs="Times New Roman"/>
          <w:sz w:val="30"/>
          <w:szCs w:val="30"/>
        </w:rPr>
        <w:t>等循环回田技术模式，进一步优化机具配置，依据省项目建立县、乡、村三级监测服务平台，指导农机手严格按照技术规程开展秸秆还田作业，选择交通便利、辐射广、影响大、农户接纳度高、集中连片的田块建立还田示范区，联合高标准粮田、土壤肥料等项目实施。还田示范区内连片面积不少于100亩以上，并探索形成科学合理、操作性强的秸秆还田规程，推进秸秆就近就地科学还田，促进秸秆固碳增汇，巩固提升土地综合生产能力。满足农户（经营主体）对秸秆机械化还田机具的需求，对秸秆还田农机具购置及作业进行补贴。</w:t>
      </w:r>
    </w:p>
    <w:p w14:paraId="09C2C478">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实施地点:</w:t>
      </w:r>
      <w:bookmarkStart w:id="4" w:name="_Hlk193639528"/>
      <w:r>
        <w:rPr>
          <w:rFonts w:ascii="Times New Roman" w:hAnsi="Times New Roman" w:cs="Times New Roman"/>
        </w:rPr>
        <w:t xml:space="preserve"> </w:t>
      </w:r>
      <w:r>
        <w:rPr>
          <w:rFonts w:ascii="Times New Roman" w:hAnsi="Times New Roman" w:eastAsia="仿宋" w:cs="Times New Roman"/>
          <w:sz w:val="30"/>
          <w:szCs w:val="30"/>
        </w:rPr>
        <w:t>浮梁镇、瑶里镇、鹅湖镇、湘湖镇、寿安镇、三龙镇、蛟潭镇、经公桥镇、峙滩镇、西湖乡、勒功乡、江村乡、兴田乡、黄坛乡、臧湾乡、王港乡</w:t>
      </w:r>
      <w:bookmarkEnd w:id="4"/>
      <w:r>
        <w:rPr>
          <w:rFonts w:ascii="Times New Roman" w:hAnsi="Times New Roman" w:eastAsia="仿宋" w:cs="Times New Roman"/>
          <w:sz w:val="30"/>
          <w:szCs w:val="30"/>
        </w:rPr>
        <w:t>等。</w:t>
      </w:r>
    </w:p>
    <w:p w14:paraId="0FF7E027">
      <w:pPr>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实施主体：</w:t>
      </w:r>
      <w:r>
        <w:rPr>
          <w:rFonts w:hint="eastAsia" w:ascii="仿宋" w:hAnsi="仿宋" w:eastAsia="仿宋" w:cs="仿宋"/>
          <w:sz w:val="30"/>
          <w:szCs w:val="30"/>
        </w:rPr>
        <w:t>1、东流桥优质水稻种养专业合作社2、浮梁县进军家庭农场3、浮梁县惠农人农业专业合作社4、峙滩柳发农业专业合作社5、浮梁县南裕康农业种植专业合作社6、浮梁县盛歌农业科技有限公司7、浮梁县瑶里禾丰水稻种植家庭农场8、浮梁春来种养专业合作社9、浮梁县王港乡松顺家庭农场10、浮梁县诚新种养专业合作社11、浮梁县庄湾乡星辰种养专业合作社12、浮梁县鱼之然种养专业合作社。13、浮县梁瑶佳生态种植专业合作社14、浮梁县鹅湖镇景优家庭农场。15、浮梁县寿安范福家庭农场。</w:t>
      </w:r>
    </w:p>
    <w:p w14:paraId="335EE041">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还田要求: 秸秆留茬在 15cm 以内，秸秆粉碎长度小于 10cm。</w:t>
      </w:r>
    </w:p>
    <w:p w14:paraId="5AFC66AE">
      <w:pPr>
        <w:pStyle w:val="6"/>
        <w:rPr>
          <w:rFonts w:cs="Times New Roman"/>
        </w:rPr>
      </w:pPr>
      <w:r>
        <w:rPr>
          <w:rFonts w:cs="Times New Roman"/>
        </w:rPr>
        <w:t>2.有序推进秸秆饲料化利用</w:t>
      </w:r>
    </w:p>
    <w:p w14:paraId="59CDFE45">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在草食动物养殖较大的乡（镇）推进秸秆饲料化与畜禽养殖结构调整相结合，围绕肉牛等草食家畜发展、种养结合、秸秆青贮、打捆、压块、膨化处理等内容有关机械购置补贴，建立</w:t>
      </w:r>
      <w:r>
        <w:rPr>
          <w:rFonts w:hint="eastAsia" w:ascii="Times New Roman" w:hAnsi="Times New Roman" w:eastAsia="仿宋" w:cs="Times New Roman"/>
          <w:sz w:val="30"/>
          <w:szCs w:val="30"/>
        </w:rPr>
        <w:t>“</w:t>
      </w:r>
      <w:r>
        <w:rPr>
          <w:rFonts w:ascii="Times New Roman" w:hAnsi="Times New Roman" w:eastAsia="仿宋" w:cs="Times New Roman"/>
          <w:sz w:val="30"/>
          <w:szCs w:val="30"/>
        </w:rPr>
        <w:t>秸-养殖粪污-沼</w:t>
      </w:r>
      <w:r>
        <w:rPr>
          <w:rFonts w:hint="eastAsia" w:ascii="Times New Roman" w:hAnsi="Times New Roman" w:eastAsia="仿宋" w:cs="Times New Roman"/>
          <w:sz w:val="30"/>
          <w:szCs w:val="30"/>
        </w:rPr>
        <w:t>”</w:t>
      </w:r>
      <w:r>
        <w:rPr>
          <w:rFonts w:ascii="Times New Roman" w:hAnsi="Times New Roman" w:eastAsia="仿宋" w:cs="Times New Roman"/>
          <w:sz w:val="30"/>
          <w:szCs w:val="30"/>
        </w:rPr>
        <w:t>等循环利用模式。完善秸秆饲料化利用技术集成与配套服务体系，积极培植秸秆富民产业，加快草食畜牧产业发展。项目实施后全县秸秆饲料化利用占比达到5%以上。</w:t>
      </w:r>
    </w:p>
    <w:p w14:paraId="4EA0830B">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实施地点:</w:t>
      </w:r>
      <w:r>
        <w:rPr>
          <w:rFonts w:ascii="Times New Roman" w:hAnsi="Times New Roman" w:cs="Times New Roman"/>
        </w:rPr>
        <w:t xml:space="preserve"> </w:t>
      </w:r>
      <w:r>
        <w:rPr>
          <w:rFonts w:ascii="Times New Roman" w:hAnsi="Times New Roman" w:eastAsia="仿宋" w:cs="Times New Roman"/>
          <w:sz w:val="30"/>
          <w:szCs w:val="30"/>
        </w:rPr>
        <w:t>浮梁镇、瑶里镇、鹅湖镇、臧湾乡、王港乡、寿安镇、湘湖镇、蛟潭镇等乡镇。</w:t>
      </w:r>
    </w:p>
    <w:p w14:paraId="7ED01F00">
      <w:pPr>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实施主体：1、浮梁县楠熙农业开发有限公司2、浮梁县寿安镇银柱家庭农场3、浮梁浩然农牧业发展有限公司。</w:t>
      </w:r>
    </w:p>
    <w:p w14:paraId="4F6D2256">
      <w:pPr>
        <w:pStyle w:val="6"/>
        <w:rPr>
          <w:rFonts w:cs="Times New Roman"/>
        </w:rPr>
      </w:pPr>
      <w:r>
        <w:rPr>
          <w:rFonts w:cs="Times New Roman"/>
        </w:rPr>
        <w:t>3.持续扩大秸秆燃料化利用</w:t>
      </w:r>
    </w:p>
    <w:p w14:paraId="11423352">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以江西俊锴能源科技有限公司为实施主体，构建</w:t>
      </w:r>
      <w:r>
        <w:rPr>
          <w:rFonts w:hint="eastAsia" w:ascii="Times New Roman" w:hAnsi="Times New Roman" w:eastAsia="仿宋" w:cs="Times New Roman"/>
          <w:sz w:val="30"/>
          <w:szCs w:val="30"/>
        </w:rPr>
        <w:t>“</w:t>
      </w:r>
      <w:r>
        <w:rPr>
          <w:rFonts w:ascii="Times New Roman" w:hAnsi="Times New Roman" w:eastAsia="仿宋" w:cs="Times New Roman"/>
          <w:sz w:val="30"/>
          <w:szCs w:val="30"/>
        </w:rPr>
        <w:t>秸秆-生物质燃料</w:t>
      </w:r>
      <w:r>
        <w:rPr>
          <w:rFonts w:hint="eastAsia" w:ascii="Times New Roman" w:hAnsi="Times New Roman" w:eastAsia="仿宋" w:cs="Times New Roman"/>
          <w:sz w:val="30"/>
          <w:szCs w:val="30"/>
        </w:rPr>
        <w:t>”</w:t>
      </w:r>
      <w:r>
        <w:rPr>
          <w:rFonts w:ascii="Times New Roman" w:hAnsi="Times New Roman" w:eastAsia="仿宋" w:cs="Times New Roman"/>
          <w:sz w:val="30"/>
          <w:szCs w:val="30"/>
        </w:rPr>
        <w:t>循环产业技术体系，年消耗秸秆</w:t>
      </w:r>
      <w:r>
        <w:rPr>
          <w:rFonts w:hint="eastAsia" w:ascii="Times New Roman" w:hAnsi="Times New Roman" w:eastAsia="仿宋" w:cs="Times New Roman"/>
          <w:sz w:val="30"/>
          <w:szCs w:val="30"/>
          <w:lang w:val="en-US" w:eastAsia="zh-CN"/>
        </w:rPr>
        <w:t>92</w:t>
      </w:r>
      <w:r>
        <w:rPr>
          <w:rFonts w:hint="eastAsia" w:ascii="Times New Roman" w:hAnsi="Times New Roman" w:eastAsia="仿宋" w:cs="Times New Roman"/>
          <w:sz w:val="30"/>
          <w:szCs w:val="30"/>
        </w:rPr>
        <w:t>00吨</w:t>
      </w:r>
      <w:r>
        <w:rPr>
          <w:rFonts w:ascii="Times New Roman" w:hAnsi="Times New Roman" w:eastAsia="仿宋" w:cs="Times New Roman"/>
          <w:sz w:val="30"/>
          <w:szCs w:val="30"/>
        </w:rPr>
        <w:t>。通过建立秸秆原料就地转化机制，有效缩减运输半径，实现农户种植成本降低。混合生物质颗粒燃料热值提升产能效率，形成</w:t>
      </w:r>
      <w:r>
        <w:rPr>
          <w:rFonts w:hint="eastAsia" w:ascii="Times New Roman" w:hAnsi="Times New Roman" w:eastAsia="仿宋" w:cs="Times New Roman"/>
          <w:sz w:val="30"/>
          <w:szCs w:val="30"/>
        </w:rPr>
        <w:t>“</w:t>
      </w:r>
      <w:r>
        <w:rPr>
          <w:rFonts w:ascii="Times New Roman" w:hAnsi="Times New Roman" w:eastAsia="仿宋" w:cs="Times New Roman"/>
          <w:sz w:val="30"/>
          <w:szCs w:val="30"/>
        </w:rPr>
        <w:t>原料供给-加工生产-市场应用</w:t>
      </w:r>
      <w:r>
        <w:rPr>
          <w:rFonts w:hint="eastAsia" w:ascii="Times New Roman" w:hAnsi="Times New Roman" w:eastAsia="仿宋" w:cs="Times New Roman"/>
          <w:sz w:val="30"/>
          <w:szCs w:val="30"/>
        </w:rPr>
        <w:t>”</w:t>
      </w:r>
      <w:r>
        <w:rPr>
          <w:rFonts w:ascii="Times New Roman" w:hAnsi="Times New Roman" w:eastAsia="仿宋" w:cs="Times New Roman"/>
          <w:sz w:val="30"/>
          <w:szCs w:val="30"/>
        </w:rPr>
        <w:t>的绿色低碳循环产业链。</w:t>
      </w:r>
    </w:p>
    <w:p w14:paraId="58D94989">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实施地点:</w:t>
      </w:r>
      <w:r>
        <w:rPr>
          <w:rFonts w:ascii="Times New Roman" w:hAnsi="Times New Roman" w:cs="Times New Roman"/>
        </w:rPr>
        <w:t xml:space="preserve"> </w:t>
      </w:r>
      <w:r>
        <w:rPr>
          <w:rFonts w:ascii="Times New Roman" w:hAnsi="Times New Roman" w:eastAsia="仿宋" w:cs="Times New Roman"/>
          <w:sz w:val="30"/>
          <w:szCs w:val="30"/>
        </w:rPr>
        <w:t>浮梁镇、瑶里镇、鹅湖镇、湘湖镇、寿安镇、三龙镇、蛟潭镇、经公桥镇、峙滩镇、西湖乡、勒功乡、江村乡、兴田乡、黄坛乡、臧湾乡、王港乡等乡镇。</w:t>
      </w:r>
    </w:p>
    <w:p w14:paraId="53D9739F">
      <w:pPr>
        <w:ind w:firstLine="600" w:firstLineChars="200"/>
        <w:rPr>
          <w:rFonts w:ascii="Times New Roman" w:hAnsi="Times New Roman" w:cs="Times New Roman"/>
          <w:sz w:val="30"/>
          <w:szCs w:val="30"/>
        </w:rPr>
      </w:pPr>
      <w:r>
        <w:rPr>
          <w:rFonts w:ascii="Times New Roman" w:hAnsi="Times New Roman" w:eastAsia="仿宋" w:cs="Times New Roman"/>
          <w:sz w:val="30"/>
          <w:szCs w:val="30"/>
        </w:rPr>
        <w:t>实施主体:</w:t>
      </w:r>
      <w:r>
        <w:rPr>
          <w:rFonts w:ascii="Times New Roman" w:hAnsi="Times New Roman" w:cs="Times New Roman"/>
        </w:rPr>
        <w:t xml:space="preserve"> </w:t>
      </w:r>
      <w:r>
        <w:rPr>
          <w:rFonts w:ascii="Times New Roman" w:hAnsi="Times New Roman" w:eastAsia="仿宋" w:cs="Times New Roman"/>
          <w:sz w:val="30"/>
          <w:szCs w:val="30"/>
        </w:rPr>
        <w:t>江西俊锴能源科技有限公司</w:t>
      </w:r>
    </w:p>
    <w:p w14:paraId="0D9B0A1C">
      <w:pPr>
        <w:pStyle w:val="5"/>
        <w:jc w:val="both"/>
        <w:rPr>
          <w:rFonts w:cs="Times New Roman"/>
        </w:rPr>
      </w:pPr>
      <w:r>
        <w:rPr>
          <w:rFonts w:cs="Times New Roman"/>
        </w:rPr>
        <w:t>(三)扶持措施及验收方法</w:t>
      </w:r>
    </w:p>
    <w:p w14:paraId="77E92A84">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总计扶持资金</w:t>
      </w:r>
      <w:r>
        <w:rPr>
          <w:rFonts w:hint="eastAsia" w:ascii="Times New Roman" w:hAnsi="Times New Roman" w:eastAsia="仿宋" w:cs="Times New Roman"/>
          <w:sz w:val="30"/>
          <w:szCs w:val="30"/>
          <w:lang w:val="en-US" w:eastAsia="zh-CN"/>
        </w:rPr>
        <w:t>26</w:t>
      </w:r>
      <w:r>
        <w:rPr>
          <w:rFonts w:ascii="Times New Roman" w:hAnsi="Times New Roman" w:eastAsia="仿宋" w:cs="Times New Roman"/>
          <w:sz w:val="30"/>
          <w:szCs w:val="30"/>
        </w:rPr>
        <w:t>0万元</w:t>
      </w:r>
      <w:r>
        <w:rPr>
          <w:rFonts w:hint="eastAsia" w:ascii="Times New Roman" w:hAnsi="Times New Roman" w:eastAsia="仿宋" w:cs="Times New Roman"/>
          <w:sz w:val="30"/>
          <w:szCs w:val="30"/>
        </w:rPr>
        <w:t>（</w:t>
      </w:r>
      <w:r>
        <w:rPr>
          <w:rFonts w:ascii="Times New Roman" w:hAnsi="Times New Roman" w:eastAsia="仿宋" w:cs="Times New Roman"/>
          <w:sz w:val="30"/>
          <w:szCs w:val="30"/>
        </w:rPr>
        <w:t>见后附件2项目建设内容及资金预算表</w:t>
      </w:r>
      <w:r>
        <w:rPr>
          <w:rFonts w:hint="eastAsia" w:ascii="Times New Roman" w:hAnsi="Times New Roman" w:eastAsia="仿宋" w:cs="Times New Roman"/>
          <w:sz w:val="30"/>
          <w:szCs w:val="30"/>
        </w:rPr>
        <w:t>）</w:t>
      </w:r>
      <w:r>
        <w:rPr>
          <w:rFonts w:ascii="Times New Roman" w:hAnsi="Times New Roman" w:eastAsia="仿宋" w:cs="Times New Roman"/>
          <w:sz w:val="30"/>
          <w:szCs w:val="30"/>
        </w:rPr>
        <w:t>。</w:t>
      </w:r>
    </w:p>
    <w:p w14:paraId="47110E20">
      <w:pPr>
        <w:pStyle w:val="6"/>
        <w:rPr>
          <w:rFonts w:cs="Times New Roman"/>
        </w:rPr>
      </w:pPr>
      <w:r>
        <w:rPr>
          <w:rFonts w:cs="Times New Roman"/>
        </w:rPr>
        <w:t>1.秸秆粉碎还田</w:t>
      </w:r>
      <w:r>
        <w:rPr>
          <w:rFonts w:hint="eastAsia" w:cs="Times New Roman"/>
        </w:rPr>
        <w:t>（</w:t>
      </w:r>
      <w:r>
        <w:rPr>
          <w:rFonts w:cs="Times New Roman"/>
        </w:rPr>
        <w:t>计划使用资金</w:t>
      </w:r>
      <w:r>
        <w:rPr>
          <w:rFonts w:hint="eastAsia" w:cs="Times New Roman"/>
          <w:lang w:val="en-US" w:eastAsia="zh-CN"/>
        </w:rPr>
        <w:t>90</w:t>
      </w:r>
      <w:r>
        <w:rPr>
          <w:rFonts w:cs="Times New Roman"/>
        </w:rPr>
        <w:t>万元</w:t>
      </w:r>
      <w:r>
        <w:rPr>
          <w:rFonts w:hint="eastAsia" w:cs="Times New Roman"/>
        </w:rPr>
        <w:t>）：</w:t>
      </w:r>
    </w:p>
    <w:p w14:paraId="7457CB59">
      <w:pPr>
        <w:ind w:firstLine="600" w:firstLineChars="200"/>
        <w:rPr>
          <w:rFonts w:ascii="Times New Roman" w:hAnsi="Times New Roman" w:eastAsia="仿宋" w:cs="Times New Roman"/>
          <w:sz w:val="30"/>
          <w:szCs w:val="30"/>
        </w:rPr>
      </w:pPr>
      <w:r>
        <w:rPr>
          <w:rFonts w:hint="eastAsia" w:ascii="宋体" w:hAnsi="宋体" w:eastAsia="宋体" w:cs="宋体"/>
          <w:sz w:val="30"/>
          <w:szCs w:val="30"/>
        </w:rPr>
        <w:t>①</w:t>
      </w:r>
      <w:r>
        <w:rPr>
          <w:rFonts w:ascii="Times New Roman" w:hAnsi="Times New Roman" w:eastAsia="仿宋" w:cs="Times New Roman"/>
          <w:sz w:val="30"/>
          <w:szCs w:val="30"/>
        </w:rPr>
        <w:t>补助标准:每亩补助</w:t>
      </w:r>
      <w:r>
        <w:rPr>
          <w:rFonts w:hint="eastAsia" w:ascii="Times New Roman" w:hAnsi="Times New Roman" w:eastAsia="仿宋" w:cs="Times New Roman"/>
          <w:sz w:val="30"/>
          <w:szCs w:val="30"/>
        </w:rPr>
        <w:t>3</w:t>
      </w:r>
      <w:r>
        <w:rPr>
          <w:rFonts w:ascii="Times New Roman" w:hAnsi="Times New Roman" w:eastAsia="仿宋" w:cs="Times New Roman"/>
          <w:sz w:val="30"/>
          <w:szCs w:val="30"/>
        </w:rPr>
        <w:t>0元。</w:t>
      </w:r>
    </w:p>
    <w:p w14:paraId="6720FA7C">
      <w:pPr>
        <w:ind w:firstLine="600" w:firstLineChars="200"/>
        <w:rPr>
          <w:rFonts w:ascii="Times New Roman" w:hAnsi="Times New Roman" w:eastAsia="仿宋" w:cs="Times New Roman"/>
          <w:sz w:val="30"/>
          <w:szCs w:val="30"/>
        </w:rPr>
      </w:pPr>
      <w:r>
        <w:rPr>
          <w:rFonts w:hint="eastAsia" w:ascii="宋体" w:hAnsi="宋体" w:eastAsia="宋体" w:cs="宋体"/>
          <w:sz w:val="30"/>
          <w:szCs w:val="30"/>
        </w:rPr>
        <w:t>②</w:t>
      </w:r>
      <w:r>
        <w:rPr>
          <w:rFonts w:ascii="Times New Roman" w:hAnsi="Times New Roman" w:eastAsia="仿宋" w:cs="Times New Roman"/>
          <w:sz w:val="30"/>
          <w:szCs w:val="30"/>
        </w:rPr>
        <w:t>补助对象:秸秆还田作业实施主体。</w:t>
      </w:r>
    </w:p>
    <w:p w14:paraId="77364946">
      <w:pPr>
        <w:ind w:firstLine="600" w:firstLineChars="200"/>
        <w:rPr>
          <w:rFonts w:ascii="Times New Roman" w:hAnsi="Times New Roman" w:eastAsia="仿宋" w:cs="Times New Roman"/>
          <w:sz w:val="30"/>
          <w:szCs w:val="30"/>
        </w:rPr>
      </w:pPr>
      <w:r>
        <w:rPr>
          <w:rFonts w:hint="eastAsia" w:ascii="宋体" w:hAnsi="宋体" w:eastAsia="宋体" w:cs="宋体"/>
          <w:sz w:val="30"/>
          <w:szCs w:val="30"/>
        </w:rPr>
        <w:t>③</w:t>
      </w:r>
      <w:r>
        <w:rPr>
          <w:rFonts w:ascii="Times New Roman" w:hAnsi="Times New Roman" w:eastAsia="仿宋" w:cs="Times New Roman"/>
          <w:sz w:val="30"/>
          <w:szCs w:val="30"/>
        </w:rPr>
        <w:t>验收方法:在秸秆收割后，由示范实施主体向辖区乡镇提出验收申请，并提供详细、完整的验收资料细化到户、到地块的作业明细表及地块照片等佐证材料，由辖区乡镇组织人员现场验收，由分管农业乡镇长牵头，包括镇农办、秸秆还田涉及的村干部等，验收人员不少于3人，经公示无异议后，乡镇出具签字盖章的验收表格，表格一式三份，报县农业农村局，县农业农村局和县财政局进行抽验核实。</w:t>
      </w:r>
    </w:p>
    <w:p w14:paraId="78A607A6">
      <w:pPr>
        <w:pStyle w:val="6"/>
        <w:rPr>
          <w:rFonts w:cs="Times New Roman"/>
        </w:rPr>
      </w:pPr>
      <w:r>
        <w:rPr>
          <w:rFonts w:cs="Times New Roman"/>
        </w:rPr>
        <w:t>2.秸秆</w:t>
      </w:r>
      <w:r>
        <w:rPr>
          <w:rFonts w:hint="eastAsia" w:cs="Times New Roman"/>
          <w:lang w:val="en-US" w:eastAsia="zh-CN"/>
        </w:rPr>
        <w:t>收储运建设</w:t>
      </w:r>
      <w:r>
        <w:rPr>
          <w:rFonts w:hint="eastAsia" w:cs="Times New Roman"/>
        </w:rPr>
        <w:t>（</w:t>
      </w:r>
      <w:r>
        <w:rPr>
          <w:rFonts w:cs="Times New Roman"/>
        </w:rPr>
        <w:t>秸秆饲料化和燃料化利用，计划使用资金</w:t>
      </w:r>
      <w:r>
        <w:rPr>
          <w:rFonts w:hint="eastAsia" w:cs="Times New Roman"/>
          <w:lang w:val="en-US" w:eastAsia="zh-CN"/>
        </w:rPr>
        <w:t>157</w:t>
      </w:r>
      <w:r>
        <w:rPr>
          <w:rFonts w:cs="Times New Roman"/>
        </w:rPr>
        <w:t>万元</w:t>
      </w:r>
      <w:r>
        <w:rPr>
          <w:rFonts w:hint="eastAsia" w:cs="Times New Roman"/>
        </w:rPr>
        <w:t>）：</w:t>
      </w:r>
    </w:p>
    <w:p w14:paraId="14806A03">
      <w:pPr>
        <w:ind w:firstLine="600" w:firstLineChars="200"/>
        <w:rPr>
          <w:rFonts w:ascii="Times New Roman" w:hAnsi="Times New Roman" w:eastAsia="仿宋" w:cs="Times New Roman"/>
          <w:sz w:val="30"/>
          <w:szCs w:val="30"/>
        </w:rPr>
      </w:pPr>
      <w:r>
        <w:rPr>
          <w:rFonts w:hint="eastAsia" w:ascii="宋体" w:hAnsi="宋体" w:eastAsia="宋体" w:cs="宋体"/>
          <w:sz w:val="30"/>
          <w:szCs w:val="30"/>
        </w:rPr>
        <w:t>①</w:t>
      </w:r>
      <w:r>
        <w:rPr>
          <w:rFonts w:ascii="Times New Roman" w:hAnsi="Times New Roman" w:eastAsia="仿宋" w:cs="Times New Roman"/>
          <w:sz w:val="30"/>
          <w:szCs w:val="30"/>
        </w:rPr>
        <w:t>补助标准</w:t>
      </w:r>
      <w:r>
        <w:rPr>
          <w:rFonts w:hint="eastAsia" w:ascii="Times New Roman" w:hAnsi="Times New Roman" w:eastAsia="仿宋" w:cs="Times New Roman"/>
          <w:sz w:val="30"/>
          <w:szCs w:val="30"/>
        </w:rPr>
        <w:t>：</w:t>
      </w:r>
      <w:r>
        <w:rPr>
          <w:rFonts w:ascii="Times New Roman" w:hAnsi="Times New Roman" w:eastAsia="仿宋" w:cs="Times New Roman"/>
          <w:sz w:val="30"/>
          <w:szCs w:val="30"/>
        </w:rPr>
        <w:t>按当年秸秆收储实物量每</w:t>
      </w:r>
      <w:r>
        <w:rPr>
          <w:rFonts w:hint="eastAsia" w:ascii="Times New Roman" w:hAnsi="Times New Roman" w:eastAsia="仿宋" w:cs="Times New Roman"/>
          <w:sz w:val="30"/>
          <w:szCs w:val="30"/>
        </w:rPr>
        <w:t>吨10</w:t>
      </w:r>
      <w:r>
        <w:rPr>
          <w:rFonts w:ascii="Times New Roman" w:hAnsi="Times New Roman" w:eastAsia="仿宋" w:cs="Times New Roman"/>
          <w:sz w:val="30"/>
          <w:szCs w:val="30"/>
        </w:rPr>
        <w:t>0元进行补贴。</w:t>
      </w:r>
    </w:p>
    <w:p w14:paraId="1D6FAE90">
      <w:pPr>
        <w:ind w:firstLine="600" w:firstLineChars="200"/>
        <w:rPr>
          <w:rFonts w:ascii="Times New Roman" w:hAnsi="Times New Roman" w:eastAsia="仿宋" w:cs="Times New Roman"/>
          <w:sz w:val="30"/>
          <w:szCs w:val="30"/>
        </w:rPr>
      </w:pPr>
      <w:r>
        <w:rPr>
          <w:rFonts w:hint="eastAsia" w:ascii="宋体" w:hAnsi="宋体" w:eastAsia="宋体" w:cs="宋体"/>
          <w:sz w:val="30"/>
          <w:szCs w:val="30"/>
        </w:rPr>
        <w:t>②</w:t>
      </w:r>
      <w:r>
        <w:rPr>
          <w:rFonts w:ascii="Times New Roman" w:hAnsi="Times New Roman" w:eastAsia="仿宋" w:cs="Times New Roman"/>
          <w:sz w:val="30"/>
          <w:szCs w:val="30"/>
        </w:rPr>
        <w:t>补贴对象</w:t>
      </w:r>
      <w:r>
        <w:rPr>
          <w:rFonts w:hint="eastAsia" w:ascii="Times New Roman" w:hAnsi="Times New Roman" w:eastAsia="仿宋" w:cs="Times New Roman"/>
          <w:sz w:val="30"/>
          <w:szCs w:val="30"/>
        </w:rPr>
        <w:t>：</w:t>
      </w:r>
      <w:r>
        <w:rPr>
          <w:rFonts w:ascii="Times New Roman" w:hAnsi="Times New Roman" w:eastAsia="仿宋" w:cs="Times New Roman"/>
          <w:sz w:val="30"/>
          <w:szCs w:val="30"/>
        </w:rPr>
        <w:t xml:space="preserve">按照“谁收储补给谁”的原则补给收储实施主体。 </w:t>
      </w:r>
    </w:p>
    <w:p w14:paraId="60888A00">
      <w:pPr>
        <w:ind w:firstLine="600" w:firstLineChars="200"/>
        <w:rPr>
          <w:rFonts w:ascii="Times New Roman" w:hAnsi="Times New Roman" w:eastAsia="仿宋" w:cs="Times New Roman"/>
          <w:sz w:val="30"/>
          <w:szCs w:val="30"/>
        </w:rPr>
      </w:pPr>
      <w:bookmarkStart w:id="5" w:name="OLE_LINK3"/>
      <w:r>
        <w:rPr>
          <w:rFonts w:hint="eastAsia" w:ascii="宋体" w:hAnsi="宋体" w:eastAsia="宋体" w:cs="宋体"/>
          <w:sz w:val="30"/>
          <w:szCs w:val="30"/>
        </w:rPr>
        <w:t>③</w:t>
      </w:r>
      <w:r>
        <w:rPr>
          <w:rFonts w:ascii="Times New Roman" w:hAnsi="Times New Roman" w:eastAsia="仿宋" w:cs="Times New Roman"/>
          <w:sz w:val="30"/>
          <w:szCs w:val="30"/>
        </w:rPr>
        <w:t xml:space="preserve"> 验收方法：秸秆离田作业完成后，由收储实施主体向所在乡镇政府提出验收申请，并提供细化到农户、地块的作业明细及相关佐证材料。由乡镇分管农业负责同志牵头组织开展现场验收，验收人员不少于3人。乡镇验收通过后，将验收结果在镇公示栏公示5天，公示无异议后报县农业农村局备案，由县农业农村局会同财政局进行抽查核实。</w:t>
      </w:r>
    </w:p>
    <w:bookmarkEnd w:id="5"/>
    <w:p w14:paraId="210867C3">
      <w:pPr>
        <w:pStyle w:val="6"/>
        <w:rPr>
          <w:rFonts w:cs="Times New Roman"/>
        </w:rPr>
      </w:pPr>
      <w:r>
        <w:rPr>
          <w:rFonts w:hint="eastAsia" w:cs="Times New Roman"/>
          <w:lang w:val="en-US" w:eastAsia="zh-CN"/>
        </w:rPr>
        <w:t>3</w:t>
      </w:r>
      <w:r>
        <w:rPr>
          <w:rFonts w:cs="Times New Roman"/>
        </w:rPr>
        <w:t>.</w:t>
      </w:r>
      <w:r>
        <w:rPr>
          <w:rFonts w:hint="eastAsia" w:cs="Times New Roman"/>
          <w:szCs w:val="21"/>
        </w:rPr>
        <w:t>秸秆还田效果监测、资源台账建设、宣传培训</w:t>
      </w:r>
      <w:r>
        <w:rPr>
          <w:rFonts w:cs="Times New Roman"/>
        </w:rPr>
        <w:t>(计划使用资金</w:t>
      </w:r>
      <w:r>
        <w:rPr>
          <w:rFonts w:hint="eastAsia" w:cs="Times New Roman"/>
        </w:rPr>
        <w:t>20</w:t>
      </w:r>
      <w:r>
        <w:rPr>
          <w:rFonts w:cs="Times New Roman"/>
        </w:rPr>
        <w:t>万元)</w:t>
      </w:r>
    </w:p>
    <w:p w14:paraId="2F83CA26">
      <w:pPr>
        <w:ind w:firstLine="600" w:firstLineChars="200"/>
        <w:rPr>
          <w:rFonts w:ascii="Times New Roman" w:hAnsi="Times New Roman" w:eastAsia="仿宋" w:cs="Times New Roman"/>
          <w:sz w:val="30"/>
          <w:szCs w:val="30"/>
        </w:rPr>
      </w:pPr>
      <w:r>
        <w:rPr>
          <w:rFonts w:hint="eastAsia" w:ascii="宋体" w:hAnsi="宋体" w:eastAsia="宋体" w:cs="宋体"/>
          <w:sz w:val="30"/>
          <w:szCs w:val="30"/>
        </w:rPr>
        <w:t>①</w:t>
      </w:r>
      <w:r>
        <w:rPr>
          <w:rFonts w:ascii="Times New Roman" w:hAnsi="Times New Roman" w:eastAsia="仿宋" w:cs="Times New Roman"/>
          <w:sz w:val="30"/>
          <w:szCs w:val="30"/>
        </w:rPr>
        <w:t>在秸秆综合利用实施过程中将在浮梁镇、瑶里镇、鹅湖镇、湘湖镇、寿安镇、三龙镇、蛟潭镇、经公桥镇、峙滩镇、西湖乡、勒功乡、江村乡、兴田乡、黄坛乡、臧湾乡、王港乡</w:t>
      </w:r>
      <w:r>
        <w:rPr>
          <w:rFonts w:hint="eastAsia" w:ascii="Times New Roman" w:hAnsi="Times New Roman" w:eastAsia="仿宋" w:cs="Times New Roman"/>
          <w:sz w:val="30"/>
          <w:szCs w:val="30"/>
        </w:rPr>
        <w:t>遴选建设</w:t>
      </w:r>
      <w:r>
        <w:rPr>
          <w:rFonts w:ascii="Times New Roman" w:hAnsi="Times New Roman" w:eastAsia="仿宋" w:cs="Times New Roman"/>
          <w:sz w:val="30"/>
          <w:szCs w:val="30"/>
        </w:rPr>
        <w:t>2个秸秆综合利用示范基地，选择水稻、油菜两个农作物种类进行草谷比、秸秆可收集系数监测，在鹅湖镇建立一个秸秆还田监测点，在浮梁镇、瑶里镇、鹅湖镇、湘湖镇、寿安镇、三龙镇、蛟潭镇、经公桥镇、峙滩镇、西湖乡、勒功乡、江村乡、兴田乡、黄坛乡、臧湾乡、王港乡</w:t>
      </w:r>
      <w:r>
        <w:rPr>
          <w:rFonts w:hint="eastAsia" w:ascii="Times New Roman" w:hAnsi="Times New Roman" w:eastAsia="仿宋" w:cs="Times New Roman"/>
          <w:sz w:val="30"/>
          <w:szCs w:val="30"/>
        </w:rPr>
        <w:t>布设</w:t>
      </w:r>
      <w:r>
        <w:rPr>
          <w:rFonts w:hint="eastAsia" w:ascii="Times New Roman" w:hAnsi="Times New Roman" w:eastAsia="仿宋" w:cs="Times New Roman"/>
          <w:sz w:val="30"/>
          <w:szCs w:val="30"/>
          <w:lang w:val="en-US" w:eastAsia="zh-CN"/>
        </w:rPr>
        <w:t>10</w:t>
      </w:r>
      <w:r>
        <w:rPr>
          <w:rFonts w:hint="eastAsia" w:ascii="Times New Roman" w:hAnsi="Times New Roman" w:eastAsia="仿宋" w:cs="Times New Roman"/>
          <w:sz w:val="30"/>
          <w:szCs w:val="30"/>
        </w:rPr>
        <w:t>个以上秸秆还田调查点</w:t>
      </w:r>
      <w:r>
        <w:rPr>
          <w:rFonts w:ascii="Times New Roman" w:hAnsi="Times New Roman" w:eastAsia="仿宋" w:cs="Times New Roman"/>
          <w:sz w:val="30"/>
          <w:szCs w:val="30"/>
        </w:rPr>
        <w:t>，做好秸秆还田效果监测与评价。选择典型的双季稻田建设秸秆还田效果监测点，特委托本项目技术支撑单位江西农业大学按照农业农村部出台的《2024年农作物秸秆还田效果监测方案》开展监测，科学评价秸秆还田对耕地地力、病虫草害和水稻产量等生态效应影响。</w:t>
      </w:r>
    </w:p>
    <w:p w14:paraId="6DEEEF71">
      <w:pPr>
        <w:ind w:firstLine="600" w:firstLineChars="200"/>
        <w:rPr>
          <w:rFonts w:ascii="Times New Roman" w:hAnsi="Times New Roman" w:eastAsia="仿宋" w:cs="Times New Roman"/>
          <w:sz w:val="30"/>
          <w:szCs w:val="30"/>
        </w:rPr>
      </w:pPr>
      <w:r>
        <w:rPr>
          <w:rFonts w:hint="eastAsia" w:ascii="宋体" w:hAnsi="宋体" w:eastAsia="宋体" w:cs="宋体"/>
          <w:sz w:val="30"/>
          <w:szCs w:val="30"/>
        </w:rPr>
        <w:t>②</w:t>
      </w:r>
      <w:r>
        <w:rPr>
          <w:rFonts w:ascii="Times New Roman" w:hAnsi="Times New Roman" w:eastAsia="仿宋" w:cs="Times New Roman"/>
          <w:sz w:val="30"/>
          <w:szCs w:val="30"/>
        </w:rPr>
        <w:t>在秸秆综合利用实施关键节点开展 1次省级以上媒体宣</w:t>
      </w:r>
    </w:p>
    <w:p w14:paraId="0264A183">
      <w:pPr>
        <w:rPr>
          <w:rFonts w:ascii="Times New Roman" w:hAnsi="Times New Roman" w:eastAsia="仿宋" w:cs="Times New Roman"/>
          <w:sz w:val="30"/>
          <w:szCs w:val="30"/>
        </w:rPr>
      </w:pPr>
      <w:r>
        <w:rPr>
          <w:rFonts w:ascii="Times New Roman" w:hAnsi="Times New Roman" w:eastAsia="仿宋" w:cs="Times New Roman"/>
          <w:sz w:val="30"/>
          <w:szCs w:val="30"/>
        </w:rPr>
        <w:t>传，2 次地市级以上媒体宣传，3次县级以上媒体宣传。通过试点示范的辐射推广作用，增强农户对秸秆综合利用的认识，并自觉规范焚烧秸秆对环境造成污染的行为。使得秸秆综合利用工作得以顺利实施。充分利用电视、融媒体、召开现场观摩会、宣传小册等广大农户喜闻乐见的方式，做好秸秆综合利用的宣传推广，营造良好的工作氛围。</w:t>
      </w:r>
    </w:p>
    <w:p w14:paraId="6994E1F3">
      <w:pPr>
        <w:pStyle w:val="4"/>
        <w:rPr>
          <w:rFonts w:cs="Times New Roman" w:eastAsiaTheme="minorEastAsia"/>
          <w:shd w:val="clear" w:color="auto" w:fill="FFFFFF"/>
        </w:rPr>
      </w:pPr>
      <w:r>
        <w:rPr>
          <w:rFonts w:cs="Times New Roman"/>
          <w:sz w:val="30"/>
          <w:szCs w:val="30"/>
        </w:rPr>
        <w:t>四、项目资金管理要求</w:t>
      </w:r>
    </w:p>
    <w:p w14:paraId="0FAD0C70">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严格按照《中央财政农业资源及生态保护补助资金管理办法实施细则》</w:t>
      </w:r>
      <w:r>
        <w:rPr>
          <w:rFonts w:hint="eastAsia" w:ascii="Times New Roman" w:hAnsi="Times New Roman" w:eastAsia="仿宋" w:cs="Times New Roman"/>
          <w:sz w:val="30"/>
          <w:szCs w:val="30"/>
        </w:rPr>
        <w:t>（</w:t>
      </w:r>
      <w:r>
        <w:rPr>
          <w:rFonts w:ascii="Times New Roman" w:hAnsi="Times New Roman" w:eastAsia="仿宋" w:cs="Times New Roman"/>
          <w:sz w:val="30"/>
          <w:szCs w:val="30"/>
        </w:rPr>
        <w:t>赣财农〔2020〕14 号</w:t>
      </w:r>
      <w:r>
        <w:rPr>
          <w:rFonts w:hint="eastAsia" w:ascii="Times New Roman" w:hAnsi="Times New Roman" w:eastAsia="仿宋" w:cs="Times New Roman"/>
          <w:sz w:val="30"/>
          <w:szCs w:val="30"/>
        </w:rPr>
        <w:t>）</w:t>
      </w:r>
      <w:r>
        <w:rPr>
          <w:rFonts w:ascii="Times New Roman" w:hAnsi="Times New Roman" w:eastAsia="仿宋" w:cs="Times New Roman"/>
          <w:sz w:val="30"/>
          <w:szCs w:val="30"/>
        </w:rPr>
        <w:t>要求，制定补助资金使用管理办法，加强和规范资金使用管理，</w:t>
      </w:r>
      <w:r>
        <w:rPr>
          <w:rFonts w:hint="eastAsia" w:ascii="Times New Roman" w:hAnsi="Times New Roman" w:eastAsia="仿宋" w:cs="Times New Roman"/>
          <w:sz w:val="30"/>
          <w:szCs w:val="30"/>
        </w:rPr>
        <w:t>及时拨付项目资金</w:t>
      </w:r>
      <w:r>
        <w:rPr>
          <w:rFonts w:ascii="Times New Roman" w:hAnsi="Times New Roman" w:eastAsia="仿宋" w:cs="Times New Roman"/>
          <w:sz w:val="30"/>
          <w:szCs w:val="30"/>
        </w:rPr>
        <w:t>。预计资金执行进度到9月底达</w:t>
      </w:r>
      <w:r>
        <w:rPr>
          <w:rFonts w:hint="eastAsia" w:ascii="Times New Roman" w:hAnsi="Times New Roman" w:eastAsia="仿宋" w:cs="Times New Roman"/>
          <w:sz w:val="30"/>
          <w:szCs w:val="30"/>
        </w:rPr>
        <w:t>6</w:t>
      </w:r>
      <w:r>
        <w:rPr>
          <w:rFonts w:ascii="Times New Roman" w:hAnsi="Times New Roman" w:eastAsia="仿宋" w:cs="Times New Roman"/>
          <w:sz w:val="30"/>
          <w:szCs w:val="30"/>
        </w:rPr>
        <w:t>0%、11月底达</w:t>
      </w:r>
      <w:r>
        <w:rPr>
          <w:rFonts w:hint="eastAsia" w:ascii="Times New Roman" w:hAnsi="Times New Roman" w:eastAsia="仿宋" w:cs="Times New Roman"/>
          <w:sz w:val="30"/>
          <w:szCs w:val="30"/>
        </w:rPr>
        <w:t>9</w:t>
      </w:r>
      <w:r>
        <w:rPr>
          <w:rFonts w:ascii="Times New Roman" w:hAnsi="Times New Roman" w:eastAsia="仿宋" w:cs="Times New Roman"/>
          <w:sz w:val="30"/>
          <w:szCs w:val="30"/>
        </w:rPr>
        <w:t>0%，确保年底前完成100%，提高资金使用效益。项目资金主要用于支持秸秆还田、离田产业和收储运体系建设等秸秆综合利用的重点领域和关键环节，补助资金支持对象主要是农民、新型农业经营主体以及承担项目任务的单位和个人，不得用于已列入农机购置补贴目录的农机具采购或其它已获得财政资金补贴的补贴项目。做到奖补政策公开、资金安排公开、奖补结果公开，接受社会监督。如出现项目实施主体空缺、资金结余等情形，县农业农村局可以再次安排资金使用。</w:t>
      </w:r>
    </w:p>
    <w:p w14:paraId="7CC2D10B">
      <w:pPr>
        <w:pStyle w:val="4"/>
        <w:rPr>
          <w:rFonts w:cs="Times New Roman" w:eastAsiaTheme="minorEastAsia"/>
          <w:shd w:val="clear" w:color="auto" w:fill="FFFFFF"/>
        </w:rPr>
      </w:pPr>
      <w:r>
        <w:rPr>
          <w:rFonts w:cs="Times New Roman"/>
          <w:sz w:val="30"/>
          <w:szCs w:val="30"/>
        </w:rPr>
        <w:t>五、项目进度安排</w:t>
      </w:r>
    </w:p>
    <w:p w14:paraId="58DA8137">
      <w:pPr>
        <w:pStyle w:val="7"/>
        <w:spacing w:before="0" w:beforeAutospacing="0" w:after="0" w:afterAutospacing="0" w:line="560" w:lineRule="exact"/>
        <w:ind w:firstLine="600" w:firstLineChars="200"/>
        <w:jc w:val="both"/>
        <w:rPr>
          <w:rFonts w:ascii="Times New Roman" w:hAnsi="Times New Roman" w:eastAsia="仿宋"/>
          <w:sz w:val="30"/>
          <w:szCs w:val="30"/>
        </w:rPr>
      </w:pPr>
      <w:r>
        <w:rPr>
          <w:rFonts w:ascii="Times New Roman" w:hAnsi="Times New Roman" w:eastAsia="仿宋"/>
          <w:sz w:val="30"/>
          <w:szCs w:val="30"/>
        </w:rPr>
        <w:t>1.</w:t>
      </w:r>
      <w:r>
        <w:rPr>
          <w:rFonts w:ascii="Times New Roman" w:hAnsi="Times New Roman"/>
        </w:rPr>
        <w:t xml:space="preserve"> </w:t>
      </w:r>
      <w:r>
        <w:rPr>
          <w:rFonts w:ascii="Times New Roman" w:hAnsi="Times New Roman" w:eastAsia="仿宋"/>
          <w:sz w:val="30"/>
          <w:szCs w:val="30"/>
        </w:rPr>
        <w:t>方案编制阶段（4-6月）</w:t>
      </w:r>
    </w:p>
    <w:p w14:paraId="2155B463">
      <w:pPr>
        <w:pStyle w:val="7"/>
        <w:spacing w:before="0" w:beforeAutospacing="0" w:after="0" w:afterAutospacing="0" w:line="560" w:lineRule="exact"/>
        <w:ind w:firstLine="600" w:firstLineChars="200"/>
        <w:jc w:val="both"/>
        <w:rPr>
          <w:rFonts w:ascii="Times New Roman" w:hAnsi="Times New Roman" w:eastAsia="仿宋"/>
          <w:sz w:val="30"/>
          <w:szCs w:val="30"/>
        </w:rPr>
      </w:pPr>
      <w:r>
        <w:rPr>
          <w:rFonts w:ascii="Times New Roman" w:hAnsi="Times New Roman" w:eastAsia="仿宋"/>
          <w:sz w:val="30"/>
          <w:szCs w:val="30"/>
        </w:rPr>
        <w:t>4-5月，遴选项目建设主体，初步确定主要建设内容，在技术支撑单位的协助下编制项目实施方案，实施方案在县政府网站上进行公示，接受社会监督，最后报请县人民政府批复同意。6月底前，将县人民政府批复的实施方案报省农业农村厅备案。</w:t>
      </w:r>
    </w:p>
    <w:p w14:paraId="519BFC50">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2.</w:t>
      </w:r>
      <w:r>
        <w:rPr>
          <w:rFonts w:ascii="Times New Roman" w:hAnsi="Times New Roman" w:cs="Times New Roman"/>
        </w:rPr>
        <w:t xml:space="preserve"> </w:t>
      </w:r>
      <w:r>
        <w:rPr>
          <w:rFonts w:ascii="Times New Roman" w:hAnsi="Times New Roman" w:eastAsia="仿宋" w:cs="Times New Roman"/>
          <w:sz w:val="30"/>
          <w:szCs w:val="30"/>
        </w:rPr>
        <w:t>组织实施阶段（7-11月）</w:t>
      </w:r>
    </w:p>
    <w:p w14:paraId="2F739769">
      <w:pPr>
        <w:pStyle w:val="2"/>
        <w:ind w:firstLine="600" w:firstLineChars="200"/>
        <w:jc w:val="both"/>
        <w:rPr>
          <w:rFonts w:ascii="Times New Roman" w:hAnsi="Times New Roman" w:eastAsia="仿宋"/>
          <w:b w:val="0"/>
          <w:bCs w:val="0"/>
          <w:sz w:val="30"/>
          <w:szCs w:val="30"/>
        </w:rPr>
      </w:pPr>
      <w:r>
        <w:rPr>
          <w:rFonts w:ascii="Times New Roman" w:hAnsi="Times New Roman" w:eastAsia="仿宋"/>
          <w:b w:val="0"/>
          <w:bCs w:val="0"/>
          <w:sz w:val="30"/>
          <w:szCs w:val="30"/>
        </w:rPr>
        <w:t>项目建设按照实施方案要求全面启动；选定地点和还田模式，开展秸秆还田效果监测；强化项目监督和绩效管理，提高资金使用效果和执行进度，并按季度向省农业农村厅报送项目进展情况。</w:t>
      </w:r>
    </w:p>
    <w:p w14:paraId="682B6107">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3.</w:t>
      </w:r>
      <w:r>
        <w:rPr>
          <w:rFonts w:ascii="Times New Roman" w:hAnsi="Times New Roman" w:cs="Times New Roman"/>
        </w:rPr>
        <w:t xml:space="preserve"> </w:t>
      </w:r>
      <w:r>
        <w:rPr>
          <w:rFonts w:ascii="Times New Roman" w:hAnsi="Times New Roman" w:eastAsia="仿宋" w:cs="Times New Roman"/>
          <w:sz w:val="30"/>
          <w:szCs w:val="30"/>
        </w:rPr>
        <w:t>评估总结阶段（12月）。</w:t>
      </w:r>
    </w:p>
    <w:p w14:paraId="64907A12">
      <w:pPr>
        <w:pStyle w:val="2"/>
        <w:ind w:firstLine="600" w:firstLineChars="200"/>
        <w:jc w:val="both"/>
        <w:rPr>
          <w:rFonts w:ascii="Times New Roman" w:hAnsi="Times New Roman" w:eastAsia="仿宋"/>
          <w:b w:val="0"/>
          <w:bCs w:val="0"/>
          <w:sz w:val="30"/>
          <w:szCs w:val="30"/>
        </w:rPr>
      </w:pPr>
      <w:r>
        <w:rPr>
          <w:rFonts w:ascii="Times New Roman" w:hAnsi="Times New Roman" w:eastAsia="仿宋"/>
          <w:b w:val="0"/>
          <w:bCs w:val="0"/>
          <w:sz w:val="30"/>
          <w:szCs w:val="30"/>
        </w:rPr>
        <w:t>采用定量与定性评价相结合方法，做好项目绩效自评。于12月15日前完成年度秸秆资源调查和数据上报与审核，并提交项目绩效自评报告、资金决算报告、还田效果监测报告和宣传报道资料，以及优惠政策落实清单和技术模式等相关材料。</w:t>
      </w:r>
    </w:p>
    <w:p w14:paraId="60569D0E">
      <w:pPr>
        <w:pStyle w:val="4"/>
        <w:rPr>
          <w:rFonts w:cs="Times New Roman" w:eastAsiaTheme="minorEastAsia"/>
          <w:shd w:val="clear" w:color="auto" w:fill="FFFFFF"/>
        </w:rPr>
      </w:pPr>
      <w:r>
        <w:rPr>
          <w:rFonts w:hint="eastAsia" w:cs="Times New Roman"/>
          <w:sz w:val="30"/>
          <w:szCs w:val="30"/>
          <w:lang w:val="en-US" w:eastAsia="zh-CN"/>
        </w:rPr>
        <w:t>六</w:t>
      </w:r>
      <w:r>
        <w:rPr>
          <w:rFonts w:cs="Times New Roman"/>
          <w:sz w:val="30"/>
          <w:szCs w:val="30"/>
        </w:rPr>
        <w:t>、效益分析</w:t>
      </w:r>
    </w:p>
    <w:p w14:paraId="131F2446">
      <w:pPr>
        <w:pStyle w:val="7"/>
        <w:spacing w:before="0" w:beforeAutospacing="0" w:after="0" w:afterAutospacing="0" w:line="560" w:lineRule="exact"/>
        <w:ind w:firstLine="600" w:firstLineChars="200"/>
        <w:jc w:val="both"/>
        <w:rPr>
          <w:rFonts w:ascii="Times New Roman" w:hAnsi="Times New Roman" w:eastAsia="仿宋"/>
          <w:sz w:val="30"/>
          <w:szCs w:val="30"/>
        </w:rPr>
      </w:pPr>
      <w:r>
        <w:rPr>
          <w:rFonts w:ascii="Times New Roman" w:hAnsi="Times New Roman" w:eastAsia="仿宋"/>
          <w:sz w:val="30"/>
          <w:szCs w:val="30"/>
        </w:rPr>
        <w:t>1.</w:t>
      </w:r>
      <w:r>
        <w:rPr>
          <w:rFonts w:ascii="Times New Roman" w:hAnsi="Times New Roman"/>
        </w:rPr>
        <w:t xml:space="preserve"> </w:t>
      </w:r>
      <w:r>
        <w:rPr>
          <w:rFonts w:ascii="Times New Roman" w:hAnsi="Times New Roman" w:eastAsia="仿宋"/>
          <w:sz w:val="30"/>
          <w:szCs w:val="30"/>
        </w:rPr>
        <w:t>经济效益</w:t>
      </w:r>
    </w:p>
    <w:p w14:paraId="1E96180E">
      <w:pPr>
        <w:pStyle w:val="2"/>
        <w:ind w:firstLine="600" w:firstLineChars="200"/>
        <w:jc w:val="both"/>
        <w:rPr>
          <w:rFonts w:ascii="Times New Roman" w:hAnsi="Times New Roman" w:eastAsia="仿宋"/>
          <w:b w:val="0"/>
          <w:bCs w:val="0"/>
          <w:sz w:val="30"/>
          <w:szCs w:val="30"/>
        </w:rPr>
      </w:pPr>
      <w:r>
        <w:rPr>
          <w:rFonts w:ascii="Times New Roman" w:hAnsi="Times New Roman" w:eastAsia="仿宋"/>
          <w:b w:val="0"/>
          <w:bCs w:val="0"/>
          <w:sz w:val="30"/>
          <w:szCs w:val="30"/>
        </w:rPr>
        <w:t>农作物秸秆是农业重要的资源之一，实施秸秆还田，能提高土壤有机质含量，改良土壤，提高化肥利用率，增加农作物产量，实现农田节本增效；推进秸秆离田资源化利用，培育秸秆饲料、基料、原料产业，能更大程度的发挥秸秆资源效应，进一步提升秸秆经济效益，同时带动秸秆关联产业的发展。</w:t>
      </w:r>
    </w:p>
    <w:p w14:paraId="6015DA8E">
      <w:pPr>
        <w:pStyle w:val="2"/>
        <w:ind w:firstLine="600" w:firstLineChars="200"/>
        <w:jc w:val="both"/>
        <w:rPr>
          <w:rFonts w:ascii="Times New Roman" w:hAnsi="Times New Roman" w:eastAsia="仿宋"/>
          <w:b w:val="0"/>
          <w:bCs w:val="0"/>
          <w:sz w:val="30"/>
          <w:szCs w:val="30"/>
        </w:rPr>
      </w:pPr>
      <w:r>
        <w:rPr>
          <w:rFonts w:ascii="Times New Roman" w:hAnsi="Times New Roman" w:eastAsia="仿宋"/>
          <w:b w:val="0"/>
          <w:bCs w:val="0"/>
          <w:sz w:val="30"/>
          <w:szCs w:val="30"/>
        </w:rPr>
        <w:t>2.社会效益</w:t>
      </w:r>
    </w:p>
    <w:p w14:paraId="459C538E">
      <w:pPr>
        <w:pStyle w:val="2"/>
        <w:ind w:firstLine="600" w:firstLineChars="200"/>
        <w:jc w:val="both"/>
        <w:rPr>
          <w:rFonts w:ascii="Times New Roman" w:hAnsi="Times New Roman" w:eastAsia="仿宋"/>
          <w:b w:val="0"/>
          <w:bCs w:val="0"/>
          <w:sz w:val="30"/>
          <w:szCs w:val="30"/>
        </w:rPr>
      </w:pPr>
      <w:r>
        <w:rPr>
          <w:rFonts w:ascii="Times New Roman" w:hAnsi="Times New Roman" w:eastAsia="仿宋"/>
          <w:b w:val="0"/>
          <w:bCs w:val="0"/>
          <w:sz w:val="30"/>
          <w:szCs w:val="30"/>
        </w:rPr>
        <w:t>推动秸秆综合利用，一方面通过秸秆高效还田，增加农作物产量，提高种植户的经济效益，激发农户种田的积极性，促进农业绿色发展；另一方面通过秸秆离田资源化利用，培育和壮大秸秆产业，增加农民在当地的就业机会，有益于家庭和社会和谐，助力乡村振兴。</w:t>
      </w:r>
    </w:p>
    <w:p w14:paraId="06AF40CA">
      <w:pPr>
        <w:pStyle w:val="2"/>
        <w:ind w:firstLine="600" w:firstLineChars="200"/>
        <w:jc w:val="both"/>
        <w:rPr>
          <w:rFonts w:ascii="Times New Roman" w:hAnsi="Times New Roman" w:eastAsia="仿宋"/>
          <w:b w:val="0"/>
          <w:bCs w:val="0"/>
          <w:sz w:val="30"/>
          <w:szCs w:val="30"/>
        </w:rPr>
      </w:pPr>
      <w:r>
        <w:rPr>
          <w:rFonts w:ascii="Times New Roman" w:hAnsi="Times New Roman" w:eastAsia="仿宋"/>
          <w:b w:val="0"/>
          <w:bCs w:val="0"/>
          <w:sz w:val="30"/>
          <w:szCs w:val="30"/>
        </w:rPr>
        <w:t>3.生态效益</w:t>
      </w:r>
    </w:p>
    <w:p w14:paraId="14E9971B">
      <w:pPr>
        <w:pStyle w:val="2"/>
        <w:ind w:firstLine="600" w:firstLineChars="200"/>
        <w:jc w:val="both"/>
        <w:rPr>
          <w:rFonts w:ascii="Times New Roman" w:hAnsi="Times New Roman" w:eastAsia="仿宋"/>
          <w:b w:val="0"/>
          <w:bCs w:val="0"/>
          <w:sz w:val="30"/>
          <w:szCs w:val="30"/>
        </w:rPr>
      </w:pPr>
      <w:r>
        <w:rPr>
          <w:rFonts w:ascii="Times New Roman" w:hAnsi="Times New Roman" w:eastAsia="仿宋"/>
          <w:b w:val="0"/>
          <w:bCs w:val="0"/>
          <w:sz w:val="30"/>
          <w:szCs w:val="30"/>
        </w:rPr>
        <w:t>秸秆还田可以提高土壤有机质含量，增强土壤肥力，改善土壤结构，有利于土壤生物多样性的恢复和提高，促进土壤养分的转化和循环。有助于减少化肥的使用，降低农业面源污染风险。秸秆还田有助于降低温室气体排放，减缓全球气候变化。</w:t>
      </w:r>
    </w:p>
    <w:p w14:paraId="09679D05">
      <w:pPr>
        <w:pStyle w:val="4"/>
        <w:rPr>
          <w:rFonts w:cs="Times New Roman" w:eastAsiaTheme="minorEastAsia"/>
          <w:shd w:val="clear" w:color="auto" w:fill="FFFFFF"/>
        </w:rPr>
      </w:pPr>
      <w:r>
        <w:rPr>
          <w:rFonts w:hint="eastAsia" w:cs="Times New Roman"/>
          <w:sz w:val="30"/>
          <w:szCs w:val="30"/>
          <w:lang w:val="en-US" w:eastAsia="zh-CN"/>
        </w:rPr>
        <w:t>七</w:t>
      </w:r>
      <w:r>
        <w:rPr>
          <w:rFonts w:cs="Times New Roman"/>
          <w:sz w:val="30"/>
          <w:szCs w:val="30"/>
        </w:rPr>
        <w:t>、项目保障措施</w:t>
      </w:r>
    </w:p>
    <w:p w14:paraId="48F86020">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1.加强组织领导</w:t>
      </w:r>
    </w:p>
    <w:p w14:paraId="66FF9039">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为统筹协调、高位推进项目实施，成立以县政府分管领导为组长，县农业农村、财政、自然资源、生态环境和应急管理部门负责人为成员的浮梁县202</w:t>
      </w:r>
      <w:r>
        <w:rPr>
          <w:rFonts w:hint="eastAsia" w:ascii="Times New Roman" w:hAnsi="Times New Roman" w:eastAsia="仿宋" w:cs="Times New Roman"/>
          <w:sz w:val="30"/>
          <w:szCs w:val="30"/>
          <w:lang w:val="en-US" w:eastAsia="zh-CN"/>
        </w:rPr>
        <w:t>7</w:t>
      </w:r>
      <w:r>
        <w:rPr>
          <w:rFonts w:ascii="Times New Roman" w:hAnsi="Times New Roman" w:eastAsia="仿宋" w:cs="Times New Roman"/>
          <w:sz w:val="30"/>
          <w:szCs w:val="30"/>
        </w:rPr>
        <w:t>年中央财政农作物秸秆综合利用重点县项目工作领导小组。由分管农业农村工作的政府副县长任组长，农业农村、财政、生态环境、自然资源、发改委等其他相关部门负责人为成员，领导小组办公室设在县农业农村局，由县农业农村局领导兼任办公室主任。县农业农村局</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负责指导全县农作物秸秆综合利用工作，负责农机管理工作，确保在辖区内作业的联合收割机都必须配备并使用秸秆粉碎装置。生态环境局</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负责监督管理农作物秸秆禁烧工作，确保区域内不出现秸秆露天焚烧。县财政局:保证秸秆综合利用项目经费落实到位。县自然资源规划局:及时对秸秆综合利用项目用地落实设施农用地手续。县发改委:负责秸秆综合利用规划和项目立项。各乡镇人民政府</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负责落实本辖区内秸秆综合利用和禁烧管控具体工作，坚决禁止未安装秸秆粉碎装置的联合收割机下田作业；做到水稻留茬高度不超过1</w:t>
      </w:r>
      <w:r>
        <w:rPr>
          <w:rFonts w:hint="eastAsia" w:ascii="Times New Roman" w:hAnsi="Times New Roman" w:eastAsia="仿宋" w:cs="Times New Roman"/>
          <w:sz w:val="30"/>
          <w:szCs w:val="30"/>
          <w:lang w:val="en-US" w:eastAsia="zh-CN"/>
        </w:rPr>
        <w:t>5</w:t>
      </w:r>
      <w:r>
        <w:rPr>
          <w:rFonts w:ascii="Times New Roman" w:hAnsi="Times New Roman" w:eastAsia="仿宋" w:cs="Times New Roman"/>
          <w:sz w:val="30"/>
          <w:szCs w:val="30"/>
        </w:rPr>
        <w:t>厘米</w:t>
      </w:r>
      <w:r>
        <w:rPr>
          <w:rFonts w:hint="eastAsia" w:ascii="Times New Roman" w:hAnsi="Times New Roman" w:eastAsia="仿宋" w:cs="Times New Roman"/>
          <w:sz w:val="30"/>
          <w:szCs w:val="30"/>
        </w:rPr>
        <w:t>（</w:t>
      </w:r>
      <w:r>
        <w:rPr>
          <w:rFonts w:ascii="Times New Roman" w:hAnsi="Times New Roman" w:eastAsia="仿宋" w:cs="Times New Roman"/>
          <w:sz w:val="30"/>
          <w:szCs w:val="30"/>
        </w:rPr>
        <w:t>留茬高度超过15厘米的必须使用秸秆还田机进行粉碎</w:t>
      </w:r>
      <w:r>
        <w:rPr>
          <w:rFonts w:hint="eastAsia" w:ascii="Times New Roman" w:hAnsi="Times New Roman" w:eastAsia="仿宋" w:cs="Times New Roman"/>
          <w:sz w:val="30"/>
          <w:szCs w:val="30"/>
        </w:rPr>
        <w:t>）</w:t>
      </w:r>
      <w:r>
        <w:rPr>
          <w:rFonts w:ascii="Times New Roman" w:hAnsi="Times New Roman" w:eastAsia="仿宋" w:cs="Times New Roman"/>
          <w:sz w:val="30"/>
          <w:szCs w:val="30"/>
        </w:rPr>
        <w:t>，秸秆切碎长度不超过10厘米，切碎率达90%；确保辖区内不出现火点。</w:t>
      </w:r>
    </w:p>
    <w:p w14:paraId="0EEA5DCC">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2.加大政策扶持。</w:t>
      </w:r>
    </w:p>
    <w:p w14:paraId="754CB884">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为大力开展秸秆综合利用，制定了一系列秸秆综合利用扶持政策。资金补助对象为购置还田离田机械，从事秸秆综合利用的各类农业生产经营主体。围绕秸秆全面禁烧的目标，抓源头管控，确保联合收割机利用秸秆粉碎装置作业，制定秸秆机械化粉碎还田机具奖补政策，建立政府支持、政策推动、上下联动、市场运作、社会参与的秸秆禁烧监管体系，确保全县无秸秆焚烧现象。</w:t>
      </w:r>
    </w:p>
    <w:p w14:paraId="03DE6858">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3.强化科技支撑</w:t>
      </w:r>
    </w:p>
    <w:p w14:paraId="6B5035D7">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加强与江西省农业大学等专家技术支撑单位的技术合作，整合科研院所、高校、企业的资源和力量，推动引进和消化吸收秸秆综合利用的先进技术，加强科技集成创新与成果转化，建立秸秆综合利用长效机制，抓好项目的技术跟踪服务，总结提炼出一套可复制可推广的技术路线和典型应用模式。</w:t>
      </w:r>
    </w:p>
    <w:p w14:paraId="078B8DBC">
      <w:pPr>
        <w:pageBreakBefore w:val="0"/>
        <w:widowControl w:val="0"/>
        <w:kinsoku/>
        <w:wordWrap/>
        <w:overflowPunct/>
        <w:topLinePunct w:val="0"/>
        <w:autoSpaceDE/>
        <w:autoSpaceDN/>
        <w:bidi w:val="0"/>
        <w:adjustRightInd/>
        <w:snapToGrid/>
        <w:spacing w:line="600" w:lineRule="exact"/>
        <w:ind w:firstLine="600" w:firstLineChars="200"/>
        <w:textAlignment w:val="auto"/>
        <w:rPr>
          <w:rFonts w:ascii="Times New Roman" w:hAnsi="Times New Roman" w:eastAsia="仿宋" w:cs="Times New Roman"/>
          <w:sz w:val="30"/>
          <w:szCs w:val="30"/>
        </w:rPr>
      </w:pPr>
      <w:r>
        <w:rPr>
          <w:rFonts w:ascii="Times New Roman" w:hAnsi="Times New Roman" w:eastAsia="仿宋" w:cs="Times New Roman"/>
          <w:sz w:val="30"/>
          <w:szCs w:val="30"/>
        </w:rPr>
        <w:t>4.加强宣传指导。</w:t>
      </w:r>
    </w:p>
    <w:p w14:paraId="1B4F89AE">
      <w:pPr>
        <w:pageBreakBefore w:val="0"/>
        <w:widowControl w:val="0"/>
        <w:kinsoku/>
        <w:wordWrap/>
        <w:overflowPunct/>
        <w:topLinePunct w:val="0"/>
        <w:autoSpaceDE/>
        <w:autoSpaceDN/>
        <w:bidi w:val="0"/>
        <w:adjustRightInd/>
        <w:snapToGrid/>
        <w:spacing w:line="600" w:lineRule="exact"/>
        <w:ind w:firstLine="600" w:firstLineChars="200"/>
        <w:textAlignment w:val="auto"/>
        <w:rPr>
          <w:rFonts w:ascii="Times New Roman" w:hAnsi="Times New Roman" w:eastAsia="仿宋" w:cs="Times New Roman"/>
          <w:sz w:val="30"/>
          <w:szCs w:val="30"/>
        </w:rPr>
      </w:pPr>
      <w:r>
        <w:rPr>
          <w:rFonts w:ascii="Times New Roman" w:hAnsi="Times New Roman" w:eastAsia="仿宋" w:cs="Times New Roman"/>
          <w:sz w:val="30"/>
          <w:szCs w:val="30"/>
        </w:rPr>
        <w:t>积极开展</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秸秆综合利用助力乡村振兴</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主题宣传活动，统筹运用村级广播、自媒体、报纸、电视、互联网等宣传载体，广泛宣传各地典型经验和有效做法，进一步提升农户参与度。组建技术指导专家，指导落实秸秆综合利用的各项关键技术，帮助试点单位解决遇到的技术问题，提升利用水平。通过项目实施，总结提炼县域农作物秸秆综合利用技术清单和模式。根据农作物秸秆收储时节，组织开展多种形式的交流活动和现场培训，利用新闻媒体，大力宣传秸秆综合利用典型模式，多角度多方位讲好秸秆利用故事，努力营造全社会关心关注秸秆产业发展的浓厚氛围。</w:t>
      </w:r>
    </w:p>
    <w:p w14:paraId="30DF3491">
      <w:pPr>
        <w:pageBreakBefore w:val="0"/>
        <w:widowControl w:val="0"/>
        <w:kinsoku/>
        <w:wordWrap/>
        <w:overflowPunct/>
        <w:topLinePunct w:val="0"/>
        <w:autoSpaceDE/>
        <w:autoSpaceDN/>
        <w:bidi w:val="0"/>
        <w:adjustRightInd/>
        <w:snapToGrid/>
        <w:spacing w:line="600" w:lineRule="exact"/>
        <w:ind w:firstLine="600" w:firstLineChars="200"/>
        <w:textAlignment w:val="auto"/>
        <w:rPr>
          <w:rFonts w:ascii="Times New Roman" w:hAnsi="Times New Roman" w:eastAsia="仿宋" w:cs="Times New Roman"/>
          <w:sz w:val="30"/>
          <w:szCs w:val="30"/>
        </w:rPr>
      </w:pPr>
      <w:r>
        <w:rPr>
          <w:rFonts w:ascii="Times New Roman" w:hAnsi="Times New Roman" w:eastAsia="仿宋" w:cs="Times New Roman"/>
          <w:sz w:val="30"/>
          <w:szCs w:val="30"/>
        </w:rPr>
        <w:t>5.规范项目管理。</w:t>
      </w:r>
    </w:p>
    <w:p w14:paraId="55619713">
      <w:pPr>
        <w:pageBreakBefore w:val="0"/>
        <w:widowControl w:val="0"/>
        <w:kinsoku/>
        <w:wordWrap/>
        <w:overflowPunct/>
        <w:topLinePunct w:val="0"/>
        <w:autoSpaceDE/>
        <w:autoSpaceDN/>
        <w:bidi w:val="0"/>
        <w:adjustRightInd/>
        <w:snapToGrid/>
        <w:spacing w:line="600" w:lineRule="exact"/>
        <w:ind w:firstLine="600" w:firstLineChars="200"/>
        <w:textAlignment w:val="auto"/>
        <w:rPr>
          <w:rFonts w:ascii="Times New Roman" w:hAnsi="Times New Roman" w:eastAsia="仿宋" w:cs="Times New Roman"/>
          <w:sz w:val="30"/>
          <w:szCs w:val="30"/>
        </w:rPr>
      </w:pPr>
      <w:r>
        <w:rPr>
          <w:rFonts w:ascii="Times New Roman" w:hAnsi="Times New Roman" w:eastAsia="仿宋" w:cs="Times New Roman"/>
          <w:sz w:val="30"/>
          <w:szCs w:val="30"/>
        </w:rPr>
        <w:t>项目领导小组建立调度制度，实行一季一调度、半年一碰头、一年一总结，及时掌握工作进度情况。各参建部门要规范档案管理，充分利用综合利用监管平台，及时收集整理创建方案、协议、总结等文档和图片资料，装订成册、归档管理。同时要强化责任监督，规范实施要求。</w:t>
      </w:r>
    </w:p>
    <w:p w14:paraId="1BED9CF4">
      <w:pPr>
        <w:pStyle w:val="4"/>
        <w:pageBreakBefore w:val="0"/>
        <w:widowControl w:val="0"/>
        <w:kinsoku/>
        <w:wordWrap/>
        <w:overflowPunct/>
        <w:topLinePunct w:val="0"/>
        <w:autoSpaceDE/>
        <w:autoSpaceDN/>
        <w:bidi w:val="0"/>
        <w:adjustRightInd/>
        <w:snapToGrid/>
        <w:spacing w:line="600" w:lineRule="exact"/>
        <w:textAlignment w:val="auto"/>
        <w:rPr>
          <w:rFonts w:hint="eastAsia" w:cs="Times New Roman"/>
          <w:sz w:val="30"/>
          <w:szCs w:val="30"/>
          <w:lang w:val="en-US" w:eastAsia="zh-CN"/>
        </w:rPr>
      </w:pPr>
      <w:r>
        <w:rPr>
          <w:rFonts w:hint="eastAsia" w:cs="Times New Roman"/>
          <w:sz w:val="30"/>
          <w:szCs w:val="30"/>
          <w:lang w:val="en-US" w:eastAsia="zh-CN"/>
        </w:rPr>
        <w:t>八、主要绩效指标设计（见附件1）</w:t>
      </w:r>
    </w:p>
    <w:p w14:paraId="05AB0972">
      <w:pPr>
        <w:pStyle w:val="3"/>
        <w:keepNext w:val="0"/>
        <w:keepLines w:val="0"/>
        <w:pageBreakBefore w:val="0"/>
        <w:widowControl w:val="0"/>
        <w:kinsoku/>
        <w:wordWrap/>
        <w:overflowPunct/>
        <w:topLinePunct w:val="0"/>
        <w:autoSpaceDE/>
        <w:autoSpaceDN/>
        <w:bidi w:val="0"/>
        <w:adjustRightInd/>
        <w:snapToGrid/>
        <w:spacing w:line="600" w:lineRule="exact"/>
        <w:ind w:firstLine="420"/>
        <w:jc w:val="both"/>
        <w:textAlignment w:val="auto"/>
        <w:rPr>
          <w:rFonts w:ascii="Times New Roman" w:hAnsi="Times New Roman" w:eastAsia="仿宋" w:cs="Times New Roman"/>
          <w:b w:val="0"/>
          <w:bCs w:val="0"/>
          <w:sz w:val="30"/>
          <w:szCs w:val="30"/>
        </w:rPr>
      </w:pPr>
      <w:r>
        <w:rPr>
          <w:rFonts w:ascii="Times New Roman" w:hAnsi="Times New Roman" w:eastAsia="仿宋" w:cs="Times New Roman"/>
          <w:b w:val="0"/>
          <w:bCs w:val="0"/>
          <w:sz w:val="30"/>
          <w:szCs w:val="30"/>
        </w:rPr>
        <w:t>包括：秸秆综合利用率、秸秆还田能力提升、秸秆收储运体系建设、秸秆离田产业发展、秸秆综合利用技术及典型模式推广和秸秆综合利用长效机制。项目各项绩效指标详见附表1。</w:t>
      </w:r>
    </w:p>
    <w:p w14:paraId="0D9614DD">
      <w:pPr>
        <w:pStyle w:val="3"/>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ascii="Times New Roman" w:hAnsi="Times New Roman" w:eastAsia="仿宋" w:cs="Times New Roman"/>
          <w:b w:val="0"/>
          <w:bCs w:val="0"/>
          <w:sz w:val="30"/>
          <w:szCs w:val="30"/>
        </w:rPr>
      </w:pPr>
    </w:p>
    <w:p w14:paraId="1CD56F01">
      <w:pPr>
        <w:pStyle w:val="3"/>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ascii="Times New Roman" w:hAnsi="Times New Roman" w:eastAsia="仿宋" w:cs="Times New Roman"/>
          <w:b w:val="0"/>
          <w:bCs w:val="0"/>
          <w:sz w:val="30"/>
          <w:szCs w:val="30"/>
        </w:rPr>
      </w:pPr>
      <w:r>
        <w:rPr>
          <w:rFonts w:ascii="Times New Roman" w:hAnsi="Times New Roman" w:eastAsia="仿宋" w:cs="Times New Roman"/>
          <w:b w:val="0"/>
          <w:bCs w:val="0"/>
          <w:sz w:val="30"/>
          <w:szCs w:val="30"/>
        </w:rPr>
        <w:t>附件：1.浮梁县秸秆综合利用重点县项目工作领导小组名单</w:t>
      </w:r>
    </w:p>
    <w:p w14:paraId="5E4A4923">
      <w:pPr>
        <w:pStyle w:val="3"/>
        <w:keepNext w:val="0"/>
        <w:keepLines w:val="0"/>
        <w:pageBreakBefore w:val="0"/>
        <w:widowControl w:val="0"/>
        <w:kinsoku/>
        <w:wordWrap/>
        <w:overflowPunct/>
        <w:topLinePunct w:val="0"/>
        <w:autoSpaceDE/>
        <w:autoSpaceDN/>
        <w:bidi w:val="0"/>
        <w:adjustRightInd/>
        <w:snapToGrid/>
        <w:spacing w:line="600" w:lineRule="exact"/>
        <w:ind w:firstLine="900" w:firstLineChars="300"/>
        <w:jc w:val="both"/>
        <w:textAlignment w:val="auto"/>
        <w:rPr>
          <w:rFonts w:ascii="Times New Roman" w:hAnsi="Times New Roman" w:eastAsia="仿宋" w:cs="Times New Roman"/>
          <w:b w:val="0"/>
          <w:bCs w:val="0"/>
          <w:sz w:val="30"/>
          <w:szCs w:val="30"/>
        </w:rPr>
      </w:pPr>
      <w:r>
        <w:rPr>
          <w:rFonts w:ascii="Times New Roman" w:hAnsi="Times New Roman" w:eastAsia="仿宋" w:cs="Times New Roman"/>
          <w:b w:val="0"/>
          <w:bCs w:val="0"/>
          <w:sz w:val="30"/>
          <w:szCs w:val="30"/>
        </w:rPr>
        <w:t>2.浮梁县秸秆综合利用重点县项目技术指导小组名单</w:t>
      </w:r>
    </w:p>
    <w:p w14:paraId="578C8891">
      <w:pPr>
        <w:pStyle w:val="3"/>
        <w:keepNext w:val="0"/>
        <w:keepLines w:val="0"/>
        <w:pageBreakBefore w:val="0"/>
        <w:widowControl w:val="0"/>
        <w:kinsoku/>
        <w:wordWrap/>
        <w:overflowPunct/>
        <w:topLinePunct w:val="0"/>
        <w:autoSpaceDE/>
        <w:autoSpaceDN/>
        <w:bidi w:val="0"/>
        <w:adjustRightInd/>
        <w:snapToGrid/>
        <w:spacing w:line="600" w:lineRule="exact"/>
        <w:ind w:firstLine="900" w:firstLineChars="300"/>
        <w:jc w:val="both"/>
        <w:textAlignment w:val="auto"/>
        <w:rPr>
          <w:rFonts w:ascii="Times New Roman" w:hAnsi="Times New Roman" w:eastAsia="仿宋" w:cs="Times New Roman"/>
          <w:b w:val="0"/>
          <w:bCs w:val="0"/>
          <w:sz w:val="30"/>
          <w:szCs w:val="30"/>
        </w:rPr>
      </w:pPr>
      <w:r>
        <w:rPr>
          <w:rFonts w:ascii="Times New Roman" w:hAnsi="Times New Roman" w:eastAsia="仿宋" w:cs="Times New Roman"/>
          <w:b w:val="0"/>
          <w:bCs w:val="0"/>
          <w:sz w:val="30"/>
          <w:szCs w:val="30"/>
        </w:rPr>
        <w:t>3.浮梁县202</w:t>
      </w:r>
      <w:r>
        <w:rPr>
          <w:rFonts w:hint="eastAsia" w:ascii="Times New Roman" w:hAnsi="Times New Roman" w:eastAsia="仿宋" w:cs="Times New Roman"/>
          <w:b w:val="0"/>
          <w:bCs w:val="0"/>
          <w:sz w:val="30"/>
          <w:szCs w:val="30"/>
          <w:lang w:val="en-US" w:eastAsia="zh-CN"/>
        </w:rPr>
        <w:t>7</w:t>
      </w:r>
      <w:r>
        <w:rPr>
          <w:rFonts w:ascii="Times New Roman" w:hAnsi="Times New Roman" w:eastAsia="仿宋" w:cs="Times New Roman"/>
          <w:b w:val="0"/>
          <w:bCs w:val="0"/>
          <w:sz w:val="30"/>
          <w:szCs w:val="30"/>
        </w:rPr>
        <w:t>年农作物秸秆综合</w:t>
      </w:r>
      <w:r>
        <w:rPr>
          <w:rFonts w:hint="eastAsia" w:ascii="Times New Roman" w:hAnsi="Times New Roman" w:eastAsia="仿宋" w:cs="Times New Roman"/>
          <w:b w:val="0"/>
          <w:bCs w:val="0"/>
          <w:sz w:val="30"/>
          <w:szCs w:val="30"/>
        </w:rPr>
        <w:t>利用</w:t>
      </w:r>
      <w:r>
        <w:rPr>
          <w:rFonts w:ascii="Times New Roman" w:hAnsi="Times New Roman" w:eastAsia="仿宋" w:cs="Times New Roman"/>
          <w:b w:val="0"/>
          <w:bCs w:val="0"/>
          <w:sz w:val="30"/>
          <w:szCs w:val="30"/>
        </w:rPr>
        <w:t>项目绩效目标表</w:t>
      </w:r>
    </w:p>
    <w:p w14:paraId="299740B9">
      <w:pPr>
        <w:pStyle w:val="3"/>
        <w:keepNext w:val="0"/>
        <w:keepLines w:val="0"/>
        <w:pageBreakBefore w:val="0"/>
        <w:widowControl w:val="0"/>
        <w:kinsoku/>
        <w:wordWrap/>
        <w:overflowPunct/>
        <w:topLinePunct w:val="0"/>
        <w:autoSpaceDE/>
        <w:autoSpaceDN/>
        <w:bidi w:val="0"/>
        <w:adjustRightInd/>
        <w:snapToGrid/>
        <w:spacing w:line="600" w:lineRule="exact"/>
        <w:ind w:firstLine="900" w:firstLineChars="300"/>
        <w:jc w:val="both"/>
        <w:textAlignment w:val="auto"/>
        <w:rPr>
          <w:rFonts w:ascii="Times New Roman" w:hAnsi="Times New Roman" w:eastAsia="仿宋" w:cs="Times New Roman"/>
          <w:b w:val="0"/>
          <w:bCs w:val="0"/>
          <w:sz w:val="30"/>
          <w:szCs w:val="30"/>
        </w:rPr>
      </w:pPr>
      <w:r>
        <w:rPr>
          <w:rFonts w:ascii="Times New Roman" w:hAnsi="Times New Roman" w:eastAsia="仿宋" w:cs="Times New Roman"/>
          <w:b w:val="0"/>
          <w:bCs w:val="0"/>
          <w:sz w:val="30"/>
          <w:szCs w:val="30"/>
        </w:rPr>
        <w:t>4.浮梁县202</w:t>
      </w:r>
      <w:r>
        <w:rPr>
          <w:rFonts w:hint="eastAsia" w:ascii="Times New Roman" w:hAnsi="Times New Roman" w:eastAsia="仿宋" w:cs="Times New Roman"/>
          <w:b w:val="0"/>
          <w:bCs w:val="0"/>
          <w:sz w:val="30"/>
          <w:szCs w:val="30"/>
          <w:lang w:val="en-US" w:eastAsia="zh-CN"/>
        </w:rPr>
        <w:t>7</w:t>
      </w:r>
      <w:r>
        <w:rPr>
          <w:rFonts w:ascii="Times New Roman" w:hAnsi="Times New Roman" w:eastAsia="仿宋" w:cs="Times New Roman"/>
          <w:b w:val="0"/>
          <w:bCs w:val="0"/>
          <w:sz w:val="30"/>
          <w:szCs w:val="30"/>
        </w:rPr>
        <w:t>年农作物秸秆综合</w:t>
      </w:r>
      <w:r>
        <w:rPr>
          <w:rFonts w:hint="eastAsia" w:ascii="Times New Roman" w:hAnsi="Times New Roman" w:eastAsia="仿宋" w:cs="Times New Roman"/>
          <w:b w:val="0"/>
          <w:bCs w:val="0"/>
          <w:sz w:val="30"/>
          <w:szCs w:val="30"/>
        </w:rPr>
        <w:t>利用</w:t>
      </w:r>
      <w:r>
        <w:rPr>
          <w:rFonts w:ascii="Times New Roman" w:hAnsi="Times New Roman" w:eastAsia="仿宋" w:cs="Times New Roman"/>
          <w:b w:val="0"/>
          <w:bCs w:val="0"/>
          <w:sz w:val="30"/>
          <w:szCs w:val="30"/>
        </w:rPr>
        <w:t>重点县项目计划资金明细表</w:t>
      </w:r>
    </w:p>
    <w:p w14:paraId="0E5A9F29">
      <w:pPr>
        <w:pStyle w:val="3"/>
        <w:keepNext w:val="0"/>
        <w:keepLines w:val="0"/>
        <w:pageBreakBefore w:val="0"/>
        <w:widowControl w:val="0"/>
        <w:kinsoku/>
        <w:wordWrap/>
        <w:overflowPunct/>
        <w:topLinePunct w:val="0"/>
        <w:autoSpaceDE/>
        <w:autoSpaceDN/>
        <w:bidi w:val="0"/>
        <w:adjustRightInd/>
        <w:snapToGrid/>
        <w:spacing w:line="600" w:lineRule="exact"/>
        <w:ind w:firstLine="900" w:firstLineChars="300"/>
        <w:jc w:val="both"/>
        <w:textAlignment w:val="auto"/>
        <w:rPr>
          <w:rFonts w:ascii="Times New Roman" w:hAnsi="Times New Roman" w:eastAsia="仿宋" w:cs="Times New Roman"/>
          <w:b w:val="0"/>
          <w:bCs w:val="0"/>
          <w:sz w:val="30"/>
          <w:szCs w:val="30"/>
        </w:rPr>
      </w:pPr>
      <w:r>
        <w:rPr>
          <w:rFonts w:hint="eastAsia" w:ascii="Times New Roman" w:hAnsi="Times New Roman" w:eastAsia="仿宋" w:cs="Times New Roman"/>
          <w:b w:val="0"/>
          <w:bCs w:val="0"/>
          <w:sz w:val="30"/>
          <w:szCs w:val="30"/>
          <w:lang w:val="en-US" w:eastAsia="zh-CN"/>
        </w:rPr>
        <w:t>5</w:t>
      </w:r>
      <w:r>
        <w:rPr>
          <w:rFonts w:ascii="Times New Roman" w:hAnsi="Times New Roman" w:eastAsia="仿宋" w:cs="Times New Roman"/>
          <w:b w:val="0"/>
          <w:bCs w:val="0"/>
          <w:sz w:val="30"/>
          <w:szCs w:val="30"/>
        </w:rPr>
        <w:t>.浮梁县202</w:t>
      </w:r>
      <w:r>
        <w:rPr>
          <w:rFonts w:hint="eastAsia" w:ascii="Times New Roman" w:hAnsi="Times New Roman" w:eastAsia="仿宋" w:cs="Times New Roman"/>
          <w:b w:val="0"/>
          <w:bCs w:val="0"/>
          <w:sz w:val="30"/>
          <w:szCs w:val="30"/>
          <w:lang w:val="en-US" w:eastAsia="zh-CN"/>
        </w:rPr>
        <w:t>7</w:t>
      </w:r>
      <w:r>
        <w:rPr>
          <w:rFonts w:ascii="Times New Roman" w:hAnsi="Times New Roman" w:eastAsia="仿宋" w:cs="Times New Roman"/>
          <w:b w:val="0"/>
          <w:bCs w:val="0"/>
          <w:sz w:val="30"/>
          <w:szCs w:val="30"/>
        </w:rPr>
        <w:t>年农作物秆综合</w:t>
      </w:r>
      <w:r>
        <w:rPr>
          <w:rFonts w:hint="eastAsia" w:ascii="Times New Roman" w:hAnsi="Times New Roman" w:eastAsia="仿宋" w:cs="Times New Roman"/>
          <w:b w:val="0"/>
          <w:bCs w:val="0"/>
          <w:sz w:val="30"/>
          <w:szCs w:val="30"/>
        </w:rPr>
        <w:t>利用</w:t>
      </w:r>
      <w:r>
        <w:rPr>
          <w:rFonts w:ascii="Times New Roman" w:hAnsi="Times New Roman" w:eastAsia="仿宋" w:cs="Times New Roman"/>
          <w:b w:val="0"/>
          <w:bCs w:val="0"/>
          <w:sz w:val="30"/>
          <w:szCs w:val="30"/>
        </w:rPr>
        <w:t>重点县项目实施主体遴选、监督、评价、验收流程管理办法</w:t>
      </w:r>
    </w:p>
    <w:p w14:paraId="04A7ECBA">
      <w:pPr>
        <w:pStyle w:val="3"/>
        <w:keepNext w:val="0"/>
        <w:keepLines w:val="0"/>
        <w:pageBreakBefore w:val="0"/>
        <w:widowControl w:val="0"/>
        <w:kinsoku/>
        <w:wordWrap/>
        <w:overflowPunct/>
        <w:topLinePunct w:val="0"/>
        <w:autoSpaceDE/>
        <w:autoSpaceDN/>
        <w:bidi w:val="0"/>
        <w:adjustRightInd/>
        <w:snapToGrid/>
        <w:spacing w:line="600" w:lineRule="exact"/>
        <w:ind w:firstLine="900" w:firstLineChars="300"/>
        <w:jc w:val="both"/>
        <w:textAlignment w:val="auto"/>
        <w:rPr>
          <w:rFonts w:ascii="Times New Roman" w:hAnsi="Times New Roman" w:eastAsia="仿宋" w:cs="Times New Roman"/>
          <w:b w:val="0"/>
          <w:bCs w:val="0"/>
          <w:sz w:val="30"/>
          <w:szCs w:val="30"/>
        </w:rPr>
      </w:pPr>
      <w:r>
        <w:rPr>
          <w:rFonts w:hint="eastAsia" w:ascii="Times New Roman" w:hAnsi="Times New Roman" w:eastAsia="仿宋" w:cs="Times New Roman"/>
          <w:b w:val="0"/>
          <w:bCs w:val="0"/>
          <w:sz w:val="30"/>
          <w:szCs w:val="30"/>
          <w:lang w:val="en-US" w:eastAsia="zh-CN"/>
        </w:rPr>
        <w:t>6.</w:t>
      </w:r>
      <w:r>
        <w:rPr>
          <w:rFonts w:ascii="Times New Roman" w:hAnsi="Times New Roman" w:eastAsia="仿宋" w:cs="Times New Roman"/>
          <w:b w:val="0"/>
          <w:bCs w:val="0"/>
          <w:sz w:val="30"/>
          <w:szCs w:val="30"/>
        </w:rPr>
        <w:t>浮梁县农作物秸秆还田效果监测方案</w:t>
      </w:r>
    </w:p>
    <w:p w14:paraId="37124D64">
      <w:pPr>
        <w:pStyle w:val="5"/>
        <w:ind w:firstLine="321" w:firstLineChars="100"/>
        <w:jc w:val="both"/>
        <w:rPr>
          <w:rFonts w:cs="Times New Roman"/>
        </w:rPr>
      </w:pPr>
      <w:r>
        <w:rPr>
          <w:rFonts w:cs="Times New Roman"/>
        </w:rPr>
        <w:t>附件1</w:t>
      </w:r>
    </w:p>
    <w:p w14:paraId="542FB504">
      <w:pPr>
        <w:pStyle w:val="4"/>
        <w:jc w:val="center"/>
        <w:rPr>
          <w:rFonts w:cs="Times New Roman"/>
          <w:sz w:val="30"/>
          <w:szCs w:val="30"/>
        </w:rPr>
      </w:pPr>
      <w:r>
        <w:rPr>
          <w:rFonts w:cs="Times New Roman"/>
        </w:rPr>
        <w:t>浮梁县秸秆综合利用重点县项目工作领导小组名单</w:t>
      </w:r>
    </w:p>
    <w:p w14:paraId="6F7D9171">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 xml:space="preserve">组长：  </w:t>
      </w:r>
      <w:r>
        <w:rPr>
          <w:rFonts w:hint="eastAsia" w:ascii="Times New Roman" w:hAnsi="Times New Roman" w:eastAsia="仿宋" w:cs="Times New Roman"/>
          <w:sz w:val="30"/>
          <w:szCs w:val="30"/>
        </w:rPr>
        <w:t xml:space="preserve">刘继莲  </w:t>
      </w:r>
      <w:r>
        <w:rPr>
          <w:rFonts w:ascii="Times New Roman" w:hAnsi="Times New Roman" w:eastAsia="仿宋" w:cs="Times New Roman"/>
          <w:sz w:val="30"/>
          <w:szCs w:val="30"/>
        </w:rPr>
        <w:t>县政府副县长</w:t>
      </w:r>
      <w:r>
        <w:rPr>
          <w:rFonts w:hint="eastAsia" w:ascii="Times New Roman" w:hAnsi="Times New Roman" w:eastAsia="仿宋" w:cs="Times New Roman"/>
          <w:sz w:val="30"/>
          <w:szCs w:val="30"/>
        </w:rPr>
        <w:t xml:space="preserve">  </w:t>
      </w:r>
    </w:p>
    <w:p w14:paraId="3F417C1C">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 xml:space="preserve">成员：  </w:t>
      </w:r>
      <w:r>
        <w:rPr>
          <w:rFonts w:hint="eastAsia" w:ascii="Times New Roman" w:hAnsi="Times New Roman" w:eastAsia="仿宋" w:cs="Times New Roman"/>
          <w:sz w:val="30"/>
          <w:szCs w:val="30"/>
        </w:rPr>
        <w:t xml:space="preserve">朱学良  </w:t>
      </w:r>
      <w:r>
        <w:rPr>
          <w:rFonts w:ascii="Times New Roman" w:hAnsi="Times New Roman" w:eastAsia="仿宋" w:cs="Times New Roman"/>
          <w:sz w:val="30"/>
          <w:szCs w:val="30"/>
        </w:rPr>
        <w:t>县农业农村局局长</w:t>
      </w:r>
    </w:p>
    <w:p w14:paraId="4E4312EA">
      <w:pPr>
        <w:widowControl/>
        <w:ind w:firstLine="1800" w:firstLineChars="600"/>
        <w:jc w:val="left"/>
        <w:rPr>
          <w:rFonts w:ascii="Times New Roman" w:hAnsi="Times New Roman" w:eastAsia="仿宋" w:cs="Times New Roman"/>
          <w:sz w:val="30"/>
          <w:szCs w:val="30"/>
        </w:rPr>
      </w:pPr>
      <w:r>
        <w:rPr>
          <w:rFonts w:hint="eastAsia" w:ascii="Times New Roman" w:hAnsi="Times New Roman" w:eastAsia="仿宋" w:cs="Times New Roman"/>
          <w:sz w:val="30"/>
          <w:szCs w:val="30"/>
        </w:rPr>
        <w:t xml:space="preserve">吴明    </w:t>
      </w:r>
      <w:r>
        <w:rPr>
          <w:rFonts w:ascii="Times New Roman" w:hAnsi="Times New Roman" w:eastAsia="仿宋" w:cs="Times New Roman"/>
          <w:sz w:val="30"/>
          <w:szCs w:val="30"/>
        </w:rPr>
        <w:t>县财政局局长</w:t>
      </w:r>
    </w:p>
    <w:p w14:paraId="7E39858D">
      <w:pPr>
        <w:widowControl/>
        <w:ind w:firstLine="1800" w:firstLineChars="600"/>
        <w:jc w:val="left"/>
        <w:rPr>
          <w:rFonts w:ascii="Times New Roman" w:hAnsi="Times New Roman" w:eastAsia="仿宋" w:cs="Times New Roman"/>
          <w:sz w:val="30"/>
          <w:szCs w:val="30"/>
        </w:rPr>
      </w:pPr>
      <w:r>
        <w:rPr>
          <w:rFonts w:hint="eastAsia" w:ascii="Times New Roman" w:hAnsi="Times New Roman" w:eastAsia="仿宋" w:cs="Times New Roman"/>
          <w:sz w:val="30"/>
          <w:szCs w:val="30"/>
        </w:rPr>
        <w:t xml:space="preserve">徐江萍  </w:t>
      </w:r>
      <w:r>
        <w:rPr>
          <w:rFonts w:ascii="Times New Roman" w:hAnsi="Times New Roman" w:eastAsia="仿宋" w:cs="Times New Roman"/>
          <w:sz w:val="30"/>
          <w:szCs w:val="30"/>
        </w:rPr>
        <w:t>县生态环境局局长</w:t>
      </w:r>
    </w:p>
    <w:p w14:paraId="7FC57DA9">
      <w:pPr>
        <w:widowControl/>
        <w:ind w:firstLine="1800" w:firstLineChars="600"/>
        <w:jc w:val="left"/>
        <w:rPr>
          <w:rFonts w:ascii="Times New Roman" w:hAnsi="Times New Roman" w:eastAsia="仿宋" w:cs="Times New Roman"/>
          <w:sz w:val="30"/>
          <w:szCs w:val="30"/>
        </w:rPr>
      </w:pPr>
      <w:r>
        <w:rPr>
          <w:rFonts w:hint="eastAsia" w:ascii="Times New Roman" w:hAnsi="Times New Roman" w:eastAsia="仿宋" w:cs="Times New Roman"/>
          <w:sz w:val="30"/>
          <w:szCs w:val="30"/>
        </w:rPr>
        <w:t xml:space="preserve">林群    </w:t>
      </w:r>
      <w:r>
        <w:rPr>
          <w:rFonts w:ascii="Times New Roman" w:hAnsi="Times New Roman" w:eastAsia="仿宋" w:cs="Times New Roman"/>
          <w:sz w:val="30"/>
          <w:szCs w:val="30"/>
        </w:rPr>
        <w:t>县自然资源和规划局局长</w:t>
      </w:r>
    </w:p>
    <w:p w14:paraId="5672BDF2">
      <w:pPr>
        <w:widowControl/>
        <w:ind w:firstLine="1800" w:firstLineChars="600"/>
        <w:jc w:val="left"/>
        <w:rPr>
          <w:rFonts w:ascii="Times New Roman" w:hAnsi="Times New Roman" w:eastAsia="仿宋" w:cs="Times New Roman"/>
          <w:sz w:val="30"/>
          <w:szCs w:val="30"/>
        </w:rPr>
      </w:pPr>
      <w:r>
        <w:rPr>
          <w:rFonts w:hint="eastAsia" w:ascii="Times New Roman" w:hAnsi="Times New Roman" w:eastAsia="仿宋" w:cs="Times New Roman"/>
          <w:sz w:val="30"/>
          <w:szCs w:val="30"/>
        </w:rPr>
        <w:t xml:space="preserve">刘勤    </w:t>
      </w:r>
      <w:r>
        <w:rPr>
          <w:rFonts w:ascii="Times New Roman" w:hAnsi="Times New Roman" w:eastAsia="仿宋" w:cs="Times New Roman"/>
          <w:sz w:val="30"/>
          <w:szCs w:val="30"/>
        </w:rPr>
        <w:t>县发展改革委主任</w:t>
      </w:r>
    </w:p>
    <w:p w14:paraId="0AEDC901">
      <w:pPr>
        <w:widowControl/>
        <w:ind w:firstLine="1800" w:firstLineChars="600"/>
        <w:jc w:val="left"/>
        <w:rPr>
          <w:rFonts w:ascii="Times New Roman" w:hAnsi="Times New Roman" w:eastAsia="仿宋" w:cs="Times New Roman"/>
          <w:sz w:val="30"/>
          <w:szCs w:val="30"/>
        </w:rPr>
      </w:pPr>
      <w:r>
        <w:rPr>
          <w:rFonts w:hint="eastAsia" w:ascii="Times New Roman" w:hAnsi="Times New Roman" w:eastAsia="仿宋" w:cs="Times New Roman"/>
          <w:sz w:val="30"/>
          <w:szCs w:val="30"/>
        </w:rPr>
        <w:t xml:space="preserve">占来凤  </w:t>
      </w:r>
      <w:r>
        <w:rPr>
          <w:rFonts w:ascii="Times New Roman" w:hAnsi="Times New Roman" w:eastAsia="仿宋" w:cs="Times New Roman"/>
          <w:sz w:val="30"/>
          <w:szCs w:val="30"/>
        </w:rPr>
        <w:t>县科技局局长</w:t>
      </w:r>
    </w:p>
    <w:p w14:paraId="5F44E7E7">
      <w:pPr>
        <w:widowControl/>
        <w:ind w:firstLine="1800" w:firstLineChars="600"/>
        <w:jc w:val="left"/>
        <w:rPr>
          <w:rFonts w:ascii="Times New Roman" w:hAnsi="Times New Roman" w:eastAsia="仿宋" w:cs="Times New Roman"/>
          <w:sz w:val="30"/>
          <w:szCs w:val="30"/>
        </w:rPr>
      </w:pPr>
      <w:r>
        <w:rPr>
          <w:rFonts w:ascii="Times New Roman" w:hAnsi="Times New Roman" w:eastAsia="仿宋" w:cs="Times New Roman"/>
          <w:sz w:val="30"/>
          <w:szCs w:val="30"/>
        </w:rPr>
        <w:t>各乡（镇）、主要负责人</w:t>
      </w:r>
    </w:p>
    <w:p w14:paraId="361CFF38">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领导小组下设办公室，</w:t>
      </w:r>
      <w:r>
        <w:rPr>
          <w:rFonts w:hint="eastAsia" w:ascii="Times New Roman" w:hAnsi="Times New Roman" w:eastAsia="仿宋" w:cs="Times New Roman"/>
          <w:sz w:val="30"/>
          <w:szCs w:val="30"/>
        </w:rPr>
        <w:t>朱学良</w:t>
      </w:r>
      <w:r>
        <w:rPr>
          <w:rFonts w:ascii="Times New Roman" w:hAnsi="Times New Roman" w:eastAsia="仿宋" w:cs="Times New Roman"/>
          <w:sz w:val="30"/>
          <w:szCs w:val="30"/>
        </w:rPr>
        <w:t>同志兼任办公室主任，</w:t>
      </w:r>
      <w:r>
        <w:rPr>
          <w:rFonts w:hint="eastAsia" w:ascii="Times New Roman" w:hAnsi="Times New Roman" w:eastAsia="仿宋" w:cs="Times New Roman"/>
          <w:sz w:val="30"/>
          <w:szCs w:val="30"/>
          <w:lang w:val="en-US" w:eastAsia="zh-CN"/>
        </w:rPr>
        <w:t>办公室设在农业技术推广中心</w:t>
      </w:r>
      <w:r>
        <w:rPr>
          <w:rFonts w:ascii="Times New Roman" w:hAnsi="Times New Roman" w:eastAsia="仿宋" w:cs="Times New Roman"/>
          <w:sz w:val="30"/>
          <w:szCs w:val="30"/>
        </w:rPr>
        <w:t>，负责调度秸秆综合利用日常工作。</w:t>
      </w:r>
    </w:p>
    <w:p w14:paraId="3F48B6C6">
      <w:pPr>
        <w:pStyle w:val="2"/>
        <w:ind w:firstLine="281"/>
        <w:rPr>
          <w:rFonts w:ascii="Times New Roman" w:hAnsi="Times New Roman"/>
        </w:rPr>
      </w:pPr>
      <w:r>
        <w:rPr>
          <w:rFonts w:ascii="Times New Roman" w:hAnsi="Times New Roman"/>
        </w:rPr>
        <w:br w:type="page"/>
      </w:r>
    </w:p>
    <w:p w14:paraId="63989142">
      <w:pPr>
        <w:pStyle w:val="5"/>
        <w:jc w:val="both"/>
        <w:rPr>
          <w:rFonts w:cs="Times New Roman"/>
        </w:rPr>
      </w:pPr>
      <w:r>
        <w:rPr>
          <w:rFonts w:cs="Times New Roman"/>
        </w:rPr>
        <w:t>附件2</w:t>
      </w:r>
    </w:p>
    <w:p w14:paraId="6F098E2E">
      <w:pPr>
        <w:pStyle w:val="4"/>
        <w:jc w:val="center"/>
        <w:rPr>
          <w:rFonts w:cs="Times New Roman"/>
          <w:sz w:val="30"/>
          <w:szCs w:val="30"/>
        </w:rPr>
      </w:pPr>
      <w:r>
        <w:rPr>
          <w:rFonts w:cs="Times New Roman"/>
        </w:rPr>
        <w:t>浮梁县秸秆综合利用重点县项目技术指导小组名单</w:t>
      </w:r>
    </w:p>
    <w:p w14:paraId="5CA0688E">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 xml:space="preserve">组长：  </w:t>
      </w:r>
      <w:r>
        <w:rPr>
          <w:rFonts w:hint="eastAsia" w:ascii="Times New Roman" w:hAnsi="Times New Roman" w:eastAsia="仿宋" w:cs="Times New Roman"/>
          <w:sz w:val="30"/>
          <w:szCs w:val="30"/>
        </w:rPr>
        <w:t xml:space="preserve">朱学良  </w:t>
      </w:r>
      <w:r>
        <w:rPr>
          <w:rFonts w:ascii="Times New Roman" w:hAnsi="Times New Roman" w:eastAsia="仿宋" w:cs="Times New Roman"/>
          <w:sz w:val="30"/>
          <w:szCs w:val="30"/>
        </w:rPr>
        <w:t>县农业农村局党委委员、局长</w:t>
      </w:r>
    </w:p>
    <w:p w14:paraId="47CC3921">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 xml:space="preserve">成员：  </w:t>
      </w:r>
      <w:r>
        <w:rPr>
          <w:rFonts w:hint="eastAsia" w:ascii="Times New Roman" w:hAnsi="Times New Roman" w:eastAsia="仿宋" w:cs="Times New Roman"/>
          <w:sz w:val="30"/>
          <w:szCs w:val="30"/>
        </w:rPr>
        <w:t xml:space="preserve">程新田  </w:t>
      </w:r>
      <w:r>
        <w:rPr>
          <w:rFonts w:ascii="Times New Roman" w:hAnsi="Times New Roman" w:eastAsia="仿宋" w:cs="Times New Roman"/>
          <w:sz w:val="30"/>
          <w:szCs w:val="30"/>
        </w:rPr>
        <w:t>县农业农村局高级农艺师</w:t>
      </w:r>
    </w:p>
    <w:p w14:paraId="18398F85">
      <w:pPr>
        <w:widowControl/>
        <w:ind w:firstLine="1800" w:firstLineChars="600"/>
        <w:jc w:val="left"/>
        <w:rPr>
          <w:rFonts w:ascii="Times New Roman" w:hAnsi="Times New Roman" w:eastAsia="仿宋" w:cs="Times New Roman"/>
          <w:sz w:val="30"/>
          <w:szCs w:val="30"/>
        </w:rPr>
      </w:pPr>
      <w:r>
        <w:rPr>
          <w:rFonts w:hint="eastAsia" w:ascii="Times New Roman" w:hAnsi="Times New Roman" w:eastAsia="仿宋" w:cs="Times New Roman"/>
          <w:sz w:val="30"/>
          <w:szCs w:val="30"/>
        </w:rPr>
        <w:t xml:space="preserve">严永红  </w:t>
      </w:r>
      <w:r>
        <w:rPr>
          <w:rFonts w:ascii="Times New Roman" w:hAnsi="Times New Roman" w:eastAsia="仿宋" w:cs="Times New Roman"/>
          <w:sz w:val="30"/>
          <w:szCs w:val="30"/>
        </w:rPr>
        <w:t>县农业农村局高级农艺师</w:t>
      </w:r>
    </w:p>
    <w:p w14:paraId="00B88447">
      <w:pPr>
        <w:widowControl/>
        <w:ind w:firstLine="1800" w:firstLineChars="600"/>
        <w:jc w:val="left"/>
        <w:rPr>
          <w:rFonts w:ascii="Times New Roman" w:hAnsi="Times New Roman" w:eastAsia="仿宋" w:cs="Times New Roman"/>
          <w:sz w:val="30"/>
          <w:szCs w:val="30"/>
        </w:rPr>
      </w:pPr>
      <w:r>
        <w:rPr>
          <w:rFonts w:hint="eastAsia" w:ascii="Times New Roman" w:hAnsi="Times New Roman" w:eastAsia="仿宋" w:cs="Times New Roman"/>
          <w:sz w:val="30"/>
          <w:szCs w:val="30"/>
        </w:rPr>
        <w:t xml:space="preserve">刘荣标  </w:t>
      </w:r>
      <w:r>
        <w:rPr>
          <w:rFonts w:ascii="Times New Roman" w:hAnsi="Times New Roman" w:eastAsia="仿宋" w:cs="Times New Roman"/>
          <w:sz w:val="30"/>
          <w:szCs w:val="30"/>
        </w:rPr>
        <w:t>县农业农村局高级畜牧兽医师</w:t>
      </w:r>
    </w:p>
    <w:p w14:paraId="41B750BD">
      <w:pPr>
        <w:widowControl/>
        <w:ind w:firstLine="1800" w:firstLineChars="600"/>
        <w:jc w:val="left"/>
        <w:rPr>
          <w:rFonts w:ascii="Times New Roman" w:hAnsi="Times New Roman" w:eastAsia="仿宋" w:cs="Times New Roman"/>
          <w:sz w:val="30"/>
          <w:szCs w:val="30"/>
        </w:rPr>
      </w:pPr>
      <w:r>
        <w:rPr>
          <w:rFonts w:hint="eastAsia" w:ascii="Times New Roman" w:hAnsi="Times New Roman" w:eastAsia="仿宋" w:cs="Times New Roman"/>
          <w:sz w:val="30"/>
          <w:szCs w:val="30"/>
        </w:rPr>
        <w:t xml:space="preserve">方爱莲 </w:t>
      </w:r>
      <w:r>
        <w:rPr>
          <w:rFonts w:ascii="Times New Roman" w:hAnsi="Times New Roman" w:eastAsia="仿宋" w:cs="Times New Roman"/>
          <w:sz w:val="30"/>
          <w:szCs w:val="30"/>
        </w:rPr>
        <w:t xml:space="preserve"> 县农业农村局高级农艺师</w:t>
      </w:r>
    </w:p>
    <w:p w14:paraId="2B096CCA">
      <w:pPr>
        <w:widowControl/>
        <w:ind w:firstLine="1800" w:firstLineChars="600"/>
        <w:jc w:val="left"/>
        <w:rPr>
          <w:rFonts w:ascii="Times New Roman" w:hAnsi="Times New Roman" w:eastAsia="仿宋" w:cs="Times New Roman"/>
          <w:sz w:val="30"/>
          <w:szCs w:val="30"/>
        </w:rPr>
      </w:pPr>
      <w:r>
        <w:rPr>
          <w:rFonts w:hint="eastAsia" w:ascii="Times New Roman" w:hAnsi="Times New Roman" w:eastAsia="仿宋" w:cs="Times New Roman"/>
          <w:sz w:val="30"/>
          <w:szCs w:val="30"/>
        </w:rPr>
        <w:t xml:space="preserve">汪欢龙  </w:t>
      </w:r>
      <w:r>
        <w:rPr>
          <w:rFonts w:ascii="Times New Roman" w:hAnsi="Times New Roman" w:eastAsia="仿宋" w:cs="Times New Roman"/>
          <w:sz w:val="30"/>
          <w:szCs w:val="30"/>
        </w:rPr>
        <w:t>县农业农村局高级农艺师</w:t>
      </w:r>
    </w:p>
    <w:p w14:paraId="0765EDA5">
      <w:pPr>
        <w:widowControl/>
        <w:ind w:firstLine="1800" w:firstLineChars="600"/>
        <w:jc w:val="left"/>
        <w:rPr>
          <w:rFonts w:ascii="Times New Roman" w:hAnsi="Times New Roman" w:eastAsia="仿宋" w:cs="Times New Roman"/>
          <w:sz w:val="30"/>
          <w:szCs w:val="30"/>
        </w:rPr>
      </w:pPr>
      <w:r>
        <w:rPr>
          <w:rFonts w:hint="eastAsia" w:ascii="Times New Roman" w:hAnsi="Times New Roman" w:eastAsia="仿宋" w:cs="Times New Roman"/>
          <w:sz w:val="30"/>
          <w:szCs w:val="30"/>
        </w:rPr>
        <w:t xml:space="preserve">项水兰  </w:t>
      </w:r>
      <w:r>
        <w:rPr>
          <w:rFonts w:ascii="Times New Roman" w:hAnsi="Times New Roman" w:eastAsia="仿宋" w:cs="Times New Roman"/>
          <w:sz w:val="30"/>
          <w:szCs w:val="30"/>
        </w:rPr>
        <w:t>县农业农村局高级农艺师</w:t>
      </w:r>
    </w:p>
    <w:p w14:paraId="01C542ED">
      <w:pPr>
        <w:widowControl/>
        <w:ind w:firstLine="1800" w:firstLineChars="600"/>
        <w:jc w:val="left"/>
        <w:rPr>
          <w:rFonts w:hint="eastAsia" w:ascii="Times New Roman" w:hAnsi="Times New Roman" w:eastAsia="仿宋" w:cs="Times New Roman"/>
          <w:sz w:val="30"/>
          <w:szCs w:val="30"/>
          <w:lang w:val="en-US" w:eastAsia="zh-CN"/>
        </w:rPr>
      </w:pPr>
      <w:r>
        <w:rPr>
          <w:rFonts w:hint="eastAsia" w:ascii="Times New Roman" w:hAnsi="Times New Roman" w:eastAsia="仿宋" w:cs="Times New Roman"/>
          <w:sz w:val="30"/>
          <w:szCs w:val="30"/>
          <w:lang w:val="en-US" w:eastAsia="zh-CN"/>
        </w:rPr>
        <w:t>程琴芳  县农业农村局财务负责人</w:t>
      </w:r>
    </w:p>
    <w:p w14:paraId="4580F6D2">
      <w:pPr>
        <w:widowControl/>
        <w:ind w:firstLine="1800" w:firstLineChars="600"/>
        <w:jc w:val="left"/>
        <w:rPr>
          <w:rFonts w:ascii="Times New Roman" w:hAnsi="Times New Roman" w:eastAsia="仿宋" w:cs="Times New Roman"/>
          <w:sz w:val="30"/>
          <w:szCs w:val="30"/>
        </w:rPr>
      </w:pPr>
      <w:r>
        <w:rPr>
          <w:rFonts w:hint="eastAsia" w:ascii="Times New Roman" w:hAnsi="Times New Roman" w:eastAsia="仿宋" w:cs="Times New Roman"/>
          <w:sz w:val="30"/>
          <w:szCs w:val="30"/>
          <w:lang w:val="en-US" w:eastAsia="zh-CN"/>
        </w:rPr>
        <w:t>洪三清  县农业农村局农艺师</w:t>
      </w:r>
      <w:r>
        <w:rPr>
          <w:rFonts w:ascii="Times New Roman" w:hAnsi="Times New Roman" w:eastAsia="仿宋" w:cs="Times New Roman"/>
          <w:sz w:val="30"/>
          <w:szCs w:val="30"/>
        </w:rPr>
        <w:br w:type="page"/>
      </w:r>
    </w:p>
    <w:p w14:paraId="2BF1035F">
      <w:pPr>
        <w:pStyle w:val="5"/>
        <w:jc w:val="both"/>
        <w:rPr>
          <w:rFonts w:cs="Times New Roman"/>
        </w:rPr>
      </w:pPr>
      <w:r>
        <w:rPr>
          <w:rFonts w:cs="Times New Roman"/>
        </w:rPr>
        <w:t>附件3</w:t>
      </w:r>
    </w:p>
    <w:p w14:paraId="581B2A5A">
      <w:pPr>
        <w:pStyle w:val="4"/>
        <w:rPr>
          <w:rFonts w:cs="Times New Roman"/>
          <w:sz w:val="30"/>
          <w:szCs w:val="30"/>
        </w:rPr>
      </w:pPr>
      <w:r>
        <w:rPr>
          <w:rFonts w:cs="Times New Roman"/>
        </w:rPr>
        <w:t>浮梁县202</w:t>
      </w:r>
      <w:r>
        <w:rPr>
          <w:rFonts w:hint="eastAsia" w:cs="Times New Roman"/>
          <w:lang w:val="en-US" w:eastAsia="zh-CN"/>
        </w:rPr>
        <w:t>7</w:t>
      </w:r>
      <w:r>
        <w:rPr>
          <w:rFonts w:cs="Times New Roman"/>
        </w:rPr>
        <w:t>年农作物秆综合</w:t>
      </w:r>
      <w:r>
        <w:rPr>
          <w:rFonts w:hint="eastAsia" w:cs="Times New Roman"/>
        </w:rPr>
        <w:t>利</w:t>
      </w:r>
      <w:r>
        <w:rPr>
          <w:rFonts w:cs="Times New Roman"/>
        </w:rPr>
        <w:t>用项目绩效目标表</w:t>
      </w:r>
    </w:p>
    <w:tbl>
      <w:tblPr>
        <w:tblStyle w:val="8"/>
        <w:tblpPr w:leftFromText="180" w:rightFromText="180" w:vertAnchor="text" w:horzAnchor="page" w:tblpX="1294" w:tblpY="281"/>
        <w:tblOverlap w:val="never"/>
        <w:tblW w:w="9859" w:type="dxa"/>
        <w:tblInd w:w="0" w:type="dxa"/>
        <w:tblLayout w:type="autofit"/>
        <w:tblCellMar>
          <w:top w:w="0" w:type="dxa"/>
          <w:left w:w="0" w:type="dxa"/>
          <w:bottom w:w="0" w:type="dxa"/>
          <w:right w:w="0" w:type="dxa"/>
        </w:tblCellMar>
      </w:tblPr>
      <w:tblGrid>
        <w:gridCol w:w="1834"/>
        <w:gridCol w:w="1263"/>
        <w:gridCol w:w="1557"/>
        <w:gridCol w:w="3284"/>
        <w:gridCol w:w="1921"/>
      </w:tblGrid>
      <w:tr w14:paraId="5F64E63F">
        <w:tblPrEx>
          <w:tblCellMar>
            <w:top w:w="0" w:type="dxa"/>
            <w:left w:w="0" w:type="dxa"/>
            <w:bottom w:w="0" w:type="dxa"/>
            <w:right w:w="0" w:type="dxa"/>
          </w:tblCellMar>
        </w:tblPrEx>
        <w:trPr>
          <w:trHeight w:val="503" w:hRule="atLeast"/>
        </w:trPr>
        <w:tc>
          <w:tcPr>
            <w:tcW w:w="18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34AC8B">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专项（项目）名称</w:t>
            </w:r>
          </w:p>
        </w:tc>
        <w:tc>
          <w:tcPr>
            <w:tcW w:w="8025"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CC0EE9">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农作物秸秆综合</w:t>
            </w:r>
            <w:r>
              <w:rPr>
                <w:rFonts w:hint="eastAsia" w:ascii="Times New Roman" w:hAnsi="Times New Roman" w:eastAsia="宋体" w:cs="Times New Roman"/>
                <w:kern w:val="0"/>
                <w:sz w:val="20"/>
                <w:szCs w:val="20"/>
                <w:lang w:bidi="ar"/>
              </w:rPr>
              <w:t>利</w:t>
            </w:r>
            <w:r>
              <w:rPr>
                <w:rFonts w:ascii="Times New Roman" w:hAnsi="Times New Roman" w:eastAsia="宋体" w:cs="Times New Roman"/>
                <w:kern w:val="0"/>
                <w:sz w:val="20"/>
                <w:szCs w:val="20"/>
                <w:lang w:bidi="ar"/>
              </w:rPr>
              <w:t>用项目</w:t>
            </w:r>
          </w:p>
        </w:tc>
      </w:tr>
      <w:tr w14:paraId="212C521D">
        <w:tblPrEx>
          <w:tblCellMar>
            <w:top w:w="0" w:type="dxa"/>
            <w:left w:w="0" w:type="dxa"/>
            <w:bottom w:w="0" w:type="dxa"/>
            <w:right w:w="0" w:type="dxa"/>
          </w:tblCellMar>
        </w:tblPrEx>
        <w:trPr>
          <w:trHeight w:val="523" w:hRule="atLeast"/>
        </w:trPr>
        <w:tc>
          <w:tcPr>
            <w:tcW w:w="1834"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14:paraId="3CE1E46A">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县级主管部门</w:t>
            </w:r>
          </w:p>
        </w:tc>
        <w:tc>
          <w:tcPr>
            <w:tcW w:w="2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049511">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浮梁县农业农村局</w:t>
            </w:r>
          </w:p>
        </w:tc>
        <w:tc>
          <w:tcPr>
            <w:tcW w:w="32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D78FDB">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市级主管部门</w:t>
            </w:r>
          </w:p>
        </w:tc>
        <w:tc>
          <w:tcPr>
            <w:tcW w:w="1921" w:type="dxa"/>
            <w:tcBorders>
              <w:top w:val="single" w:color="000000" w:sz="4" w:space="0"/>
              <w:left w:val="nil"/>
              <w:bottom w:val="single" w:color="000000" w:sz="4" w:space="0"/>
              <w:right w:val="single" w:color="000000" w:sz="4" w:space="0"/>
            </w:tcBorders>
            <w:tcMar>
              <w:top w:w="15" w:type="dxa"/>
              <w:left w:w="15" w:type="dxa"/>
              <w:right w:w="15" w:type="dxa"/>
            </w:tcMar>
            <w:vAlign w:val="center"/>
          </w:tcPr>
          <w:p w14:paraId="53B6A6DD">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景德镇农业农村局</w:t>
            </w:r>
          </w:p>
        </w:tc>
      </w:tr>
      <w:tr w14:paraId="7E3709DC">
        <w:tblPrEx>
          <w:tblCellMar>
            <w:top w:w="0" w:type="dxa"/>
            <w:left w:w="0" w:type="dxa"/>
            <w:bottom w:w="0" w:type="dxa"/>
            <w:right w:w="0" w:type="dxa"/>
          </w:tblCellMar>
        </w:tblPrEx>
        <w:trPr>
          <w:trHeight w:val="506" w:hRule="atLeast"/>
        </w:trPr>
        <w:tc>
          <w:tcPr>
            <w:tcW w:w="183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56F69B">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资金情况         （万元）</w:t>
            </w:r>
          </w:p>
        </w:tc>
        <w:tc>
          <w:tcPr>
            <w:tcW w:w="2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3F6A81">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年度金额总额</w:t>
            </w:r>
          </w:p>
        </w:tc>
        <w:tc>
          <w:tcPr>
            <w:tcW w:w="520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E5BAAA">
            <w:pPr>
              <w:widowControl/>
              <w:textAlignment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kern w:val="0"/>
                <w:sz w:val="20"/>
                <w:szCs w:val="20"/>
                <w:lang w:val="en-US" w:eastAsia="zh-CN" w:bidi="ar"/>
              </w:rPr>
              <w:t>260</w:t>
            </w:r>
          </w:p>
        </w:tc>
      </w:tr>
      <w:tr w14:paraId="12D0384C">
        <w:tblPrEx>
          <w:tblCellMar>
            <w:top w:w="0" w:type="dxa"/>
            <w:left w:w="0" w:type="dxa"/>
            <w:bottom w:w="0" w:type="dxa"/>
            <w:right w:w="0" w:type="dxa"/>
          </w:tblCellMar>
        </w:tblPrEx>
        <w:trPr>
          <w:trHeight w:val="473" w:hRule="atLeast"/>
        </w:trPr>
        <w:tc>
          <w:tcPr>
            <w:tcW w:w="18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8231BD">
            <w:pPr>
              <w:rPr>
                <w:rFonts w:ascii="Times New Roman" w:hAnsi="Times New Roman" w:eastAsia="宋体" w:cs="Times New Roman"/>
                <w:sz w:val="20"/>
                <w:szCs w:val="20"/>
              </w:rPr>
            </w:pPr>
          </w:p>
        </w:tc>
        <w:tc>
          <w:tcPr>
            <w:tcW w:w="2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BADA08">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其中：中央补助</w:t>
            </w:r>
          </w:p>
        </w:tc>
        <w:tc>
          <w:tcPr>
            <w:tcW w:w="520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4B2B7D">
            <w:pPr>
              <w:widowControl/>
              <w:textAlignment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kern w:val="0"/>
                <w:sz w:val="20"/>
                <w:szCs w:val="20"/>
                <w:lang w:val="en-US" w:eastAsia="zh-CN" w:bidi="ar"/>
              </w:rPr>
              <w:t>260</w:t>
            </w:r>
          </w:p>
        </w:tc>
      </w:tr>
      <w:tr w14:paraId="4F4224DF">
        <w:tblPrEx>
          <w:tblCellMar>
            <w:top w:w="0" w:type="dxa"/>
            <w:left w:w="0" w:type="dxa"/>
            <w:bottom w:w="0" w:type="dxa"/>
            <w:right w:w="0" w:type="dxa"/>
          </w:tblCellMar>
        </w:tblPrEx>
        <w:trPr>
          <w:trHeight w:val="473" w:hRule="atLeast"/>
        </w:trPr>
        <w:tc>
          <w:tcPr>
            <w:tcW w:w="18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0C85F0">
            <w:pPr>
              <w:rPr>
                <w:rFonts w:ascii="Times New Roman" w:hAnsi="Times New Roman" w:eastAsia="宋体" w:cs="Times New Roman"/>
                <w:sz w:val="20"/>
                <w:szCs w:val="20"/>
              </w:rPr>
            </w:pPr>
          </w:p>
        </w:tc>
        <w:tc>
          <w:tcPr>
            <w:tcW w:w="2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7B2938">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 xml:space="preserve">      省级补助</w:t>
            </w:r>
          </w:p>
        </w:tc>
        <w:tc>
          <w:tcPr>
            <w:tcW w:w="520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E92BCD">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w:t>
            </w:r>
          </w:p>
        </w:tc>
      </w:tr>
      <w:tr w14:paraId="7CEA19C1">
        <w:tblPrEx>
          <w:tblCellMar>
            <w:top w:w="0" w:type="dxa"/>
            <w:left w:w="0" w:type="dxa"/>
            <w:bottom w:w="0" w:type="dxa"/>
            <w:right w:w="0" w:type="dxa"/>
          </w:tblCellMar>
        </w:tblPrEx>
        <w:trPr>
          <w:trHeight w:val="490" w:hRule="atLeast"/>
        </w:trPr>
        <w:tc>
          <w:tcPr>
            <w:tcW w:w="18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8D7134">
            <w:pPr>
              <w:rPr>
                <w:rFonts w:ascii="Times New Roman" w:hAnsi="Times New Roman" w:eastAsia="宋体" w:cs="Times New Roman"/>
                <w:sz w:val="20"/>
                <w:szCs w:val="20"/>
              </w:rPr>
            </w:pPr>
          </w:p>
        </w:tc>
        <w:tc>
          <w:tcPr>
            <w:tcW w:w="2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3CAAD6">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 xml:space="preserve">     地方补助</w:t>
            </w:r>
          </w:p>
        </w:tc>
        <w:tc>
          <w:tcPr>
            <w:tcW w:w="520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72B081">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0</w:t>
            </w:r>
          </w:p>
        </w:tc>
      </w:tr>
      <w:tr w14:paraId="136BC7BC">
        <w:tblPrEx>
          <w:tblCellMar>
            <w:top w:w="0" w:type="dxa"/>
            <w:left w:w="0" w:type="dxa"/>
            <w:bottom w:w="0" w:type="dxa"/>
            <w:right w:w="0" w:type="dxa"/>
          </w:tblCellMar>
        </w:tblPrEx>
        <w:trPr>
          <w:trHeight w:val="1452" w:hRule="atLeast"/>
        </w:trPr>
        <w:tc>
          <w:tcPr>
            <w:tcW w:w="18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EAF999">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年度目标</w:t>
            </w:r>
          </w:p>
        </w:tc>
        <w:tc>
          <w:tcPr>
            <w:tcW w:w="8025"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763F6B">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在全县开展农作物秸秆高质量还田，“五化”利用、收储运服务体系建设和推广试验示范，推进农作物秸秆综合利用。202</w:t>
            </w:r>
            <w:r>
              <w:rPr>
                <w:rFonts w:hint="eastAsia" w:ascii="Times New Roman" w:hAnsi="Times New Roman" w:eastAsia="宋体" w:cs="Times New Roman"/>
                <w:kern w:val="0"/>
                <w:sz w:val="20"/>
                <w:szCs w:val="20"/>
                <w:lang w:val="en-US" w:eastAsia="zh-CN" w:bidi="ar"/>
              </w:rPr>
              <w:t>7</w:t>
            </w:r>
            <w:r>
              <w:rPr>
                <w:rFonts w:ascii="Times New Roman" w:hAnsi="Times New Roman" w:eastAsia="宋体" w:cs="Times New Roman"/>
                <w:kern w:val="0"/>
                <w:sz w:val="20"/>
                <w:szCs w:val="20"/>
                <w:lang w:bidi="ar"/>
              </w:rPr>
              <w:t>年我县秸秆综合利用率达到 95%以上。</w:t>
            </w:r>
          </w:p>
        </w:tc>
      </w:tr>
      <w:tr w14:paraId="5CBB7B30">
        <w:tblPrEx>
          <w:tblCellMar>
            <w:top w:w="0" w:type="dxa"/>
            <w:left w:w="0" w:type="dxa"/>
            <w:bottom w:w="0" w:type="dxa"/>
            <w:right w:w="0" w:type="dxa"/>
          </w:tblCellMar>
        </w:tblPrEx>
        <w:trPr>
          <w:trHeight w:val="470" w:hRule="atLeast"/>
        </w:trPr>
        <w:tc>
          <w:tcPr>
            <w:tcW w:w="18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DA454D">
            <w:pPr>
              <w:rPr>
                <w:rFonts w:ascii="Times New Roman" w:hAnsi="Times New Roman" w:eastAsia="宋体" w:cs="Times New Roman"/>
                <w:sz w:val="20"/>
                <w:szCs w:val="20"/>
              </w:rPr>
            </w:pPr>
          </w:p>
        </w:tc>
        <w:tc>
          <w:tcPr>
            <w:tcW w:w="12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A151D2">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一级指标</w:t>
            </w:r>
          </w:p>
        </w:tc>
        <w:tc>
          <w:tcPr>
            <w:tcW w:w="15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CCBDA1">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二级指标</w:t>
            </w:r>
          </w:p>
        </w:tc>
        <w:tc>
          <w:tcPr>
            <w:tcW w:w="32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93A940">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三级指标</w:t>
            </w:r>
          </w:p>
        </w:tc>
        <w:tc>
          <w:tcPr>
            <w:tcW w:w="19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D0B4F9">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年度指标值</w:t>
            </w:r>
          </w:p>
        </w:tc>
      </w:tr>
      <w:tr w14:paraId="6FD8B02B">
        <w:tblPrEx>
          <w:tblCellMar>
            <w:top w:w="0" w:type="dxa"/>
            <w:left w:w="0" w:type="dxa"/>
            <w:bottom w:w="0" w:type="dxa"/>
            <w:right w:w="0" w:type="dxa"/>
          </w:tblCellMar>
        </w:tblPrEx>
        <w:trPr>
          <w:trHeight w:val="556" w:hRule="atLeast"/>
        </w:trPr>
        <w:tc>
          <w:tcPr>
            <w:tcW w:w="183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71CC43">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绩效指标</w:t>
            </w:r>
          </w:p>
        </w:tc>
        <w:tc>
          <w:tcPr>
            <w:tcW w:w="1263" w:type="dxa"/>
            <w:vMerge w:val="restart"/>
            <w:tcBorders>
              <w:top w:val="single" w:color="000000" w:sz="4" w:space="0"/>
              <w:left w:val="single" w:color="000000" w:sz="4" w:space="0"/>
              <w:bottom w:val="nil"/>
              <w:right w:val="single" w:color="000000" w:sz="4" w:space="0"/>
            </w:tcBorders>
            <w:tcMar>
              <w:top w:w="15" w:type="dxa"/>
              <w:left w:w="15" w:type="dxa"/>
              <w:right w:w="15" w:type="dxa"/>
            </w:tcMar>
            <w:vAlign w:val="center"/>
          </w:tcPr>
          <w:p w14:paraId="6BB5E86D">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产出指标</w:t>
            </w:r>
          </w:p>
        </w:tc>
        <w:tc>
          <w:tcPr>
            <w:tcW w:w="155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CA27F61">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数量指标</w:t>
            </w:r>
          </w:p>
        </w:tc>
        <w:tc>
          <w:tcPr>
            <w:tcW w:w="32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FD87BA">
            <w:pP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农作物秸秆高质量还田</w:t>
            </w:r>
          </w:p>
        </w:tc>
        <w:tc>
          <w:tcPr>
            <w:tcW w:w="19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4CBC17">
            <w:pPr>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30000</w:t>
            </w:r>
            <w:r>
              <w:rPr>
                <w:rFonts w:ascii="Times New Roman" w:hAnsi="Times New Roman" w:eastAsia="宋体" w:cs="Times New Roman"/>
                <w:sz w:val="20"/>
                <w:szCs w:val="20"/>
              </w:rPr>
              <w:t>亩</w:t>
            </w:r>
          </w:p>
        </w:tc>
      </w:tr>
      <w:tr w14:paraId="415B3913">
        <w:tblPrEx>
          <w:tblCellMar>
            <w:top w:w="0" w:type="dxa"/>
            <w:left w:w="0" w:type="dxa"/>
            <w:bottom w:w="0" w:type="dxa"/>
            <w:right w:w="0" w:type="dxa"/>
          </w:tblCellMar>
        </w:tblPrEx>
        <w:trPr>
          <w:trHeight w:val="556" w:hRule="atLeast"/>
        </w:trPr>
        <w:tc>
          <w:tcPr>
            <w:tcW w:w="18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EB5E73">
            <w:pPr>
              <w:rPr>
                <w:rFonts w:ascii="Times New Roman" w:hAnsi="Times New Roman" w:eastAsia="宋体" w:cs="Times New Roman"/>
                <w:sz w:val="20"/>
                <w:szCs w:val="20"/>
              </w:rPr>
            </w:pPr>
          </w:p>
        </w:tc>
        <w:tc>
          <w:tcPr>
            <w:tcW w:w="1263"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14:paraId="6E93534B">
            <w:pPr>
              <w:rPr>
                <w:rFonts w:ascii="Times New Roman" w:hAnsi="Times New Roman" w:eastAsia="宋体" w:cs="Times New Roman"/>
                <w:sz w:val="20"/>
                <w:szCs w:val="20"/>
              </w:rPr>
            </w:pPr>
          </w:p>
        </w:tc>
        <w:tc>
          <w:tcPr>
            <w:tcW w:w="1557" w:type="dxa"/>
            <w:vMerge w:val="continue"/>
            <w:tcBorders>
              <w:left w:val="single" w:color="000000" w:sz="4" w:space="0"/>
              <w:right w:val="single" w:color="000000" w:sz="4" w:space="0"/>
            </w:tcBorders>
            <w:tcMar>
              <w:top w:w="15" w:type="dxa"/>
              <w:left w:w="15" w:type="dxa"/>
              <w:right w:w="15" w:type="dxa"/>
            </w:tcMar>
            <w:vAlign w:val="center"/>
          </w:tcPr>
          <w:p w14:paraId="24EF4535">
            <w:pPr>
              <w:rPr>
                <w:rFonts w:ascii="Times New Roman" w:hAnsi="Times New Roman" w:eastAsia="宋体" w:cs="Times New Roman"/>
                <w:sz w:val="20"/>
                <w:szCs w:val="20"/>
              </w:rPr>
            </w:pPr>
          </w:p>
        </w:tc>
        <w:tc>
          <w:tcPr>
            <w:tcW w:w="32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3EB788">
            <w:pPr>
              <w:rPr>
                <w:rFonts w:ascii="Times New Roman" w:hAnsi="Times New Roman" w:eastAsia="宋体" w:cs="Times New Roman"/>
                <w:sz w:val="20"/>
                <w:szCs w:val="20"/>
              </w:rPr>
            </w:pPr>
            <w:r>
              <w:rPr>
                <w:rFonts w:ascii="Times New Roman" w:hAnsi="Times New Roman" w:eastAsia="宋体" w:cs="Times New Roman"/>
                <w:sz w:val="20"/>
                <w:szCs w:val="20"/>
              </w:rPr>
              <w:t>秸秆离田</w:t>
            </w:r>
          </w:p>
        </w:tc>
        <w:tc>
          <w:tcPr>
            <w:tcW w:w="19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139581">
            <w:pPr>
              <w:rPr>
                <w:rFonts w:ascii="Times New Roman" w:hAnsi="Times New Roman" w:eastAsia="宋体" w:cs="Times New Roman"/>
                <w:sz w:val="20"/>
                <w:szCs w:val="20"/>
              </w:rPr>
            </w:pPr>
            <w:r>
              <w:rPr>
                <w:rFonts w:hint="eastAsia" w:ascii="Times New Roman" w:hAnsi="Times New Roman" w:eastAsia="宋体" w:cs="Times New Roman"/>
                <w:sz w:val="20"/>
                <w:szCs w:val="20"/>
              </w:rPr>
              <w:t>1</w:t>
            </w:r>
            <w:r>
              <w:rPr>
                <w:rFonts w:hint="eastAsia" w:ascii="Times New Roman" w:hAnsi="Times New Roman" w:eastAsia="宋体" w:cs="Times New Roman"/>
                <w:sz w:val="20"/>
                <w:szCs w:val="20"/>
                <w:lang w:val="en-US" w:eastAsia="zh-CN"/>
              </w:rPr>
              <w:t>5700</w:t>
            </w:r>
            <w:r>
              <w:rPr>
                <w:rFonts w:hint="eastAsia" w:ascii="Times New Roman" w:hAnsi="Times New Roman" w:eastAsia="宋体" w:cs="Times New Roman"/>
                <w:sz w:val="20"/>
                <w:szCs w:val="20"/>
              </w:rPr>
              <w:t>吨</w:t>
            </w:r>
          </w:p>
        </w:tc>
      </w:tr>
      <w:tr w14:paraId="411635F6">
        <w:tblPrEx>
          <w:tblCellMar>
            <w:top w:w="0" w:type="dxa"/>
            <w:left w:w="0" w:type="dxa"/>
            <w:bottom w:w="0" w:type="dxa"/>
            <w:right w:w="0" w:type="dxa"/>
          </w:tblCellMar>
        </w:tblPrEx>
        <w:trPr>
          <w:trHeight w:val="556" w:hRule="atLeast"/>
        </w:trPr>
        <w:tc>
          <w:tcPr>
            <w:tcW w:w="18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A9651E">
            <w:pPr>
              <w:rPr>
                <w:rFonts w:ascii="Times New Roman" w:hAnsi="Times New Roman" w:eastAsia="宋体" w:cs="Times New Roman"/>
                <w:sz w:val="20"/>
                <w:szCs w:val="20"/>
              </w:rPr>
            </w:pPr>
          </w:p>
        </w:tc>
        <w:tc>
          <w:tcPr>
            <w:tcW w:w="1263"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14:paraId="74991A38">
            <w:pPr>
              <w:rPr>
                <w:rFonts w:ascii="Times New Roman" w:hAnsi="Times New Roman" w:eastAsia="宋体" w:cs="Times New Roman"/>
                <w:sz w:val="20"/>
                <w:szCs w:val="20"/>
              </w:rPr>
            </w:pPr>
          </w:p>
        </w:tc>
        <w:tc>
          <w:tcPr>
            <w:tcW w:w="1557" w:type="dxa"/>
            <w:vMerge w:val="continue"/>
            <w:tcBorders>
              <w:left w:val="single" w:color="000000" w:sz="4" w:space="0"/>
              <w:right w:val="single" w:color="000000" w:sz="4" w:space="0"/>
            </w:tcBorders>
            <w:tcMar>
              <w:top w:w="15" w:type="dxa"/>
              <w:left w:w="15" w:type="dxa"/>
              <w:right w:w="15" w:type="dxa"/>
            </w:tcMar>
            <w:vAlign w:val="center"/>
          </w:tcPr>
          <w:p w14:paraId="308FCCE2">
            <w:pPr>
              <w:rPr>
                <w:rFonts w:ascii="Times New Roman" w:hAnsi="Times New Roman" w:eastAsia="宋体" w:cs="Times New Roman"/>
                <w:sz w:val="20"/>
                <w:szCs w:val="20"/>
              </w:rPr>
            </w:pPr>
          </w:p>
        </w:tc>
        <w:tc>
          <w:tcPr>
            <w:tcW w:w="32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B3BB5E">
            <w:pPr>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秸秆</w:t>
            </w:r>
            <w:r>
              <w:rPr>
                <w:rFonts w:ascii="Times New Roman" w:hAnsi="Times New Roman" w:eastAsia="宋体" w:cs="Times New Roman"/>
                <w:sz w:val="20"/>
                <w:szCs w:val="20"/>
              </w:rPr>
              <w:t>收储</w:t>
            </w:r>
          </w:p>
        </w:tc>
        <w:tc>
          <w:tcPr>
            <w:tcW w:w="19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27C0A4">
            <w:pP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6000吨</w:t>
            </w:r>
          </w:p>
        </w:tc>
      </w:tr>
      <w:tr w14:paraId="37B8F94E">
        <w:tblPrEx>
          <w:tblCellMar>
            <w:top w:w="0" w:type="dxa"/>
            <w:left w:w="0" w:type="dxa"/>
            <w:bottom w:w="0" w:type="dxa"/>
            <w:right w:w="0" w:type="dxa"/>
          </w:tblCellMar>
        </w:tblPrEx>
        <w:trPr>
          <w:trHeight w:val="622" w:hRule="atLeast"/>
        </w:trPr>
        <w:tc>
          <w:tcPr>
            <w:tcW w:w="18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20E4CE">
            <w:pPr>
              <w:rPr>
                <w:rFonts w:ascii="Times New Roman" w:hAnsi="Times New Roman" w:eastAsia="宋体" w:cs="Times New Roman"/>
                <w:sz w:val="20"/>
                <w:szCs w:val="20"/>
              </w:rPr>
            </w:pPr>
          </w:p>
        </w:tc>
        <w:tc>
          <w:tcPr>
            <w:tcW w:w="1263"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14:paraId="64F65C6B">
            <w:pPr>
              <w:rPr>
                <w:rFonts w:ascii="Times New Roman" w:hAnsi="Times New Roman" w:eastAsia="宋体" w:cs="Times New Roman"/>
                <w:sz w:val="20"/>
                <w:szCs w:val="20"/>
              </w:rPr>
            </w:pPr>
          </w:p>
        </w:tc>
        <w:tc>
          <w:tcPr>
            <w:tcW w:w="1557" w:type="dxa"/>
            <w:tcBorders>
              <w:top w:val="single" w:color="000000" w:sz="4" w:space="0"/>
              <w:left w:val="single" w:color="000000" w:sz="4" w:space="0"/>
              <w:right w:val="single" w:color="000000" w:sz="4" w:space="0"/>
            </w:tcBorders>
            <w:tcMar>
              <w:top w:w="15" w:type="dxa"/>
              <w:left w:w="15" w:type="dxa"/>
              <w:right w:w="15" w:type="dxa"/>
            </w:tcMar>
            <w:vAlign w:val="center"/>
          </w:tcPr>
          <w:p w14:paraId="5A446DCE">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质量指标</w:t>
            </w:r>
          </w:p>
        </w:tc>
        <w:tc>
          <w:tcPr>
            <w:tcW w:w="32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35581F">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建设内容达到验收要求</w:t>
            </w:r>
          </w:p>
        </w:tc>
        <w:tc>
          <w:tcPr>
            <w:tcW w:w="19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826066">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≥95%</w:t>
            </w:r>
          </w:p>
        </w:tc>
      </w:tr>
      <w:tr w14:paraId="61DA2CB5">
        <w:tblPrEx>
          <w:tblCellMar>
            <w:top w:w="0" w:type="dxa"/>
            <w:left w:w="0" w:type="dxa"/>
            <w:bottom w:w="0" w:type="dxa"/>
            <w:right w:w="0" w:type="dxa"/>
          </w:tblCellMar>
        </w:tblPrEx>
        <w:trPr>
          <w:trHeight w:val="556" w:hRule="atLeast"/>
        </w:trPr>
        <w:tc>
          <w:tcPr>
            <w:tcW w:w="18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40ED6B">
            <w:pPr>
              <w:rPr>
                <w:rFonts w:ascii="Times New Roman" w:hAnsi="Times New Roman" w:eastAsia="宋体" w:cs="Times New Roman"/>
                <w:sz w:val="20"/>
                <w:szCs w:val="20"/>
              </w:rPr>
            </w:pPr>
          </w:p>
        </w:tc>
        <w:tc>
          <w:tcPr>
            <w:tcW w:w="1263"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14:paraId="2BE0F1AC">
            <w:pPr>
              <w:rPr>
                <w:rFonts w:ascii="Times New Roman" w:hAnsi="Times New Roman" w:eastAsia="宋体" w:cs="Times New Roman"/>
                <w:sz w:val="20"/>
                <w:szCs w:val="20"/>
              </w:rPr>
            </w:pPr>
          </w:p>
        </w:tc>
        <w:tc>
          <w:tcPr>
            <w:tcW w:w="1557" w:type="dxa"/>
            <w:tcBorders>
              <w:top w:val="single" w:color="000000" w:sz="4" w:space="0"/>
              <w:left w:val="single" w:color="000000" w:sz="4" w:space="0"/>
              <w:right w:val="single" w:color="000000" w:sz="4" w:space="0"/>
            </w:tcBorders>
            <w:tcMar>
              <w:top w:w="15" w:type="dxa"/>
              <w:left w:w="15" w:type="dxa"/>
              <w:right w:w="15" w:type="dxa"/>
            </w:tcMar>
            <w:vAlign w:val="center"/>
          </w:tcPr>
          <w:p w14:paraId="6FA4181E">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时效指标</w:t>
            </w:r>
          </w:p>
        </w:tc>
        <w:tc>
          <w:tcPr>
            <w:tcW w:w="32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3E1F6D">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项目完成时间</w:t>
            </w:r>
          </w:p>
        </w:tc>
        <w:tc>
          <w:tcPr>
            <w:tcW w:w="19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485B0F">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12月底</w:t>
            </w:r>
          </w:p>
        </w:tc>
      </w:tr>
      <w:tr w14:paraId="3F1760A9">
        <w:tblPrEx>
          <w:tblCellMar>
            <w:top w:w="0" w:type="dxa"/>
            <w:left w:w="0" w:type="dxa"/>
            <w:bottom w:w="0" w:type="dxa"/>
            <w:right w:w="0" w:type="dxa"/>
          </w:tblCellMar>
        </w:tblPrEx>
        <w:trPr>
          <w:trHeight w:val="714" w:hRule="atLeast"/>
        </w:trPr>
        <w:tc>
          <w:tcPr>
            <w:tcW w:w="18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F208EE">
            <w:pPr>
              <w:rPr>
                <w:rFonts w:ascii="Times New Roman" w:hAnsi="Times New Roman" w:eastAsia="宋体" w:cs="Times New Roman"/>
                <w:sz w:val="20"/>
                <w:szCs w:val="20"/>
              </w:rPr>
            </w:pPr>
          </w:p>
        </w:tc>
        <w:tc>
          <w:tcPr>
            <w:tcW w:w="1263"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14:paraId="254D3887">
            <w:pPr>
              <w:rPr>
                <w:rFonts w:ascii="Times New Roman" w:hAnsi="Times New Roman" w:eastAsia="宋体" w:cs="Times New Roman"/>
                <w:sz w:val="20"/>
                <w:szCs w:val="20"/>
              </w:rPr>
            </w:pPr>
          </w:p>
        </w:tc>
        <w:tc>
          <w:tcPr>
            <w:tcW w:w="15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E5103">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成本指标</w:t>
            </w:r>
          </w:p>
        </w:tc>
        <w:tc>
          <w:tcPr>
            <w:tcW w:w="32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F69BE1">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成本控制率（成本控制率=截至年末累计支出数/当年预算数）</w:t>
            </w:r>
          </w:p>
        </w:tc>
        <w:tc>
          <w:tcPr>
            <w:tcW w:w="19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C704FF">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≤100%</w:t>
            </w:r>
          </w:p>
        </w:tc>
      </w:tr>
      <w:tr w14:paraId="2EB19E9C">
        <w:tblPrEx>
          <w:tblCellMar>
            <w:top w:w="0" w:type="dxa"/>
            <w:left w:w="0" w:type="dxa"/>
            <w:bottom w:w="0" w:type="dxa"/>
            <w:right w:w="0" w:type="dxa"/>
          </w:tblCellMar>
        </w:tblPrEx>
        <w:trPr>
          <w:trHeight w:val="635" w:hRule="atLeast"/>
        </w:trPr>
        <w:tc>
          <w:tcPr>
            <w:tcW w:w="18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E40BCE">
            <w:pPr>
              <w:rPr>
                <w:rFonts w:ascii="Times New Roman" w:hAnsi="Times New Roman" w:eastAsia="宋体" w:cs="Times New Roman"/>
                <w:sz w:val="20"/>
                <w:szCs w:val="20"/>
              </w:rPr>
            </w:pPr>
          </w:p>
        </w:tc>
        <w:tc>
          <w:tcPr>
            <w:tcW w:w="1263" w:type="dxa"/>
            <w:vMerge w:val="restart"/>
            <w:tcBorders>
              <w:top w:val="single" w:color="000000" w:sz="4" w:space="0"/>
              <w:left w:val="single" w:color="000000" w:sz="4" w:space="0"/>
              <w:bottom w:val="nil"/>
              <w:right w:val="single" w:color="000000" w:sz="4" w:space="0"/>
            </w:tcBorders>
            <w:tcMar>
              <w:top w:w="15" w:type="dxa"/>
              <w:left w:w="15" w:type="dxa"/>
              <w:right w:w="15" w:type="dxa"/>
            </w:tcMar>
            <w:vAlign w:val="center"/>
          </w:tcPr>
          <w:p w14:paraId="0DA5EAEE">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效益指标</w:t>
            </w:r>
          </w:p>
        </w:tc>
        <w:tc>
          <w:tcPr>
            <w:tcW w:w="155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1326123">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社会效益指标</w:t>
            </w:r>
          </w:p>
        </w:tc>
        <w:tc>
          <w:tcPr>
            <w:tcW w:w="3284" w:type="dxa"/>
            <w:tcBorders>
              <w:top w:val="single" w:color="000000" w:sz="4" w:space="0"/>
              <w:left w:val="single" w:color="000000" w:sz="4" w:space="0"/>
              <w:right w:val="single" w:color="000000" w:sz="4" w:space="0"/>
            </w:tcBorders>
            <w:tcMar>
              <w:top w:w="15" w:type="dxa"/>
              <w:left w:w="15" w:type="dxa"/>
              <w:right w:w="15" w:type="dxa"/>
            </w:tcMar>
            <w:vAlign w:val="center"/>
          </w:tcPr>
          <w:p w14:paraId="74C549CA">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带动秸秆综合利用产业发展</w:t>
            </w:r>
          </w:p>
        </w:tc>
        <w:tc>
          <w:tcPr>
            <w:tcW w:w="19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ACAE90">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成效显著</w:t>
            </w:r>
          </w:p>
        </w:tc>
      </w:tr>
      <w:tr w14:paraId="5DD4C0F9">
        <w:tblPrEx>
          <w:tblCellMar>
            <w:top w:w="0" w:type="dxa"/>
            <w:left w:w="0" w:type="dxa"/>
            <w:bottom w:w="0" w:type="dxa"/>
            <w:right w:w="0" w:type="dxa"/>
          </w:tblCellMar>
        </w:tblPrEx>
        <w:trPr>
          <w:trHeight w:val="831" w:hRule="atLeast"/>
        </w:trPr>
        <w:tc>
          <w:tcPr>
            <w:tcW w:w="18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1E8768">
            <w:pPr>
              <w:rPr>
                <w:rFonts w:ascii="Times New Roman" w:hAnsi="Times New Roman" w:eastAsia="宋体" w:cs="Times New Roman"/>
                <w:sz w:val="20"/>
                <w:szCs w:val="20"/>
              </w:rPr>
            </w:pPr>
          </w:p>
        </w:tc>
        <w:tc>
          <w:tcPr>
            <w:tcW w:w="1263"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14:paraId="013D9E97">
            <w:pPr>
              <w:rPr>
                <w:rFonts w:ascii="Times New Roman" w:hAnsi="Times New Roman" w:eastAsia="宋体" w:cs="Times New Roman"/>
                <w:sz w:val="20"/>
                <w:szCs w:val="20"/>
              </w:rPr>
            </w:pPr>
          </w:p>
        </w:tc>
        <w:tc>
          <w:tcPr>
            <w:tcW w:w="1557" w:type="dxa"/>
            <w:tcBorders>
              <w:top w:val="single" w:color="000000" w:sz="4" w:space="0"/>
              <w:left w:val="single" w:color="000000" w:sz="4" w:space="0"/>
              <w:right w:val="single" w:color="000000" w:sz="4" w:space="0"/>
            </w:tcBorders>
            <w:tcMar>
              <w:top w:w="15" w:type="dxa"/>
              <w:left w:w="15" w:type="dxa"/>
              <w:right w:w="15" w:type="dxa"/>
            </w:tcMar>
            <w:vAlign w:val="center"/>
          </w:tcPr>
          <w:p w14:paraId="33F9B96F">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生态效益指标</w:t>
            </w:r>
          </w:p>
        </w:tc>
        <w:tc>
          <w:tcPr>
            <w:tcW w:w="3284" w:type="dxa"/>
            <w:tcBorders>
              <w:top w:val="single" w:color="000000" w:sz="4" w:space="0"/>
              <w:left w:val="single" w:color="000000" w:sz="4" w:space="0"/>
              <w:right w:val="single" w:color="000000" w:sz="4" w:space="0"/>
            </w:tcBorders>
            <w:tcMar>
              <w:top w:w="15" w:type="dxa"/>
              <w:left w:w="15" w:type="dxa"/>
              <w:right w:w="15" w:type="dxa"/>
            </w:tcMar>
            <w:vAlign w:val="center"/>
          </w:tcPr>
          <w:p w14:paraId="0E4BA21B">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降低环境污染</w:t>
            </w:r>
          </w:p>
        </w:tc>
        <w:tc>
          <w:tcPr>
            <w:tcW w:w="19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96AF6E">
            <w:pPr>
              <w:widowControl/>
              <w:textAlignment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有效降低</w:t>
            </w:r>
          </w:p>
        </w:tc>
      </w:tr>
      <w:tr w14:paraId="094737C0">
        <w:tblPrEx>
          <w:tblCellMar>
            <w:top w:w="0" w:type="dxa"/>
            <w:left w:w="0" w:type="dxa"/>
            <w:bottom w:w="0" w:type="dxa"/>
            <w:right w:w="0" w:type="dxa"/>
          </w:tblCellMar>
        </w:tblPrEx>
        <w:trPr>
          <w:trHeight w:val="534" w:hRule="atLeast"/>
        </w:trPr>
        <w:tc>
          <w:tcPr>
            <w:tcW w:w="18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FC06E2">
            <w:pPr>
              <w:rPr>
                <w:rFonts w:ascii="Times New Roman" w:hAnsi="Times New Roman" w:eastAsia="宋体" w:cs="Times New Roman"/>
                <w:sz w:val="20"/>
                <w:szCs w:val="20"/>
              </w:rPr>
            </w:pPr>
          </w:p>
        </w:tc>
        <w:tc>
          <w:tcPr>
            <w:tcW w:w="1263"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14:paraId="70A0D5FA">
            <w:pPr>
              <w:rPr>
                <w:rFonts w:ascii="Times New Roman" w:hAnsi="Times New Roman" w:eastAsia="宋体" w:cs="Times New Roman"/>
                <w:sz w:val="20"/>
                <w:szCs w:val="20"/>
              </w:rPr>
            </w:pPr>
          </w:p>
        </w:tc>
        <w:tc>
          <w:tcPr>
            <w:tcW w:w="1557"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14:paraId="653DDBC4">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可持续影响指标</w:t>
            </w:r>
          </w:p>
        </w:tc>
        <w:tc>
          <w:tcPr>
            <w:tcW w:w="32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24E977">
            <w:pPr>
              <w:widowControl/>
              <w:rPr>
                <w:rFonts w:ascii="Times New Roman" w:hAnsi="Times New Roman" w:eastAsia="宋体" w:cs="Times New Roman"/>
                <w:sz w:val="20"/>
                <w:szCs w:val="20"/>
              </w:rPr>
            </w:pPr>
            <w:r>
              <w:rPr>
                <w:rFonts w:ascii="Times New Roman" w:hAnsi="Times New Roman" w:eastAsia="宋体" w:cs="Times New Roman"/>
                <w:sz w:val="20"/>
                <w:szCs w:val="20"/>
              </w:rPr>
              <w:t>促进农作物秸秆循环利用</w:t>
            </w:r>
          </w:p>
        </w:tc>
        <w:tc>
          <w:tcPr>
            <w:tcW w:w="19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1D25FD">
            <w:pPr>
              <w:widowControl/>
              <w:rPr>
                <w:rFonts w:ascii="Times New Roman" w:hAnsi="Times New Roman" w:eastAsia="宋体" w:cs="Times New Roman"/>
                <w:sz w:val="20"/>
                <w:szCs w:val="20"/>
              </w:rPr>
            </w:pPr>
            <w:r>
              <w:rPr>
                <w:rFonts w:ascii="Times New Roman" w:hAnsi="Times New Roman" w:eastAsia="宋体" w:cs="Times New Roman"/>
                <w:sz w:val="20"/>
                <w:szCs w:val="20"/>
              </w:rPr>
              <w:t>有效利用</w:t>
            </w:r>
          </w:p>
        </w:tc>
      </w:tr>
      <w:tr w14:paraId="11A1352D">
        <w:tblPrEx>
          <w:tblCellMar>
            <w:top w:w="0" w:type="dxa"/>
            <w:left w:w="0" w:type="dxa"/>
            <w:bottom w:w="0" w:type="dxa"/>
            <w:right w:w="0" w:type="dxa"/>
          </w:tblCellMar>
        </w:tblPrEx>
        <w:trPr>
          <w:trHeight w:val="1138" w:hRule="atLeast"/>
        </w:trPr>
        <w:tc>
          <w:tcPr>
            <w:tcW w:w="18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327641">
            <w:pPr>
              <w:rPr>
                <w:rFonts w:ascii="Times New Roman" w:hAnsi="Times New Roman" w:eastAsia="宋体" w:cs="Times New Roman"/>
                <w:sz w:val="20"/>
                <w:szCs w:val="20"/>
              </w:rPr>
            </w:pPr>
          </w:p>
        </w:tc>
        <w:tc>
          <w:tcPr>
            <w:tcW w:w="12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EF4341">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满意度指标</w:t>
            </w:r>
          </w:p>
        </w:tc>
        <w:tc>
          <w:tcPr>
            <w:tcW w:w="15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F3CB76">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服务对象</w:t>
            </w:r>
            <w:r>
              <w:rPr>
                <w:rFonts w:ascii="Times New Roman" w:hAnsi="Times New Roman" w:eastAsia="宋体" w:cs="Times New Roman"/>
                <w:kern w:val="0"/>
                <w:sz w:val="20"/>
                <w:szCs w:val="20"/>
                <w:lang w:bidi="ar"/>
              </w:rPr>
              <w:br w:type="textWrapping"/>
            </w:r>
            <w:r>
              <w:rPr>
                <w:rFonts w:ascii="Times New Roman" w:hAnsi="Times New Roman" w:eastAsia="宋体" w:cs="Times New Roman"/>
                <w:kern w:val="0"/>
                <w:sz w:val="20"/>
                <w:szCs w:val="20"/>
                <w:lang w:bidi="ar"/>
              </w:rPr>
              <w:t>满意度指标</w:t>
            </w:r>
          </w:p>
        </w:tc>
        <w:tc>
          <w:tcPr>
            <w:tcW w:w="32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D14635">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扶持对象满意度</w:t>
            </w:r>
          </w:p>
        </w:tc>
        <w:tc>
          <w:tcPr>
            <w:tcW w:w="19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7F3F04">
            <w:pPr>
              <w:widowControl/>
              <w:textAlignment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≥85%</w:t>
            </w:r>
          </w:p>
        </w:tc>
      </w:tr>
    </w:tbl>
    <w:p w14:paraId="7081C614">
      <w:pPr>
        <w:pStyle w:val="5"/>
        <w:jc w:val="both"/>
        <w:rPr>
          <w:rFonts w:cs="Times New Roman"/>
        </w:rPr>
      </w:pPr>
      <w:r>
        <w:rPr>
          <w:rFonts w:cs="Times New Roman"/>
        </w:rPr>
        <w:t>附件4</w:t>
      </w:r>
    </w:p>
    <w:p w14:paraId="3D98D917">
      <w:pPr>
        <w:pStyle w:val="4"/>
        <w:rPr>
          <w:rFonts w:cs="Times New Roman"/>
        </w:rPr>
      </w:pPr>
      <w:r>
        <w:rPr>
          <w:rFonts w:cs="Times New Roman"/>
        </w:rPr>
        <w:t>浮梁县202</w:t>
      </w:r>
      <w:r>
        <w:rPr>
          <w:rFonts w:hint="eastAsia" w:cs="Times New Roman"/>
          <w:lang w:val="en-US" w:eastAsia="zh-CN"/>
        </w:rPr>
        <w:t>7</w:t>
      </w:r>
      <w:r>
        <w:rPr>
          <w:rFonts w:cs="Times New Roman"/>
        </w:rPr>
        <w:t>年中央农作物秸秆综合</w:t>
      </w:r>
      <w:r>
        <w:rPr>
          <w:rFonts w:hint="eastAsia" w:cs="Times New Roman"/>
        </w:rPr>
        <w:t>利用</w:t>
      </w:r>
      <w:r>
        <w:rPr>
          <w:rFonts w:cs="Times New Roman"/>
        </w:rPr>
        <w:t>重点县项目计划资金明细表</w:t>
      </w:r>
    </w:p>
    <w:tbl>
      <w:tblPr>
        <w:tblStyle w:val="9"/>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5239"/>
        <w:gridCol w:w="851"/>
        <w:gridCol w:w="3685"/>
      </w:tblGrid>
      <w:tr w14:paraId="2BE0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426" w:type="dxa"/>
            <w:vAlign w:val="center"/>
          </w:tcPr>
          <w:p w14:paraId="2BCD0985">
            <w:pPr>
              <w:rPr>
                <w:rFonts w:ascii="Times New Roman" w:hAnsi="Times New Roman" w:eastAsia="仿宋" w:cs="Times New Roman"/>
                <w:sz w:val="18"/>
                <w:szCs w:val="18"/>
              </w:rPr>
            </w:pPr>
            <w:r>
              <w:rPr>
                <w:rFonts w:ascii="Times New Roman" w:hAnsi="Times New Roman" w:eastAsia="仿宋" w:cs="Times New Roman"/>
                <w:sz w:val="18"/>
                <w:szCs w:val="18"/>
              </w:rPr>
              <w:t>序号</w:t>
            </w:r>
          </w:p>
        </w:tc>
        <w:tc>
          <w:tcPr>
            <w:tcW w:w="5239" w:type="dxa"/>
            <w:vAlign w:val="center"/>
          </w:tcPr>
          <w:p w14:paraId="73F2F5B3">
            <w:pPr>
              <w:rPr>
                <w:rFonts w:ascii="Times New Roman" w:hAnsi="Times New Roman" w:eastAsia="仿宋" w:cs="Times New Roman"/>
                <w:sz w:val="18"/>
                <w:szCs w:val="18"/>
              </w:rPr>
            </w:pPr>
            <w:r>
              <w:rPr>
                <w:rFonts w:ascii="Times New Roman" w:hAnsi="Times New Roman" w:eastAsia="仿宋" w:cs="Times New Roman"/>
                <w:sz w:val="18"/>
                <w:szCs w:val="18"/>
              </w:rPr>
              <w:t>建设内容</w:t>
            </w:r>
          </w:p>
        </w:tc>
        <w:tc>
          <w:tcPr>
            <w:tcW w:w="851" w:type="dxa"/>
            <w:vAlign w:val="center"/>
          </w:tcPr>
          <w:p w14:paraId="4AC8D1AF">
            <w:pPr>
              <w:rPr>
                <w:rFonts w:ascii="Times New Roman" w:hAnsi="Times New Roman" w:eastAsia="仿宋" w:cs="Times New Roman"/>
                <w:sz w:val="18"/>
                <w:szCs w:val="18"/>
              </w:rPr>
            </w:pPr>
            <w:r>
              <w:rPr>
                <w:rFonts w:ascii="Times New Roman" w:hAnsi="Times New Roman" w:eastAsia="仿宋" w:cs="Times New Roman"/>
                <w:sz w:val="18"/>
                <w:szCs w:val="18"/>
              </w:rPr>
              <w:t>中央资金（万元）</w:t>
            </w:r>
          </w:p>
        </w:tc>
        <w:tc>
          <w:tcPr>
            <w:tcW w:w="3685" w:type="dxa"/>
            <w:vAlign w:val="center"/>
          </w:tcPr>
          <w:p w14:paraId="1520F195">
            <w:pPr>
              <w:rPr>
                <w:rFonts w:ascii="Times New Roman" w:hAnsi="Times New Roman" w:eastAsia="仿宋" w:cs="Times New Roman"/>
                <w:sz w:val="18"/>
                <w:szCs w:val="18"/>
              </w:rPr>
            </w:pPr>
            <w:r>
              <w:rPr>
                <w:rFonts w:ascii="Times New Roman" w:hAnsi="Times New Roman" w:eastAsia="仿宋" w:cs="Times New Roman"/>
                <w:sz w:val="18"/>
                <w:szCs w:val="18"/>
              </w:rPr>
              <w:t>备注</w:t>
            </w:r>
          </w:p>
        </w:tc>
      </w:tr>
      <w:tr w14:paraId="09679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426" w:type="dxa"/>
            <w:vAlign w:val="center"/>
          </w:tcPr>
          <w:p w14:paraId="60AC3BBF">
            <w:pPr>
              <w:spacing w:line="300" w:lineRule="exact"/>
              <w:rPr>
                <w:rFonts w:ascii="Times New Roman" w:hAnsi="Times New Roman" w:eastAsia="仿宋" w:cs="Times New Roman"/>
                <w:szCs w:val="21"/>
              </w:rPr>
            </w:pPr>
            <w:r>
              <w:rPr>
                <w:rFonts w:ascii="Times New Roman" w:hAnsi="Times New Roman" w:eastAsia="仿宋" w:cs="Times New Roman"/>
                <w:szCs w:val="21"/>
              </w:rPr>
              <w:t>一</w:t>
            </w:r>
          </w:p>
        </w:tc>
        <w:tc>
          <w:tcPr>
            <w:tcW w:w="5239" w:type="dxa"/>
            <w:vAlign w:val="center"/>
          </w:tcPr>
          <w:p w14:paraId="4A7D0586">
            <w:pPr>
              <w:spacing w:line="300" w:lineRule="exact"/>
              <w:rPr>
                <w:rFonts w:ascii="Times New Roman" w:hAnsi="Times New Roman" w:eastAsia="仿宋" w:cs="Times New Roman"/>
                <w:szCs w:val="21"/>
              </w:rPr>
            </w:pPr>
            <w:r>
              <w:rPr>
                <w:rFonts w:ascii="Times New Roman" w:hAnsi="Times New Roman" w:eastAsia="仿宋" w:cs="Times New Roman"/>
                <w:szCs w:val="21"/>
              </w:rPr>
              <w:t>秸秆粉碎还田</w:t>
            </w:r>
          </w:p>
        </w:tc>
        <w:tc>
          <w:tcPr>
            <w:tcW w:w="851" w:type="dxa"/>
            <w:vAlign w:val="center"/>
          </w:tcPr>
          <w:p w14:paraId="3949B82D">
            <w:pPr>
              <w:spacing w:line="300" w:lineRule="exact"/>
              <w:rPr>
                <w:rFonts w:hint="default" w:ascii="Times New Roman" w:hAnsi="Times New Roman" w:eastAsia="仿宋" w:cs="Times New Roman"/>
                <w:szCs w:val="21"/>
                <w:lang w:val="en-US" w:eastAsia="zh-CN"/>
              </w:rPr>
            </w:pPr>
            <w:r>
              <w:rPr>
                <w:rFonts w:hint="eastAsia" w:ascii="Times New Roman" w:hAnsi="Times New Roman" w:eastAsia="仿宋" w:cs="Times New Roman"/>
                <w:szCs w:val="21"/>
                <w:lang w:val="en-US" w:eastAsia="zh-CN"/>
              </w:rPr>
              <w:t>90</w:t>
            </w:r>
          </w:p>
        </w:tc>
        <w:tc>
          <w:tcPr>
            <w:tcW w:w="3685" w:type="dxa"/>
            <w:vAlign w:val="center"/>
          </w:tcPr>
          <w:p w14:paraId="5C2B6FA9">
            <w:pPr>
              <w:spacing w:line="300" w:lineRule="exact"/>
              <w:rPr>
                <w:rFonts w:ascii="Times New Roman" w:hAnsi="Times New Roman" w:eastAsia="仿宋" w:cs="Times New Roman"/>
                <w:szCs w:val="21"/>
              </w:rPr>
            </w:pPr>
            <w:r>
              <w:rPr>
                <w:rFonts w:hint="eastAsia" w:ascii="Times New Roman" w:hAnsi="Times New Roman" w:eastAsia="仿宋" w:cs="Times New Roman"/>
                <w:szCs w:val="21"/>
              </w:rPr>
              <w:t>3</w:t>
            </w:r>
            <w:r>
              <w:rPr>
                <w:rFonts w:ascii="Times New Roman" w:hAnsi="Times New Roman" w:eastAsia="仿宋" w:cs="Times New Roman"/>
                <w:szCs w:val="21"/>
              </w:rPr>
              <w:t>0元/亩</w:t>
            </w:r>
          </w:p>
        </w:tc>
      </w:tr>
      <w:tr w14:paraId="4604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1" w:hRule="atLeast"/>
          <w:jc w:val="center"/>
        </w:trPr>
        <w:tc>
          <w:tcPr>
            <w:tcW w:w="426" w:type="dxa"/>
            <w:vAlign w:val="center"/>
          </w:tcPr>
          <w:p w14:paraId="4E302D0E">
            <w:pPr>
              <w:rPr>
                <w:rFonts w:ascii="Times New Roman" w:hAnsi="Times New Roman" w:eastAsia="仿宋" w:cs="Times New Roman"/>
                <w:szCs w:val="21"/>
              </w:rPr>
            </w:pPr>
            <w:r>
              <w:rPr>
                <w:rFonts w:ascii="Times New Roman" w:hAnsi="Times New Roman" w:eastAsia="仿宋" w:cs="Times New Roman"/>
                <w:szCs w:val="21"/>
              </w:rPr>
              <w:t>1</w:t>
            </w:r>
          </w:p>
        </w:tc>
        <w:tc>
          <w:tcPr>
            <w:tcW w:w="5239" w:type="dxa"/>
            <w:vAlign w:val="center"/>
          </w:tcPr>
          <w:p w14:paraId="293D409D">
            <w:pPr>
              <w:rPr>
                <w:rFonts w:ascii="Times New Roman" w:hAnsi="Times New Roman" w:eastAsia="仿宋" w:cs="Times New Roman"/>
                <w:szCs w:val="21"/>
              </w:rPr>
            </w:pPr>
            <w:r>
              <w:rPr>
                <w:rFonts w:hint="eastAsia" w:ascii="Times New Roman" w:hAnsi="Times New Roman" w:eastAsia="仿宋" w:cs="Times New Roman"/>
                <w:szCs w:val="21"/>
              </w:rPr>
              <w:t>1、东流桥优质水稻种养专业合作社2、浮梁县进军家庭农场3、浮梁县惠农人农业专业合作社4、峙滩柳发农业专业合作社5、浮梁县南裕康农业种植专业合作社6、浮梁县盛歌农业科技有限公司7、浮梁县瑶里禾丰水稻种植家庭农场8、浮梁春来种养专业合作社9、浮梁县王港乡松顺家庭农场10、浮梁县诚新种养专业合作社11、浮梁县庄湾乡星辰种养专业合作社12、浮梁县鱼之然种养专业合作社。13、浮县梁瑶佳生态种植专业合作社14、浮梁县鹅湖镇景优家庭农场。15、浮梁县寿安范福家庭农场</w:t>
            </w:r>
          </w:p>
        </w:tc>
        <w:tc>
          <w:tcPr>
            <w:tcW w:w="851" w:type="dxa"/>
            <w:vAlign w:val="center"/>
          </w:tcPr>
          <w:p w14:paraId="2DE4884D">
            <w:pPr>
              <w:rPr>
                <w:rFonts w:hint="default" w:ascii="Times New Roman" w:hAnsi="Times New Roman" w:eastAsia="仿宋" w:cs="Times New Roman"/>
                <w:szCs w:val="21"/>
                <w:lang w:val="en-US" w:eastAsia="zh-CN"/>
              </w:rPr>
            </w:pPr>
            <w:r>
              <w:rPr>
                <w:rFonts w:hint="eastAsia" w:ascii="Times New Roman" w:hAnsi="Times New Roman" w:eastAsia="仿宋" w:cs="Times New Roman"/>
                <w:szCs w:val="21"/>
                <w:lang w:val="en-US" w:eastAsia="zh-CN"/>
              </w:rPr>
              <w:t>90</w:t>
            </w:r>
          </w:p>
        </w:tc>
        <w:tc>
          <w:tcPr>
            <w:tcW w:w="3685" w:type="dxa"/>
            <w:vAlign w:val="center"/>
          </w:tcPr>
          <w:p w14:paraId="334DAD78">
            <w:pPr>
              <w:rPr>
                <w:rFonts w:ascii="Times New Roman" w:hAnsi="Times New Roman" w:eastAsia="仿宋" w:cs="Times New Roman"/>
                <w:szCs w:val="21"/>
              </w:rPr>
            </w:pPr>
            <w:r>
              <w:rPr>
                <w:rFonts w:ascii="Times New Roman" w:hAnsi="Times New Roman" w:eastAsia="仿宋" w:cs="Times New Roman"/>
                <w:szCs w:val="21"/>
              </w:rPr>
              <w:t>浮梁镇、瑶里镇、鹅湖镇、湘湖镇、寿安镇、三龙镇、蛟潭镇、经公桥镇、峙滩镇、西湖乡、勒功乡、江村乡、兴田乡、黄坛乡、臧湾乡、王港乡（</w:t>
            </w:r>
            <w:r>
              <w:rPr>
                <w:rFonts w:hint="eastAsia" w:ascii="Times New Roman" w:hAnsi="Times New Roman" w:eastAsia="仿宋" w:cs="Times New Roman"/>
                <w:szCs w:val="21"/>
              </w:rPr>
              <w:t>3</w:t>
            </w:r>
            <w:r>
              <w:rPr>
                <w:rFonts w:ascii="Times New Roman" w:hAnsi="Times New Roman" w:eastAsia="仿宋" w:cs="Times New Roman"/>
                <w:szCs w:val="21"/>
              </w:rPr>
              <w:t>0元/亩）</w:t>
            </w:r>
          </w:p>
        </w:tc>
      </w:tr>
      <w:tr w14:paraId="2296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426" w:type="dxa"/>
            <w:vAlign w:val="center"/>
          </w:tcPr>
          <w:p w14:paraId="65A62D53">
            <w:pPr>
              <w:rPr>
                <w:rFonts w:ascii="Times New Roman" w:hAnsi="Times New Roman" w:eastAsia="仿宋" w:cs="Times New Roman"/>
                <w:szCs w:val="21"/>
              </w:rPr>
            </w:pPr>
            <w:r>
              <w:rPr>
                <w:rFonts w:ascii="Times New Roman" w:hAnsi="Times New Roman" w:eastAsia="仿宋" w:cs="Times New Roman"/>
                <w:szCs w:val="21"/>
              </w:rPr>
              <w:t>二</w:t>
            </w:r>
          </w:p>
        </w:tc>
        <w:tc>
          <w:tcPr>
            <w:tcW w:w="5239" w:type="dxa"/>
            <w:vAlign w:val="center"/>
          </w:tcPr>
          <w:p w14:paraId="3325BB1F">
            <w:pPr>
              <w:rPr>
                <w:rFonts w:hint="default" w:ascii="Times New Roman" w:hAnsi="Times New Roman" w:eastAsia="仿宋" w:cs="Times New Roman"/>
                <w:szCs w:val="21"/>
                <w:lang w:val="en-US" w:eastAsia="zh-CN"/>
              </w:rPr>
            </w:pPr>
            <w:r>
              <w:rPr>
                <w:rFonts w:ascii="Times New Roman" w:hAnsi="Times New Roman" w:eastAsia="仿宋" w:cs="Times New Roman"/>
                <w:szCs w:val="21"/>
              </w:rPr>
              <w:t>秸秆</w:t>
            </w:r>
            <w:r>
              <w:rPr>
                <w:rFonts w:hint="eastAsia" w:ascii="Times New Roman" w:hAnsi="Times New Roman" w:eastAsia="仿宋" w:cs="Times New Roman"/>
                <w:szCs w:val="21"/>
                <w:lang w:val="en-US" w:eastAsia="zh-CN"/>
              </w:rPr>
              <w:t>收储运体系</w:t>
            </w:r>
          </w:p>
        </w:tc>
        <w:tc>
          <w:tcPr>
            <w:tcW w:w="851" w:type="dxa"/>
            <w:vAlign w:val="center"/>
          </w:tcPr>
          <w:p w14:paraId="4988524D">
            <w:pPr>
              <w:rPr>
                <w:rFonts w:hint="default" w:ascii="Times New Roman" w:hAnsi="Times New Roman" w:eastAsia="仿宋" w:cs="Times New Roman"/>
                <w:szCs w:val="21"/>
                <w:lang w:val="en-US" w:eastAsia="zh-CN"/>
              </w:rPr>
            </w:pPr>
            <w:r>
              <w:rPr>
                <w:rFonts w:hint="eastAsia" w:ascii="Times New Roman" w:hAnsi="Times New Roman" w:eastAsia="仿宋" w:cs="Times New Roman"/>
                <w:szCs w:val="21"/>
                <w:lang w:val="en-US" w:eastAsia="zh-CN"/>
              </w:rPr>
              <w:t>157</w:t>
            </w:r>
          </w:p>
        </w:tc>
        <w:tc>
          <w:tcPr>
            <w:tcW w:w="3685" w:type="dxa"/>
            <w:vAlign w:val="center"/>
          </w:tcPr>
          <w:p w14:paraId="0DCA3D1A">
            <w:pPr>
              <w:rPr>
                <w:rFonts w:ascii="Times New Roman" w:hAnsi="Times New Roman" w:eastAsia="仿宋" w:cs="Times New Roman"/>
                <w:szCs w:val="21"/>
              </w:rPr>
            </w:pPr>
            <w:r>
              <w:rPr>
                <w:rFonts w:hint="eastAsia" w:ascii="Times New Roman" w:hAnsi="Times New Roman" w:eastAsia="仿宋" w:cs="Times New Roman"/>
                <w:szCs w:val="21"/>
              </w:rPr>
              <w:t>100</w:t>
            </w:r>
            <w:r>
              <w:rPr>
                <w:rFonts w:ascii="Times New Roman" w:hAnsi="Times New Roman" w:eastAsia="仿宋" w:cs="Times New Roman"/>
                <w:szCs w:val="21"/>
              </w:rPr>
              <w:t>元/</w:t>
            </w:r>
            <w:r>
              <w:rPr>
                <w:rFonts w:hint="eastAsia" w:ascii="Times New Roman" w:hAnsi="Times New Roman" w:eastAsia="仿宋" w:cs="Times New Roman"/>
                <w:szCs w:val="21"/>
              </w:rPr>
              <w:t>吨</w:t>
            </w:r>
          </w:p>
        </w:tc>
      </w:tr>
      <w:tr w14:paraId="6B63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426" w:type="dxa"/>
            <w:vAlign w:val="center"/>
          </w:tcPr>
          <w:p w14:paraId="0BB176E3">
            <w:pPr>
              <w:rPr>
                <w:rFonts w:ascii="Times New Roman" w:hAnsi="Times New Roman" w:eastAsia="仿宋" w:cs="Times New Roman"/>
                <w:szCs w:val="21"/>
              </w:rPr>
            </w:pPr>
            <w:r>
              <w:rPr>
                <w:rFonts w:ascii="Times New Roman" w:hAnsi="Times New Roman" w:eastAsia="仿宋" w:cs="Times New Roman"/>
                <w:szCs w:val="21"/>
              </w:rPr>
              <w:t>1</w:t>
            </w:r>
          </w:p>
        </w:tc>
        <w:tc>
          <w:tcPr>
            <w:tcW w:w="5239" w:type="dxa"/>
            <w:vAlign w:val="center"/>
          </w:tcPr>
          <w:p w14:paraId="322A8A07">
            <w:pPr>
              <w:rPr>
                <w:rFonts w:ascii="Times New Roman" w:hAnsi="Times New Roman" w:eastAsia="仿宋" w:cs="Times New Roman"/>
                <w:szCs w:val="21"/>
              </w:rPr>
            </w:pPr>
            <w:r>
              <w:rPr>
                <w:rFonts w:ascii="Times New Roman" w:hAnsi="Times New Roman" w:eastAsia="仿宋" w:cs="Times New Roman"/>
                <w:szCs w:val="21"/>
              </w:rPr>
              <w:t>浮梁浩然农牧业发展有限公司</w:t>
            </w:r>
          </w:p>
        </w:tc>
        <w:tc>
          <w:tcPr>
            <w:tcW w:w="851" w:type="dxa"/>
            <w:vAlign w:val="center"/>
          </w:tcPr>
          <w:p w14:paraId="24FE04CA">
            <w:pPr>
              <w:rPr>
                <w:rFonts w:hint="default" w:ascii="Times New Roman" w:hAnsi="Times New Roman" w:eastAsia="仿宋" w:cs="Times New Roman"/>
                <w:szCs w:val="21"/>
                <w:lang w:val="en-US" w:eastAsia="zh-CN"/>
              </w:rPr>
            </w:pPr>
            <w:r>
              <w:rPr>
                <w:rFonts w:hint="eastAsia" w:ascii="Times New Roman" w:hAnsi="Times New Roman" w:eastAsia="仿宋" w:cs="Times New Roman"/>
                <w:szCs w:val="21"/>
                <w:lang w:val="en-US" w:eastAsia="zh-CN"/>
              </w:rPr>
              <w:t>20</w:t>
            </w:r>
          </w:p>
        </w:tc>
        <w:tc>
          <w:tcPr>
            <w:tcW w:w="3685" w:type="dxa"/>
            <w:vAlign w:val="center"/>
          </w:tcPr>
          <w:p w14:paraId="400A6F7B">
            <w:pPr>
              <w:rPr>
                <w:rFonts w:ascii="Times New Roman" w:hAnsi="Times New Roman" w:eastAsia="仿宋" w:cs="Times New Roman"/>
                <w:szCs w:val="21"/>
              </w:rPr>
            </w:pPr>
            <w:r>
              <w:rPr>
                <w:rFonts w:ascii="Times New Roman" w:hAnsi="Times New Roman" w:eastAsia="仿宋" w:cs="Times New Roman"/>
                <w:szCs w:val="21"/>
              </w:rPr>
              <w:t>秸秆收储</w:t>
            </w:r>
            <w:r>
              <w:rPr>
                <w:rFonts w:hint="eastAsia" w:ascii="Times New Roman" w:hAnsi="Times New Roman" w:eastAsia="仿宋" w:cs="Times New Roman"/>
                <w:szCs w:val="21"/>
                <w:lang w:val="en-US" w:eastAsia="zh-CN"/>
              </w:rPr>
              <w:t>2000</w:t>
            </w:r>
            <w:r>
              <w:rPr>
                <w:rFonts w:hint="eastAsia" w:ascii="Times New Roman" w:hAnsi="Times New Roman" w:eastAsia="仿宋" w:cs="Times New Roman"/>
                <w:szCs w:val="21"/>
              </w:rPr>
              <w:t>吨</w:t>
            </w:r>
          </w:p>
        </w:tc>
      </w:tr>
      <w:tr w14:paraId="176C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426" w:type="dxa"/>
            <w:vAlign w:val="center"/>
          </w:tcPr>
          <w:p w14:paraId="6826EBC7">
            <w:pPr>
              <w:rPr>
                <w:rFonts w:ascii="Times New Roman" w:hAnsi="Times New Roman" w:eastAsia="仿宋" w:cs="Times New Roman"/>
                <w:szCs w:val="21"/>
              </w:rPr>
            </w:pPr>
            <w:r>
              <w:rPr>
                <w:rFonts w:ascii="Times New Roman" w:hAnsi="Times New Roman" w:eastAsia="仿宋" w:cs="Times New Roman"/>
                <w:szCs w:val="21"/>
              </w:rPr>
              <w:t>2</w:t>
            </w:r>
          </w:p>
        </w:tc>
        <w:tc>
          <w:tcPr>
            <w:tcW w:w="5239" w:type="dxa"/>
            <w:vAlign w:val="center"/>
          </w:tcPr>
          <w:p w14:paraId="383032FF">
            <w:pPr>
              <w:rPr>
                <w:rFonts w:ascii="Times New Roman" w:hAnsi="Times New Roman" w:eastAsia="仿宋" w:cs="Times New Roman"/>
                <w:szCs w:val="21"/>
              </w:rPr>
            </w:pPr>
            <w:r>
              <w:rPr>
                <w:rFonts w:ascii="Times New Roman" w:hAnsi="Times New Roman" w:eastAsia="仿宋" w:cs="Times New Roman"/>
                <w:szCs w:val="21"/>
              </w:rPr>
              <w:t>浮梁县寿安镇银柱家庭农场</w:t>
            </w:r>
          </w:p>
        </w:tc>
        <w:tc>
          <w:tcPr>
            <w:tcW w:w="851" w:type="dxa"/>
            <w:vAlign w:val="center"/>
          </w:tcPr>
          <w:p w14:paraId="2C212439">
            <w:pPr>
              <w:rPr>
                <w:rFonts w:hint="default" w:ascii="Times New Roman" w:hAnsi="Times New Roman" w:eastAsia="仿宋" w:cs="Times New Roman"/>
                <w:szCs w:val="21"/>
                <w:lang w:val="en-US" w:eastAsia="zh-CN"/>
              </w:rPr>
            </w:pPr>
            <w:r>
              <w:rPr>
                <w:rFonts w:hint="eastAsia" w:ascii="Times New Roman" w:hAnsi="Times New Roman" w:eastAsia="仿宋" w:cs="Times New Roman"/>
                <w:szCs w:val="21"/>
                <w:lang w:val="en-US" w:eastAsia="zh-CN"/>
              </w:rPr>
              <w:t>20</w:t>
            </w:r>
          </w:p>
        </w:tc>
        <w:tc>
          <w:tcPr>
            <w:tcW w:w="3685" w:type="dxa"/>
            <w:vAlign w:val="center"/>
          </w:tcPr>
          <w:p w14:paraId="0E777268">
            <w:pPr>
              <w:rPr>
                <w:rFonts w:ascii="Times New Roman" w:hAnsi="Times New Roman" w:eastAsia="仿宋" w:cs="Times New Roman"/>
                <w:szCs w:val="21"/>
              </w:rPr>
            </w:pPr>
            <w:r>
              <w:rPr>
                <w:rFonts w:ascii="Times New Roman" w:hAnsi="Times New Roman" w:eastAsia="仿宋" w:cs="Times New Roman"/>
                <w:szCs w:val="21"/>
              </w:rPr>
              <w:t>秸秆收储</w:t>
            </w:r>
            <w:r>
              <w:rPr>
                <w:rFonts w:hint="eastAsia" w:ascii="Times New Roman" w:hAnsi="Times New Roman" w:eastAsia="仿宋" w:cs="Times New Roman"/>
                <w:szCs w:val="21"/>
                <w:lang w:val="en-US" w:eastAsia="zh-CN"/>
              </w:rPr>
              <w:t>2000</w:t>
            </w:r>
            <w:r>
              <w:rPr>
                <w:rFonts w:hint="eastAsia" w:ascii="Times New Roman" w:hAnsi="Times New Roman" w:eastAsia="仿宋" w:cs="Times New Roman"/>
                <w:szCs w:val="21"/>
              </w:rPr>
              <w:t>吨</w:t>
            </w:r>
          </w:p>
        </w:tc>
      </w:tr>
      <w:tr w14:paraId="635A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426" w:type="dxa"/>
            <w:vAlign w:val="center"/>
          </w:tcPr>
          <w:p w14:paraId="793F60A6">
            <w:pPr>
              <w:rPr>
                <w:rFonts w:ascii="Times New Roman" w:hAnsi="Times New Roman" w:eastAsia="仿宋" w:cs="Times New Roman"/>
                <w:szCs w:val="21"/>
              </w:rPr>
            </w:pPr>
            <w:r>
              <w:rPr>
                <w:rFonts w:ascii="Times New Roman" w:hAnsi="Times New Roman" w:eastAsia="仿宋" w:cs="Times New Roman"/>
                <w:szCs w:val="21"/>
              </w:rPr>
              <w:t>3</w:t>
            </w:r>
          </w:p>
        </w:tc>
        <w:tc>
          <w:tcPr>
            <w:tcW w:w="5239" w:type="dxa"/>
            <w:vAlign w:val="center"/>
          </w:tcPr>
          <w:p w14:paraId="0F6BBF63">
            <w:pPr>
              <w:rPr>
                <w:rFonts w:ascii="Times New Roman" w:hAnsi="Times New Roman" w:eastAsia="仿宋" w:cs="Times New Roman"/>
                <w:szCs w:val="21"/>
              </w:rPr>
            </w:pPr>
            <w:r>
              <w:rPr>
                <w:rFonts w:ascii="Times New Roman" w:hAnsi="Times New Roman" w:eastAsia="仿宋" w:cs="Times New Roman"/>
                <w:szCs w:val="21"/>
              </w:rPr>
              <w:t>浮梁县楠熙农业开发有限公司</w:t>
            </w:r>
          </w:p>
        </w:tc>
        <w:tc>
          <w:tcPr>
            <w:tcW w:w="851" w:type="dxa"/>
            <w:vAlign w:val="center"/>
          </w:tcPr>
          <w:p w14:paraId="3399EED7">
            <w:pPr>
              <w:rPr>
                <w:rFonts w:hint="default" w:ascii="Times New Roman" w:hAnsi="Times New Roman" w:eastAsia="仿宋" w:cs="Times New Roman"/>
                <w:szCs w:val="21"/>
                <w:lang w:val="en-US" w:eastAsia="zh-CN"/>
              </w:rPr>
            </w:pPr>
            <w:r>
              <w:rPr>
                <w:rFonts w:hint="eastAsia" w:ascii="Times New Roman" w:hAnsi="Times New Roman" w:eastAsia="仿宋" w:cs="Times New Roman"/>
                <w:szCs w:val="21"/>
                <w:lang w:val="en-US" w:eastAsia="zh-CN"/>
              </w:rPr>
              <w:t>20</w:t>
            </w:r>
          </w:p>
        </w:tc>
        <w:tc>
          <w:tcPr>
            <w:tcW w:w="3685" w:type="dxa"/>
            <w:vAlign w:val="center"/>
          </w:tcPr>
          <w:p w14:paraId="336C7896">
            <w:pPr>
              <w:rPr>
                <w:rFonts w:ascii="Times New Roman" w:hAnsi="Times New Roman" w:eastAsia="仿宋" w:cs="Times New Roman"/>
                <w:szCs w:val="21"/>
              </w:rPr>
            </w:pPr>
            <w:bookmarkStart w:id="6" w:name="OLE_LINK5"/>
            <w:r>
              <w:rPr>
                <w:rFonts w:ascii="Times New Roman" w:hAnsi="Times New Roman" w:eastAsia="仿宋" w:cs="Times New Roman"/>
                <w:szCs w:val="21"/>
              </w:rPr>
              <w:t>秸秆收储</w:t>
            </w:r>
            <w:bookmarkEnd w:id="6"/>
            <w:r>
              <w:rPr>
                <w:rFonts w:hint="eastAsia" w:ascii="Times New Roman" w:hAnsi="Times New Roman" w:eastAsia="仿宋" w:cs="Times New Roman"/>
                <w:szCs w:val="21"/>
                <w:lang w:val="en-US" w:eastAsia="zh-CN"/>
              </w:rPr>
              <w:t>2000</w:t>
            </w:r>
            <w:r>
              <w:rPr>
                <w:rFonts w:hint="eastAsia" w:ascii="Times New Roman" w:hAnsi="Times New Roman" w:eastAsia="仿宋" w:cs="Times New Roman"/>
                <w:szCs w:val="21"/>
              </w:rPr>
              <w:t>吨</w:t>
            </w:r>
          </w:p>
        </w:tc>
      </w:tr>
      <w:tr w14:paraId="73BA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426" w:type="dxa"/>
            <w:vAlign w:val="center"/>
          </w:tcPr>
          <w:p w14:paraId="1A9312FD">
            <w:pPr>
              <w:rPr>
                <w:rFonts w:ascii="Times New Roman" w:hAnsi="Times New Roman" w:eastAsia="仿宋" w:cs="Times New Roman"/>
                <w:szCs w:val="21"/>
              </w:rPr>
            </w:pPr>
            <w:r>
              <w:rPr>
                <w:rFonts w:ascii="Times New Roman" w:hAnsi="Times New Roman" w:eastAsia="仿宋" w:cs="Times New Roman"/>
                <w:szCs w:val="21"/>
              </w:rPr>
              <w:t>4</w:t>
            </w:r>
          </w:p>
        </w:tc>
        <w:tc>
          <w:tcPr>
            <w:tcW w:w="5239" w:type="dxa"/>
            <w:vAlign w:val="center"/>
          </w:tcPr>
          <w:p w14:paraId="174C3361">
            <w:pPr>
              <w:rPr>
                <w:rFonts w:ascii="Times New Roman" w:hAnsi="Times New Roman" w:eastAsia="仿宋" w:cs="Times New Roman"/>
                <w:szCs w:val="21"/>
              </w:rPr>
            </w:pPr>
            <w:r>
              <w:rPr>
                <w:rFonts w:ascii="Times New Roman" w:hAnsi="Times New Roman" w:eastAsia="仿宋" w:cs="Times New Roman"/>
                <w:szCs w:val="21"/>
              </w:rPr>
              <w:t>江西俊锴能源科技有限公司</w:t>
            </w:r>
          </w:p>
        </w:tc>
        <w:tc>
          <w:tcPr>
            <w:tcW w:w="851" w:type="dxa"/>
            <w:vAlign w:val="center"/>
          </w:tcPr>
          <w:p w14:paraId="615BBDF1">
            <w:pPr>
              <w:rPr>
                <w:rFonts w:hint="default" w:ascii="Times New Roman" w:hAnsi="Times New Roman" w:eastAsia="仿宋" w:cs="Times New Roman"/>
                <w:szCs w:val="21"/>
                <w:lang w:val="en-US" w:eastAsia="zh-CN"/>
              </w:rPr>
            </w:pPr>
            <w:r>
              <w:rPr>
                <w:rFonts w:hint="eastAsia" w:ascii="Times New Roman" w:hAnsi="Times New Roman" w:eastAsia="仿宋" w:cs="Times New Roman"/>
                <w:szCs w:val="21"/>
                <w:lang w:val="en-US" w:eastAsia="zh-CN"/>
              </w:rPr>
              <w:t>97</w:t>
            </w:r>
          </w:p>
        </w:tc>
        <w:tc>
          <w:tcPr>
            <w:tcW w:w="3685" w:type="dxa"/>
            <w:vAlign w:val="center"/>
          </w:tcPr>
          <w:p w14:paraId="1792BF1D">
            <w:pPr>
              <w:rPr>
                <w:rFonts w:ascii="Times New Roman" w:hAnsi="Times New Roman" w:eastAsia="仿宋" w:cs="Times New Roman"/>
                <w:szCs w:val="21"/>
              </w:rPr>
            </w:pPr>
            <w:r>
              <w:rPr>
                <w:rFonts w:ascii="Times New Roman" w:hAnsi="Times New Roman" w:eastAsia="仿宋" w:cs="Times New Roman"/>
                <w:szCs w:val="21"/>
              </w:rPr>
              <w:t>秸秆收储</w:t>
            </w:r>
            <w:r>
              <w:rPr>
                <w:rFonts w:hint="eastAsia" w:ascii="Times New Roman" w:hAnsi="Times New Roman" w:eastAsia="仿宋" w:cs="Times New Roman"/>
                <w:szCs w:val="21"/>
                <w:lang w:val="en-US" w:eastAsia="zh-CN"/>
              </w:rPr>
              <w:t>970</w:t>
            </w:r>
            <w:r>
              <w:rPr>
                <w:rFonts w:hint="eastAsia" w:ascii="Times New Roman" w:hAnsi="Times New Roman" w:eastAsia="仿宋" w:cs="Times New Roman"/>
                <w:szCs w:val="21"/>
              </w:rPr>
              <w:t>0吨</w:t>
            </w:r>
          </w:p>
        </w:tc>
      </w:tr>
      <w:tr w14:paraId="4F7B6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426" w:type="dxa"/>
            <w:vAlign w:val="center"/>
          </w:tcPr>
          <w:p w14:paraId="6430320C">
            <w:pPr>
              <w:rPr>
                <w:rFonts w:hint="eastAsia" w:ascii="Times New Roman" w:hAnsi="Times New Roman" w:eastAsia="仿宋" w:cs="Times New Roman"/>
                <w:szCs w:val="21"/>
                <w:lang w:val="en-US" w:eastAsia="zh-CN"/>
              </w:rPr>
            </w:pPr>
            <w:bookmarkStart w:id="7" w:name="_Hlk226480090"/>
            <w:r>
              <w:rPr>
                <w:rFonts w:hint="eastAsia" w:ascii="Times New Roman" w:hAnsi="Times New Roman" w:eastAsia="仿宋" w:cs="Times New Roman"/>
                <w:szCs w:val="21"/>
                <w:lang w:val="en-US" w:eastAsia="zh-CN"/>
              </w:rPr>
              <w:t>三</w:t>
            </w:r>
          </w:p>
        </w:tc>
        <w:tc>
          <w:tcPr>
            <w:tcW w:w="5239" w:type="dxa"/>
            <w:vAlign w:val="center"/>
          </w:tcPr>
          <w:p w14:paraId="27FCDCF0">
            <w:pPr>
              <w:rPr>
                <w:rFonts w:ascii="Times New Roman" w:hAnsi="Times New Roman" w:eastAsia="仿宋" w:cs="Times New Roman"/>
                <w:szCs w:val="21"/>
              </w:rPr>
            </w:pPr>
            <w:r>
              <w:rPr>
                <w:rFonts w:ascii="Times New Roman" w:hAnsi="Times New Roman" w:eastAsia="仿宋" w:cs="Times New Roman"/>
                <w:szCs w:val="21"/>
              </w:rPr>
              <w:t>秸秆还田效果监测、资源台账建设、宣传培训等工作</w:t>
            </w:r>
          </w:p>
        </w:tc>
        <w:tc>
          <w:tcPr>
            <w:tcW w:w="851" w:type="dxa"/>
            <w:vAlign w:val="center"/>
          </w:tcPr>
          <w:p w14:paraId="2AB4B037">
            <w:pPr>
              <w:rPr>
                <w:rFonts w:hint="default" w:ascii="Times New Roman" w:hAnsi="Times New Roman" w:eastAsia="仿宋" w:cs="Times New Roman"/>
                <w:szCs w:val="21"/>
                <w:lang w:val="en-US" w:eastAsia="zh-CN"/>
              </w:rPr>
            </w:pPr>
            <w:r>
              <w:rPr>
                <w:rFonts w:hint="eastAsia" w:ascii="Times New Roman" w:hAnsi="Times New Roman" w:eastAsia="仿宋" w:cs="Times New Roman"/>
                <w:szCs w:val="21"/>
                <w:lang w:val="en-US" w:eastAsia="zh-CN"/>
              </w:rPr>
              <w:t>13</w:t>
            </w:r>
          </w:p>
        </w:tc>
        <w:tc>
          <w:tcPr>
            <w:tcW w:w="3685" w:type="dxa"/>
            <w:vAlign w:val="center"/>
          </w:tcPr>
          <w:p w14:paraId="70D8FD54">
            <w:pPr>
              <w:rPr>
                <w:rFonts w:ascii="Times New Roman" w:hAnsi="Times New Roman" w:eastAsia="仿宋" w:cs="Times New Roman"/>
                <w:szCs w:val="21"/>
              </w:rPr>
            </w:pPr>
          </w:p>
        </w:tc>
      </w:tr>
      <w:tr w14:paraId="2D62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426" w:type="dxa"/>
            <w:vAlign w:val="center"/>
          </w:tcPr>
          <w:p w14:paraId="4C2DD237">
            <w:pPr>
              <w:rPr>
                <w:rFonts w:ascii="Times New Roman" w:hAnsi="Times New Roman" w:eastAsia="仿宋" w:cs="Times New Roman"/>
                <w:szCs w:val="21"/>
              </w:rPr>
            </w:pPr>
            <w:r>
              <w:rPr>
                <w:rFonts w:ascii="Times New Roman" w:hAnsi="Times New Roman" w:eastAsia="仿宋" w:cs="Times New Roman"/>
                <w:szCs w:val="21"/>
              </w:rPr>
              <w:t>1</w:t>
            </w:r>
          </w:p>
        </w:tc>
        <w:tc>
          <w:tcPr>
            <w:tcW w:w="5239" w:type="dxa"/>
            <w:vAlign w:val="center"/>
          </w:tcPr>
          <w:p w14:paraId="14E6560F">
            <w:pPr>
              <w:rPr>
                <w:rFonts w:ascii="Times New Roman" w:hAnsi="Times New Roman" w:eastAsia="仿宋" w:cs="Times New Roman"/>
                <w:szCs w:val="21"/>
              </w:rPr>
            </w:pPr>
            <w:r>
              <w:rPr>
                <w:rFonts w:ascii="Times New Roman" w:hAnsi="Times New Roman" w:eastAsia="仿宋" w:cs="Times New Roman"/>
                <w:szCs w:val="21"/>
              </w:rPr>
              <w:t>农作物秸秆资源台账建设</w:t>
            </w:r>
          </w:p>
        </w:tc>
        <w:tc>
          <w:tcPr>
            <w:tcW w:w="851" w:type="dxa"/>
            <w:vAlign w:val="center"/>
          </w:tcPr>
          <w:p w14:paraId="63803B43">
            <w:pPr>
              <w:rPr>
                <w:rFonts w:ascii="Times New Roman" w:hAnsi="Times New Roman" w:eastAsia="仿宋" w:cs="Times New Roman"/>
                <w:szCs w:val="21"/>
              </w:rPr>
            </w:pPr>
            <w:r>
              <w:rPr>
                <w:rFonts w:ascii="Times New Roman" w:hAnsi="Times New Roman" w:eastAsia="仿宋" w:cs="Times New Roman"/>
                <w:szCs w:val="21"/>
              </w:rPr>
              <w:t>5</w:t>
            </w:r>
          </w:p>
        </w:tc>
        <w:tc>
          <w:tcPr>
            <w:tcW w:w="3685" w:type="dxa"/>
            <w:vAlign w:val="center"/>
          </w:tcPr>
          <w:p w14:paraId="496E73EC">
            <w:pPr>
              <w:rPr>
                <w:rFonts w:ascii="Times New Roman" w:hAnsi="Times New Roman" w:eastAsia="仿宋" w:cs="Times New Roman"/>
                <w:szCs w:val="21"/>
              </w:rPr>
            </w:pPr>
          </w:p>
        </w:tc>
      </w:tr>
      <w:tr w14:paraId="7480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426" w:type="dxa"/>
            <w:vAlign w:val="center"/>
          </w:tcPr>
          <w:p w14:paraId="24619436">
            <w:pPr>
              <w:rPr>
                <w:rFonts w:ascii="Times New Roman" w:hAnsi="Times New Roman" w:eastAsia="仿宋" w:cs="Times New Roman"/>
                <w:szCs w:val="21"/>
              </w:rPr>
            </w:pPr>
            <w:r>
              <w:rPr>
                <w:rFonts w:ascii="Times New Roman" w:hAnsi="Times New Roman" w:eastAsia="仿宋" w:cs="Times New Roman"/>
                <w:szCs w:val="21"/>
              </w:rPr>
              <w:t>2</w:t>
            </w:r>
          </w:p>
        </w:tc>
        <w:tc>
          <w:tcPr>
            <w:tcW w:w="5239" w:type="dxa"/>
            <w:vAlign w:val="center"/>
          </w:tcPr>
          <w:p w14:paraId="4E7FB41B">
            <w:pPr>
              <w:rPr>
                <w:rFonts w:ascii="Times New Roman" w:hAnsi="Times New Roman" w:eastAsia="仿宋" w:cs="Times New Roman"/>
                <w:szCs w:val="21"/>
              </w:rPr>
            </w:pPr>
            <w:r>
              <w:rPr>
                <w:rFonts w:ascii="Times New Roman" w:hAnsi="Times New Roman" w:eastAsia="仿宋" w:cs="Times New Roman"/>
                <w:szCs w:val="21"/>
              </w:rPr>
              <w:t>秸秆还田效果监测</w:t>
            </w:r>
          </w:p>
        </w:tc>
        <w:tc>
          <w:tcPr>
            <w:tcW w:w="851" w:type="dxa"/>
            <w:vAlign w:val="center"/>
          </w:tcPr>
          <w:p w14:paraId="142D5D82">
            <w:pPr>
              <w:rPr>
                <w:rFonts w:ascii="Times New Roman" w:hAnsi="Times New Roman" w:eastAsia="仿宋" w:cs="Times New Roman"/>
                <w:szCs w:val="21"/>
              </w:rPr>
            </w:pPr>
            <w:r>
              <w:rPr>
                <w:rFonts w:ascii="Times New Roman" w:hAnsi="Times New Roman" w:eastAsia="仿宋" w:cs="Times New Roman"/>
                <w:szCs w:val="21"/>
              </w:rPr>
              <w:t>10</w:t>
            </w:r>
          </w:p>
        </w:tc>
        <w:tc>
          <w:tcPr>
            <w:tcW w:w="3685" w:type="dxa"/>
            <w:vAlign w:val="center"/>
          </w:tcPr>
          <w:p w14:paraId="2B68F4B5">
            <w:pPr>
              <w:rPr>
                <w:rFonts w:ascii="Times New Roman" w:hAnsi="Times New Roman" w:eastAsia="仿宋" w:cs="Times New Roman"/>
                <w:szCs w:val="21"/>
              </w:rPr>
            </w:pPr>
          </w:p>
        </w:tc>
      </w:tr>
      <w:tr w14:paraId="1E5A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426" w:type="dxa"/>
            <w:vAlign w:val="center"/>
          </w:tcPr>
          <w:p w14:paraId="026A6194">
            <w:pPr>
              <w:rPr>
                <w:rFonts w:ascii="Times New Roman" w:hAnsi="Times New Roman" w:eastAsia="仿宋" w:cs="Times New Roman"/>
                <w:szCs w:val="21"/>
              </w:rPr>
            </w:pPr>
            <w:r>
              <w:rPr>
                <w:rFonts w:hint="eastAsia" w:ascii="Times New Roman" w:hAnsi="Times New Roman" w:eastAsia="仿宋" w:cs="Times New Roman"/>
                <w:szCs w:val="21"/>
              </w:rPr>
              <w:t>3</w:t>
            </w:r>
          </w:p>
        </w:tc>
        <w:tc>
          <w:tcPr>
            <w:tcW w:w="5239" w:type="dxa"/>
            <w:vAlign w:val="center"/>
          </w:tcPr>
          <w:p w14:paraId="462E2A14">
            <w:pPr>
              <w:rPr>
                <w:rFonts w:ascii="Times New Roman" w:hAnsi="Times New Roman" w:eastAsia="仿宋" w:cs="Times New Roman"/>
                <w:szCs w:val="21"/>
              </w:rPr>
            </w:pPr>
            <w:r>
              <w:rPr>
                <w:rFonts w:ascii="Times New Roman" w:hAnsi="Times New Roman" w:eastAsia="仿宋" w:cs="Times New Roman"/>
                <w:szCs w:val="21"/>
              </w:rPr>
              <w:t>培训、宣传、推广</w:t>
            </w:r>
          </w:p>
        </w:tc>
        <w:tc>
          <w:tcPr>
            <w:tcW w:w="851" w:type="dxa"/>
            <w:vAlign w:val="center"/>
          </w:tcPr>
          <w:p w14:paraId="74112DC3">
            <w:pPr>
              <w:rPr>
                <w:rFonts w:ascii="Times New Roman" w:hAnsi="Times New Roman" w:eastAsia="仿宋" w:cs="Times New Roman"/>
                <w:szCs w:val="21"/>
              </w:rPr>
            </w:pPr>
            <w:r>
              <w:rPr>
                <w:rFonts w:ascii="Times New Roman" w:hAnsi="Times New Roman" w:eastAsia="仿宋" w:cs="Times New Roman"/>
                <w:szCs w:val="21"/>
              </w:rPr>
              <w:t>5</w:t>
            </w:r>
          </w:p>
        </w:tc>
        <w:tc>
          <w:tcPr>
            <w:tcW w:w="3685" w:type="dxa"/>
            <w:vAlign w:val="center"/>
          </w:tcPr>
          <w:p w14:paraId="52158348">
            <w:pPr>
              <w:rPr>
                <w:rFonts w:ascii="Times New Roman" w:hAnsi="Times New Roman" w:eastAsia="仿宋" w:cs="Times New Roman"/>
                <w:szCs w:val="21"/>
              </w:rPr>
            </w:pPr>
          </w:p>
        </w:tc>
      </w:tr>
      <w:bookmarkEnd w:id="7"/>
      <w:tr w14:paraId="179E6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665" w:type="dxa"/>
            <w:gridSpan w:val="2"/>
            <w:vAlign w:val="center"/>
          </w:tcPr>
          <w:p w14:paraId="06A199CC">
            <w:pPr>
              <w:rPr>
                <w:rFonts w:ascii="Times New Roman" w:hAnsi="Times New Roman" w:eastAsia="仿宋" w:cs="Times New Roman"/>
                <w:sz w:val="28"/>
                <w:szCs w:val="28"/>
              </w:rPr>
            </w:pPr>
            <w:r>
              <w:rPr>
                <w:rFonts w:ascii="Times New Roman" w:hAnsi="Times New Roman" w:eastAsia="仿宋" w:cs="Times New Roman"/>
                <w:sz w:val="28"/>
                <w:szCs w:val="28"/>
              </w:rPr>
              <w:t>合计</w:t>
            </w:r>
          </w:p>
        </w:tc>
        <w:tc>
          <w:tcPr>
            <w:tcW w:w="851" w:type="dxa"/>
            <w:vAlign w:val="center"/>
          </w:tcPr>
          <w:p w14:paraId="0095C9A8">
            <w:pPr>
              <w:rPr>
                <w:rFonts w:hint="default"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260</w:t>
            </w:r>
          </w:p>
        </w:tc>
        <w:tc>
          <w:tcPr>
            <w:tcW w:w="3685" w:type="dxa"/>
            <w:vAlign w:val="center"/>
          </w:tcPr>
          <w:p w14:paraId="0D65DB65">
            <w:pPr>
              <w:rPr>
                <w:rFonts w:ascii="Times New Roman" w:hAnsi="Times New Roman" w:eastAsia="仿宋" w:cs="Times New Roman"/>
                <w:sz w:val="28"/>
                <w:szCs w:val="28"/>
              </w:rPr>
            </w:pPr>
          </w:p>
        </w:tc>
      </w:tr>
    </w:tbl>
    <w:p w14:paraId="12E58BD8">
      <w:pPr>
        <w:pStyle w:val="5"/>
        <w:jc w:val="both"/>
        <w:rPr>
          <w:rFonts w:hint="eastAsia" w:eastAsia="仿宋" w:cs="Times New Roman"/>
          <w:lang w:val="en-US" w:eastAsia="zh-CN"/>
        </w:rPr>
      </w:pPr>
      <w:r>
        <w:rPr>
          <w:rFonts w:cs="Times New Roman"/>
        </w:rPr>
        <w:t>附件</w:t>
      </w:r>
      <w:r>
        <w:rPr>
          <w:rFonts w:hint="eastAsia" w:cs="Times New Roman"/>
          <w:lang w:val="en-US" w:eastAsia="zh-CN"/>
        </w:rPr>
        <w:t>5</w:t>
      </w:r>
    </w:p>
    <w:p w14:paraId="0B329E49">
      <w:pPr>
        <w:pStyle w:val="4"/>
        <w:rPr>
          <w:rFonts w:cs="Times New Roman"/>
        </w:rPr>
      </w:pPr>
      <w:r>
        <w:rPr>
          <w:rFonts w:cs="Times New Roman"/>
        </w:rPr>
        <w:t>浮梁县202</w:t>
      </w:r>
      <w:r>
        <w:rPr>
          <w:rFonts w:hint="eastAsia" w:cs="Times New Roman"/>
          <w:lang w:val="en-US" w:eastAsia="zh-CN"/>
        </w:rPr>
        <w:t>7</w:t>
      </w:r>
      <w:r>
        <w:rPr>
          <w:rFonts w:cs="Times New Roman"/>
        </w:rPr>
        <w:t>年农作物秆综合</w:t>
      </w:r>
      <w:r>
        <w:rPr>
          <w:rFonts w:hint="eastAsia" w:cs="Times New Roman"/>
        </w:rPr>
        <w:t>利用</w:t>
      </w:r>
      <w:r>
        <w:rPr>
          <w:rFonts w:cs="Times New Roman"/>
        </w:rPr>
        <w:t>重点县项目实施主体遴选、监督、评价、验收流程管理办法</w:t>
      </w:r>
    </w:p>
    <w:p w14:paraId="2FEF0E91">
      <w:pPr>
        <w:rPr>
          <w:rFonts w:ascii="Times New Roman" w:hAnsi="Times New Roman" w:eastAsia="仿宋" w:cs="Times New Roman"/>
          <w:sz w:val="30"/>
          <w:szCs w:val="30"/>
        </w:rPr>
      </w:pPr>
    </w:p>
    <w:p w14:paraId="010EA56D">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为推动 202</w:t>
      </w:r>
      <w:r>
        <w:rPr>
          <w:rFonts w:hint="eastAsia" w:ascii="Times New Roman" w:hAnsi="Times New Roman" w:eastAsia="仿宋" w:cs="Times New Roman"/>
          <w:sz w:val="30"/>
          <w:szCs w:val="30"/>
          <w:lang w:val="en-US" w:eastAsia="zh-CN"/>
        </w:rPr>
        <w:t>7</w:t>
      </w:r>
      <w:r>
        <w:rPr>
          <w:rFonts w:ascii="Times New Roman" w:hAnsi="Times New Roman" w:eastAsia="仿宋" w:cs="Times New Roman"/>
          <w:sz w:val="30"/>
          <w:szCs w:val="30"/>
        </w:rPr>
        <w:t>年农作物秸秆综合利用重点县项目顺利</w:t>
      </w:r>
      <w:r>
        <w:rPr>
          <w:rFonts w:hint="eastAsia" w:ascii="Times New Roman" w:hAnsi="Times New Roman" w:eastAsia="仿宋" w:cs="Times New Roman"/>
          <w:sz w:val="30"/>
          <w:szCs w:val="30"/>
        </w:rPr>
        <w:t>实施</w:t>
      </w:r>
      <w:r>
        <w:rPr>
          <w:rFonts w:ascii="Times New Roman" w:hAnsi="Times New Roman" w:eastAsia="仿宋" w:cs="Times New Roman"/>
          <w:sz w:val="30"/>
          <w:szCs w:val="30"/>
        </w:rPr>
        <w:t>，保质保量完成项目建设的各项工作任务，特制定本办法。</w:t>
      </w:r>
    </w:p>
    <w:p w14:paraId="29ECE46C">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一、实施主体遴选</w:t>
      </w:r>
    </w:p>
    <w:p w14:paraId="0003C1F4">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1.自主申报。</w:t>
      </w:r>
      <w:r>
        <w:rPr>
          <w:rFonts w:hint="eastAsia" w:ascii="Times New Roman" w:hAnsi="Times New Roman" w:eastAsia="仿宋" w:cs="Times New Roman"/>
          <w:sz w:val="30"/>
          <w:szCs w:val="30"/>
        </w:rPr>
        <w:t>在县域范围内</w:t>
      </w:r>
      <w:r>
        <w:rPr>
          <w:rFonts w:ascii="Times New Roman" w:hAnsi="Times New Roman" w:eastAsia="仿宋" w:cs="Times New Roman"/>
          <w:sz w:val="30"/>
          <w:szCs w:val="30"/>
        </w:rPr>
        <w:t>从事秸秆综合利用的相关企业社会化服务组织，按照属地管理原则，自愿向所在乡镇人民政府提出项目实施书面申请。项目申报材料应当目标明确、指标清晰全面量化，以便于验收、绩效考核工作开展。</w:t>
      </w:r>
    </w:p>
    <w:p w14:paraId="2B346DE5">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2.初步审核。乡镇人民政府对企业或社会化服务组织提交申报材料真实性、合规性及完整性进行初步审核；初审合格后推荐至市农业农村局。</w:t>
      </w:r>
    </w:p>
    <w:p w14:paraId="1568A786">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3.专家评审。县农业农村局组织农作物秸秆综合利用技术专家对各乡镇推荐申报的实施主体和申报材料进行评审；对评审合格的实施主体纳入秸秆综合利用试点项目库备案，</w:t>
      </w:r>
      <w:r>
        <w:rPr>
          <w:rFonts w:hint="eastAsia" w:ascii="Times New Roman" w:hAnsi="Times New Roman" w:eastAsia="仿宋" w:cs="Times New Roman"/>
          <w:sz w:val="30"/>
          <w:szCs w:val="30"/>
        </w:rPr>
        <w:t>将评审结果提交</w:t>
      </w:r>
      <w:r>
        <w:rPr>
          <w:rFonts w:ascii="Times New Roman" w:hAnsi="Times New Roman" w:eastAsia="仿宋" w:cs="Times New Roman"/>
          <w:sz w:val="30"/>
          <w:szCs w:val="30"/>
        </w:rPr>
        <w:t>局领导班子研究讨论，最终确定项目实施主体。</w:t>
      </w:r>
    </w:p>
    <w:p w14:paraId="6AEF879C">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二、项目监督</w:t>
      </w:r>
    </w:p>
    <w:p w14:paraId="023253E7">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1.实施项目监督，严格考核奖惩。将秸秆综合利用工作实施情况纳入目标考核体系，实行目标管理。对各乡镇秸秆综合利用情况开展检查督导和绩效评价，对不能保质保量完成建设任务、项目建成后闲置没有达产达效的进行通报批评。性质严重的，要严肃问责。要实行信息上报制度，各乡镇要安排专人，定期上报监管综合利用工作推进和项目建设进展情况。对秸秆综合利用行动计划实施中发现的违规违纪现象，坚决从重从严查处，严肃追究责任。</w:t>
      </w:r>
    </w:p>
    <w:p w14:paraId="5FC96B81">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2.强化项目督导。县农业农村局牵头组织有关单位不定期的对各实施主体承担的项目进展进行督查，查阅有关台账。</w:t>
      </w:r>
    </w:p>
    <w:p w14:paraId="4D2E229C">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3.强化社会监督。在秸秆综合利用项目实施过程中，严格秸秆禁烧管理制度，进一步完善秸秆禁烧目标管理责任制，细化、量化目标任务，建立监督体系。要通过多种形式听取社会公众的意见，充分反映社会公众的意愿，自觉接受公众的监督。完善有奖举报制度，鼓励公众检举焚烧的违法行为。</w:t>
      </w:r>
    </w:p>
    <w:p w14:paraId="7DF296FB">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4.狠抓安全生产。各项目实施主体从设计环节、施工环节、生产环节入手，建立健全安全生产管理制度，安排专业技术人员负责工程管理。定期组织安全检查，发现安全隐患，立即督促整改，确保各项安全生产制度落到实处，确保生产安全。</w:t>
      </w:r>
    </w:p>
    <w:p w14:paraId="5E9712FE">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5.强化资金监管。依据《农业农村部办公厅关于全面做好秸</w:t>
      </w:r>
    </w:p>
    <w:p w14:paraId="64C08532">
      <w:pPr>
        <w:spacing w:line="560" w:lineRule="exact"/>
        <w:rPr>
          <w:rFonts w:ascii="Times New Roman" w:hAnsi="Times New Roman" w:eastAsia="仿宋" w:cs="Times New Roman"/>
          <w:sz w:val="30"/>
          <w:szCs w:val="30"/>
        </w:rPr>
      </w:pPr>
      <w:r>
        <w:rPr>
          <w:rFonts w:ascii="Times New Roman" w:hAnsi="Times New Roman" w:eastAsia="仿宋" w:cs="Times New Roman"/>
          <w:sz w:val="30"/>
          <w:szCs w:val="30"/>
        </w:rPr>
        <w:t>秆综合利用的通知》</w:t>
      </w:r>
      <w:r>
        <w:rPr>
          <w:rFonts w:hint="eastAsia" w:ascii="Times New Roman" w:hAnsi="Times New Roman" w:eastAsia="仿宋" w:cs="Times New Roman"/>
          <w:sz w:val="30"/>
          <w:szCs w:val="30"/>
        </w:rPr>
        <w:t>（</w:t>
      </w:r>
      <w:r>
        <w:rPr>
          <w:rFonts w:ascii="Times New Roman" w:hAnsi="Times New Roman" w:eastAsia="仿宋" w:cs="Times New Roman"/>
          <w:sz w:val="30"/>
          <w:szCs w:val="30"/>
        </w:rPr>
        <w:t>农科办〔2019〕20号</w:t>
      </w:r>
      <w:r>
        <w:rPr>
          <w:rFonts w:hint="eastAsia" w:ascii="Times New Roman" w:hAnsi="Times New Roman" w:eastAsia="仿宋" w:cs="Times New Roman"/>
          <w:sz w:val="30"/>
          <w:szCs w:val="30"/>
        </w:rPr>
        <w:t>）</w:t>
      </w:r>
      <w:r>
        <w:rPr>
          <w:rFonts w:ascii="Times New Roman" w:hAnsi="Times New Roman" w:eastAsia="仿宋" w:cs="Times New Roman"/>
          <w:sz w:val="30"/>
          <w:szCs w:val="30"/>
        </w:rPr>
        <w:t>文件精神，做</w:t>
      </w:r>
      <w:r>
        <w:rPr>
          <w:rFonts w:hint="eastAsia" w:ascii="Times New Roman" w:hAnsi="Times New Roman" w:eastAsia="仿宋" w:cs="Times New Roman"/>
          <w:sz w:val="30"/>
          <w:szCs w:val="30"/>
        </w:rPr>
        <w:t>好</w:t>
      </w:r>
      <w:r>
        <w:rPr>
          <w:rFonts w:ascii="Times New Roman" w:hAnsi="Times New Roman" w:eastAsia="仿宋" w:cs="Times New Roman"/>
          <w:sz w:val="30"/>
          <w:szCs w:val="30"/>
        </w:rPr>
        <w:t>政策公开、资金安排公开、奖补结果公开、接受社会监督。资金监管严格按照资金管理暂行办法，专款专用，</w:t>
      </w:r>
      <w:r>
        <w:rPr>
          <w:rFonts w:hint="eastAsia" w:ascii="Times New Roman" w:hAnsi="Times New Roman" w:eastAsia="仿宋" w:cs="Times New Roman"/>
          <w:sz w:val="30"/>
          <w:szCs w:val="30"/>
        </w:rPr>
        <w:t>加强项目实施主体资格审查</w:t>
      </w:r>
      <w:r>
        <w:rPr>
          <w:rFonts w:ascii="Times New Roman" w:hAnsi="Times New Roman" w:eastAsia="仿宋" w:cs="Times New Roman"/>
          <w:sz w:val="30"/>
          <w:szCs w:val="30"/>
        </w:rPr>
        <w:t>，强化资金管理，实行信息公开，受社会监督。在项目实施过程中，加强督办检查，</w:t>
      </w:r>
      <w:r>
        <w:rPr>
          <w:rFonts w:hint="eastAsia" w:ascii="Times New Roman" w:hAnsi="Times New Roman" w:eastAsia="仿宋" w:cs="Times New Roman"/>
          <w:sz w:val="30"/>
          <w:szCs w:val="30"/>
        </w:rPr>
        <w:t>归纳总结行之有效的资金管理经验</w:t>
      </w:r>
      <w:r>
        <w:rPr>
          <w:rFonts w:ascii="Times New Roman" w:hAnsi="Times New Roman" w:eastAsia="仿宋" w:cs="Times New Roman"/>
          <w:sz w:val="30"/>
          <w:szCs w:val="30"/>
        </w:rPr>
        <w:t>；同时，对项目实施进行</w:t>
      </w:r>
      <w:r>
        <w:rPr>
          <w:rFonts w:hint="eastAsia" w:ascii="Times New Roman" w:hAnsi="Times New Roman" w:eastAsia="仿宋" w:cs="Times New Roman"/>
          <w:sz w:val="30"/>
          <w:szCs w:val="30"/>
        </w:rPr>
        <w:t>绩效考核评价结果</w:t>
      </w:r>
      <w:r>
        <w:rPr>
          <w:rFonts w:ascii="Times New Roman" w:hAnsi="Times New Roman" w:eastAsia="仿宋" w:cs="Times New Roman"/>
          <w:sz w:val="30"/>
          <w:szCs w:val="30"/>
        </w:rPr>
        <w:t>作为今后专项资金安排的重要依据。</w:t>
      </w:r>
    </w:p>
    <w:p w14:paraId="48C2B0B8">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三、项目评价</w:t>
      </w:r>
    </w:p>
    <w:p w14:paraId="70026FB6">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1.定期对项目实施效果进行检查。绩效目标管理要紧紧围绕项目总体目标进行。并按要求定期跟踪，对实施情况进行检查。检查主要包括状态检查和工作过程检查两方面内容。项目的状态检查，主要检查项目的绩效是否达到要求，项目投资是否在预算之内，以及项目管理的范围是否正确；项目的工作过程检查重点在于检查项目管理工作开展情况，是否满足要求，</w:t>
      </w:r>
      <w:r>
        <w:rPr>
          <w:rFonts w:hint="eastAsia" w:ascii="Times New Roman" w:hAnsi="Times New Roman" w:eastAsia="仿宋" w:cs="Times New Roman"/>
          <w:sz w:val="30"/>
          <w:szCs w:val="30"/>
        </w:rPr>
        <w:t>是否</w:t>
      </w:r>
      <w:r>
        <w:rPr>
          <w:rFonts w:ascii="Times New Roman" w:hAnsi="Times New Roman" w:eastAsia="仿宋" w:cs="Times New Roman"/>
          <w:sz w:val="30"/>
          <w:szCs w:val="30"/>
        </w:rPr>
        <w:t>需要改进。</w:t>
      </w:r>
    </w:p>
    <w:p w14:paraId="28849666">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2.编写项目绩效报告。项目绩效报告是对项目执行期间的关键指标、绩效目标进行监控的结果，是对项目能否圆满成功的早期预警，能够及时反映出某一时间点上项目状态、问题，并提出改进措施。</w:t>
      </w:r>
      <w:r>
        <w:rPr>
          <w:rFonts w:hint="eastAsia" w:ascii="Times New Roman" w:hAnsi="Times New Roman" w:eastAsia="仿宋" w:cs="Times New Roman"/>
          <w:sz w:val="30"/>
          <w:szCs w:val="30"/>
        </w:rPr>
        <w:t>编写绩效报告前，组织召开秸秆综合利用重点项目工作会议，全面梳理项目实施进展、存在问题和整改措施，形成绩效评价基础材料</w:t>
      </w:r>
      <w:r>
        <w:rPr>
          <w:rFonts w:ascii="Times New Roman" w:hAnsi="Times New Roman" w:eastAsia="仿宋" w:cs="Times New Roman"/>
          <w:sz w:val="30"/>
          <w:szCs w:val="30"/>
        </w:rPr>
        <w:t>。</w:t>
      </w:r>
    </w:p>
    <w:p w14:paraId="018A9582">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四、规范验收流程</w:t>
      </w:r>
    </w:p>
    <w:p w14:paraId="7920289F">
      <w:pPr>
        <w:spacing w:line="560" w:lineRule="exact"/>
        <w:ind w:firstLine="600" w:firstLineChars="200"/>
        <w:rPr>
          <w:rFonts w:hint="eastAsia" w:eastAsia="仿宋"/>
          <w:lang w:eastAsia="zh-CN"/>
        </w:rPr>
      </w:pPr>
      <w:r>
        <w:rPr>
          <w:rFonts w:ascii="Times New Roman" w:hAnsi="Times New Roman" w:eastAsia="仿宋" w:cs="Times New Roman"/>
          <w:sz w:val="30"/>
          <w:szCs w:val="30"/>
        </w:rPr>
        <w:t>1.验收前提。各项目实施主体在项目实施过程中要完善好各项申报材料、台账资料，这是项目验收的首要前提。建立台账清单，内容包含：（1）秸秆综合利用工作领导小组成立文件；（2）秸秆综合利用技术</w:t>
      </w:r>
      <w:r>
        <w:rPr>
          <w:rFonts w:hint="eastAsia" w:ascii="Times New Roman" w:hAnsi="Times New Roman" w:eastAsia="仿宋" w:cs="Times New Roman"/>
          <w:sz w:val="30"/>
          <w:szCs w:val="30"/>
        </w:rPr>
        <w:t>指导</w:t>
      </w:r>
      <w:r>
        <w:rPr>
          <w:rFonts w:ascii="Times New Roman" w:hAnsi="Times New Roman" w:eastAsia="仿宋" w:cs="Times New Roman"/>
          <w:sz w:val="30"/>
          <w:szCs w:val="30"/>
        </w:rPr>
        <w:t>专家</w:t>
      </w:r>
      <w:r>
        <w:rPr>
          <w:rFonts w:hint="eastAsia" w:ascii="Times New Roman" w:hAnsi="Times New Roman" w:eastAsia="仿宋" w:cs="Times New Roman"/>
          <w:sz w:val="30"/>
          <w:szCs w:val="30"/>
        </w:rPr>
        <w:t>名单</w:t>
      </w:r>
      <w:r>
        <w:rPr>
          <w:rFonts w:ascii="Times New Roman" w:hAnsi="Times New Roman" w:eastAsia="仿宋" w:cs="Times New Roman"/>
          <w:sz w:val="30"/>
          <w:szCs w:val="30"/>
        </w:rPr>
        <w:t>；（3）年终考核制度文件（市级提供）；（4）秸秆综合利用年度实施方案；（5）秸秆综合利用年度工作总结报告；（6）秸秆综合利用宣传培训情况资料，应包含通知、人员签到表以及相关照片5-6张；（7）秸秆综合利用其他相关材料，涉及试验示范需要填写方案、试验总结报告和数据；（8）工作佐证材料，包括物资采购收据、工作开展</w:t>
      </w:r>
      <w:r>
        <w:rPr>
          <w:rFonts w:hint="eastAsia" w:ascii="Times New Roman" w:hAnsi="Times New Roman" w:eastAsia="仿宋" w:cs="Times New Roman"/>
          <w:sz w:val="30"/>
          <w:szCs w:val="30"/>
        </w:rPr>
        <w:t>照片</w:t>
      </w:r>
      <w:r>
        <w:rPr>
          <w:rFonts w:ascii="Times New Roman" w:hAnsi="Times New Roman" w:eastAsia="仿宋" w:cs="Times New Roman"/>
          <w:sz w:val="30"/>
          <w:szCs w:val="30"/>
        </w:rPr>
        <w:t>等</w:t>
      </w:r>
      <w:r>
        <w:rPr>
          <w:rFonts w:hint="eastAsia" w:ascii="Times New Roman" w:hAnsi="Times New Roman" w:eastAsia="仿宋" w:cs="Times New Roman"/>
          <w:sz w:val="30"/>
          <w:szCs w:val="30"/>
          <w:lang w:eastAsia="zh-CN"/>
        </w:rPr>
        <w:t>。</w:t>
      </w:r>
    </w:p>
    <w:p w14:paraId="6E82124B">
      <w:pPr>
        <w:spacing w:line="56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2.资金奖补。项目实施完成后，各项目实施主体书面申请验收，并准备好验收资料，经县、乡两级核验合格后全额拨付资金。</w:t>
      </w:r>
    </w:p>
    <w:p w14:paraId="200C6F67">
      <w:pPr>
        <w:pStyle w:val="2"/>
        <w:ind w:firstLine="281"/>
      </w:pPr>
      <w:r>
        <w:br w:type="page"/>
      </w:r>
    </w:p>
    <w:p w14:paraId="1EA0EA74">
      <w:pPr>
        <w:pStyle w:val="5"/>
        <w:jc w:val="both"/>
        <w:rPr>
          <w:rFonts w:hint="eastAsia" w:eastAsia="仿宋" w:cs="Times New Roman"/>
          <w:lang w:val="en-US" w:eastAsia="zh-CN"/>
        </w:rPr>
      </w:pPr>
      <w:r>
        <w:rPr>
          <w:rFonts w:cs="Times New Roman"/>
        </w:rPr>
        <w:t>附件</w:t>
      </w:r>
      <w:r>
        <w:rPr>
          <w:rFonts w:hint="eastAsia" w:cs="Times New Roman"/>
          <w:lang w:val="en-US" w:eastAsia="zh-CN"/>
        </w:rPr>
        <w:t>6</w:t>
      </w:r>
    </w:p>
    <w:p w14:paraId="1E4F2674">
      <w:pPr>
        <w:pStyle w:val="4"/>
        <w:jc w:val="center"/>
        <w:rPr>
          <w:rFonts w:cs="Times New Roman"/>
          <w:sz w:val="30"/>
          <w:szCs w:val="30"/>
        </w:rPr>
      </w:pPr>
      <w:r>
        <w:rPr>
          <w:rFonts w:cs="Times New Roman"/>
        </w:rPr>
        <w:t>浮梁县农作物秸秆还田效果监测方案</w:t>
      </w:r>
    </w:p>
    <w:p w14:paraId="5181BB09">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一、监测目的</w:t>
      </w:r>
    </w:p>
    <w:p w14:paraId="4CF67FA8">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通过在典型区域布设秸秆还田监测点，持续跟踪其在提升土壤肥力、促进作物增产、增强农户收益以及推动土壤固碳减排等方面的实际作用，系统评估不同秸秆还田技术的成效，为优化还田模式、完善支持政策、并服务农业农村领域碳达峰与碳中和进程提供可靠的数据基础与科学依据。</w:t>
      </w:r>
    </w:p>
    <w:p w14:paraId="781B0C2E">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二、监测范围</w:t>
      </w:r>
    </w:p>
    <w:p w14:paraId="14D374B7">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浮梁县202</w:t>
      </w:r>
      <w:r>
        <w:rPr>
          <w:rFonts w:hint="eastAsia" w:ascii="Times New Roman" w:hAnsi="Times New Roman" w:eastAsia="仿宋" w:cs="Times New Roman"/>
          <w:sz w:val="30"/>
          <w:szCs w:val="30"/>
          <w:lang w:val="en-US" w:eastAsia="zh-CN"/>
        </w:rPr>
        <w:t>7</w:t>
      </w:r>
      <w:r>
        <w:rPr>
          <w:rFonts w:ascii="Times New Roman" w:hAnsi="Times New Roman" w:eastAsia="仿宋" w:cs="Times New Roman"/>
          <w:sz w:val="30"/>
          <w:szCs w:val="30"/>
        </w:rPr>
        <w:t>年农作物秸秆综合利用</w:t>
      </w:r>
    </w:p>
    <w:p w14:paraId="270BDD95">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三、监测点布设</w:t>
      </w:r>
    </w:p>
    <w:p w14:paraId="0D4061D7">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（一）监测点地点：浮梁县。</w:t>
      </w:r>
    </w:p>
    <w:p w14:paraId="01296BD6">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（二）监测周期：监测周期为全年。</w:t>
      </w:r>
    </w:p>
    <w:p w14:paraId="5804BEAF">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四、监测内容</w:t>
      </w:r>
    </w:p>
    <w:p w14:paraId="4A5FDCAF">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结合当地生产实际，因地制宜设置监测处理方案，并依据作物生育周期开展观测工作。重点围绕监测点的气候条件、栽培管理措施、田间作物生长状况及土壤特性等内容开展监测。</w:t>
      </w:r>
    </w:p>
    <w:p w14:paraId="552AE6F0">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（一）气象条件和栽培措施</w:t>
      </w:r>
    </w:p>
    <w:p w14:paraId="69EA7A13">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1.气象条件：记录监测光照、气温、降水条件。</w:t>
      </w:r>
    </w:p>
    <w:p w14:paraId="635A1287">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2.栽培措施：记录监测整地、施肥、灌溉、病虫草害防</w:t>
      </w:r>
    </w:p>
    <w:p w14:paraId="4EAC6CEF">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治相关信息。</w:t>
      </w:r>
    </w:p>
    <w:p w14:paraId="09635DFA">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（二）作物田间生产情况</w:t>
      </w:r>
    </w:p>
    <w:p w14:paraId="0913E3CC">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田间情况：开展作物倒伏情况调查，并记录病害、虫害和杂草发生状况。</w:t>
      </w:r>
    </w:p>
    <w:p w14:paraId="5E634A5D">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生产情况：详细登记作物种类与品种、播种及收获日期、最终产量等信息，同时监测收获后留茬高度、草谷比、秸秆理论产量与可收集量、秸秆腐解程度，以及秸秆中碳、氮、磷、钾等养分含量。</w:t>
      </w:r>
    </w:p>
    <w:p w14:paraId="0ACDFFDA">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（三）土壤状况</w:t>
      </w:r>
    </w:p>
    <w:p w14:paraId="1BDCFD7A">
      <w:pPr>
        <w:widowControl/>
        <w:ind w:firstLine="600" w:firstLineChars="200"/>
        <w:jc w:val="left"/>
        <w:rPr>
          <w:rFonts w:ascii="Times New Roman" w:hAnsi="Times New Roman" w:eastAsia="仿宋" w:cs="Times New Roman"/>
          <w:sz w:val="30"/>
          <w:szCs w:val="30"/>
        </w:rPr>
      </w:pPr>
      <w:bookmarkStart w:id="8" w:name="OLE_LINK2"/>
      <w:r>
        <w:rPr>
          <w:rFonts w:ascii="Times New Roman" w:hAnsi="Times New Roman" w:eastAsia="仿宋" w:cs="Times New Roman"/>
          <w:sz w:val="30"/>
          <w:szCs w:val="30"/>
        </w:rPr>
        <w:t>1.基础地力：</w:t>
      </w:r>
    </w:p>
    <w:p w14:paraId="707AF26F">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功能类指标包括土壤 pH、土壤有机质含量、水稳性团聚体、容重、田间持水量、土壤温度、全氮、碱解氮及有效钾等；结构类指标涵盖耕层深度和犁底层厚度。</w:t>
      </w:r>
    </w:p>
    <w:p w14:paraId="6EBA2E7A">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2.温室气体排放：监测农田土壤主要温室气体（CH</w:t>
      </w:r>
      <w:r>
        <w:rPr>
          <w:rFonts w:ascii="Times New Roman" w:hAnsi="Times New Roman" w:eastAsia="仿宋" w:cs="Times New Roman"/>
          <w:sz w:val="30"/>
          <w:szCs w:val="30"/>
          <w:vertAlign w:val="subscript"/>
        </w:rPr>
        <w:t>4</w:t>
      </w:r>
      <w:r>
        <w:rPr>
          <w:rFonts w:ascii="Times New Roman" w:hAnsi="Times New Roman" w:eastAsia="仿宋" w:cs="Times New Roman"/>
          <w:sz w:val="30"/>
          <w:szCs w:val="30"/>
        </w:rPr>
        <w:t>、N</w:t>
      </w:r>
      <w:r>
        <w:rPr>
          <w:rFonts w:ascii="Times New Roman" w:hAnsi="Times New Roman" w:eastAsia="仿宋" w:cs="Times New Roman"/>
          <w:sz w:val="30"/>
          <w:szCs w:val="30"/>
          <w:vertAlign w:val="subscript"/>
        </w:rPr>
        <w:t>2</w:t>
      </w:r>
      <w:r>
        <w:rPr>
          <w:rFonts w:ascii="Times New Roman" w:hAnsi="Times New Roman" w:eastAsia="仿宋" w:cs="Times New Roman"/>
          <w:sz w:val="30"/>
          <w:szCs w:val="30"/>
        </w:rPr>
        <w:t>O）排放通量。（核心监测点开展）</w:t>
      </w:r>
    </w:p>
    <w:p w14:paraId="5F86ACA7">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3.土壤有机碳组分：在0–20 cm 与20–40 cm土层监测总有机碳、可溶性有机碳、颗粒态有机碳及矿物结合态有机碳的变化（核心监测点开展）。</w:t>
      </w:r>
    </w:p>
    <w:bookmarkEnd w:id="8"/>
    <w:p w14:paraId="6993773B">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五、技术支持</w:t>
      </w:r>
    </w:p>
    <w:p w14:paraId="4AD7A2FC">
      <w:pPr>
        <w:widowControl/>
        <w:ind w:firstLine="600" w:firstLineChars="200"/>
        <w:jc w:val="left"/>
      </w:pPr>
      <w:r>
        <w:rPr>
          <w:rFonts w:hint="eastAsia" w:ascii="Times New Roman" w:hAnsi="Times New Roman" w:eastAsia="仿宋" w:cs="Times New Roman"/>
          <w:sz w:val="30"/>
          <w:szCs w:val="30"/>
        </w:rPr>
        <w:t>肖超—江西农业大学青年教授（牵头负责人）。项目参与人员：（程新田）—县农业农村局高级农艺师；（刘荣标）—县农业农村局高级畜牧兽医师；（严永红）—县农业农村局高级农艺师；（方爱莲）—县农业农村局高级农艺师；（项水兰）—县农业农村局高级农艺师；（汪欢龙）—县农业农村局高级农艺师。彭慧玲—博士研究生（江西农业大学）；李浩贤—硕士研究生（江西农业大学）；江运林—硕士研究生（江西农业大学）；王岳骞—硕士研究生（江西农业大学）；喻浩—本科生（江西农业大学）；李金屿—本科生（江西农业大学）。</w:t>
      </w:r>
    </w:p>
    <w:p w14:paraId="2E992BFF">
      <w:pPr>
        <w:widowControl/>
        <w:ind w:firstLine="600" w:firstLineChars="200"/>
        <w:jc w:val="left"/>
        <w:rPr>
          <w:rFonts w:ascii="Times New Roman" w:hAnsi="Times New Roman" w:eastAsia="仿宋" w:cs="Times New Roman"/>
          <w:sz w:val="30"/>
          <w:szCs w:val="30"/>
        </w:rPr>
      </w:pPr>
      <w:r>
        <w:rPr>
          <w:rFonts w:ascii="Times New Roman" w:hAnsi="Times New Roman" w:eastAsia="仿宋" w:cs="Times New Roman"/>
          <w:sz w:val="30"/>
          <w:szCs w:val="30"/>
        </w:rPr>
        <w:t>六、结果分析</w:t>
      </w:r>
    </w:p>
    <w:p w14:paraId="42560ECB">
      <w:pPr>
        <w:widowControl/>
        <w:ind w:firstLine="600" w:firstLineChars="200"/>
        <w:jc w:val="left"/>
        <w:rPr>
          <w:rFonts w:ascii="Times New Roman" w:hAnsi="Times New Roman"/>
        </w:rPr>
        <w:sectPr>
          <w:pgSz w:w="11906" w:h="16838"/>
          <w:pgMar w:top="1440" w:right="1800" w:bottom="1440" w:left="1800" w:header="851" w:footer="992" w:gutter="0"/>
          <w:cols w:space="425" w:num="1"/>
          <w:docGrid w:type="lines" w:linePitch="312" w:charSpace="0"/>
        </w:sectPr>
      </w:pPr>
      <w:r>
        <w:rPr>
          <w:rFonts w:ascii="Times New Roman" w:hAnsi="Times New Roman" w:eastAsia="仿宋" w:cs="Times New Roman"/>
          <w:sz w:val="30"/>
          <w:szCs w:val="30"/>
        </w:rPr>
        <w:t>总结全年开展监测工作进展和取得效果，梳理存在问题和提出工作建议，形成监测分析报告。</w:t>
      </w:r>
    </w:p>
    <w:p w14:paraId="12E24BD8">
      <w:pPr>
        <w:pStyle w:val="7"/>
        <w:spacing w:before="0" w:beforeAutospacing="0" w:after="0" w:afterAutospacing="0" w:line="560" w:lineRule="exact"/>
        <w:jc w:val="both"/>
        <w:rPr>
          <w:rFonts w:ascii="Times New Roman" w:hAnsi="Times New Roman" w:eastAsia="宋体"/>
          <w:sz w:val="30"/>
          <w:szCs w:val="30"/>
          <w:shd w:val="clear" w:color="auto" w:fill="FFFFFF"/>
        </w:rPr>
      </w:pPr>
    </w:p>
    <w:p w14:paraId="43186A05">
      <w:pPr>
        <w:rPr>
          <w:rFonts w:hint="default" w:ascii="仿宋" w:hAnsi="仿宋" w:eastAsia="仿宋" w:cs="仿宋"/>
          <w:sz w:val="32"/>
          <w:szCs w:val="32"/>
          <w:lang w:val="en-US" w:eastAsia="zh-CN"/>
        </w:rPr>
      </w:pPr>
    </w:p>
    <w:p w14:paraId="16F6326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9E4647"/>
    <w:rsid w:val="0A6517A7"/>
    <w:rsid w:val="289E4647"/>
    <w:rsid w:val="61E616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line="360" w:lineRule="auto"/>
      <w:outlineLvl w:val="0"/>
    </w:pPr>
    <w:rPr>
      <w:rFonts w:ascii="Times New Roman" w:hAnsi="Times New Roman" w:eastAsia="仿宋"/>
      <w:b/>
      <w:bCs/>
      <w:kern w:val="44"/>
      <w:sz w:val="32"/>
      <w:szCs w:val="44"/>
    </w:rPr>
  </w:style>
  <w:style w:type="paragraph" w:styleId="5">
    <w:name w:val="heading 2"/>
    <w:basedOn w:val="1"/>
    <w:next w:val="1"/>
    <w:link w:val="11"/>
    <w:unhideWhenUsed/>
    <w:qFormat/>
    <w:uiPriority w:val="0"/>
    <w:pPr>
      <w:keepNext/>
      <w:keepLines/>
      <w:spacing w:line="360" w:lineRule="auto"/>
      <w:jc w:val="left"/>
      <w:outlineLvl w:val="1"/>
    </w:pPr>
    <w:rPr>
      <w:rFonts w:ascii="Times New Roman" w:hAnsi="Times New Roman" w:eastAsia="仿宋" w:cstheme="majorBidi"/>
      <w:b/>
      <w:bCs/>
      <w:sz w:val="32"/>
      <w:szCs w:val="32"/>
    </w:rPr>
  </w:style>
  <w:style w:type="paragraph" w:styleId="6">
    <w:name w:val="heading 3"/>
    <w:basedOn w:val="1"/>
    <w:next w:val="1"/>
    <w:unhideWhenUsed/>
    <w:qFormat/>
    <w:uiPriority w:val="0"/>
    <w:pPr>
      <w:keepNext/>
      <w:keepLines/>
      <w:spacing w:line="360" w:lineRule="auto"/>
      <w:outlineLvl w:val="2"/>
    </w:pPr>
    <w:rPr>
      <w:rFonts w:ascii="Times New Roman" w:hAnsi="Times New Roman" w:eastAsia="仿宋"/>
      <w:bCs/>
      <w:sz w:val="30"/>
      <w:szCs w:val="32"/>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widowControl w:val="0"/>
      <w:spacing w:after="0"/>
      <w:ind w:firstLine="420" w:firstLineChars="100"/>
      <w:jc w:val="both"/>
    </w:pPr>
    <w:rPr>
      <w:rFonts w:ascii="宋体" w:hAnsi="宋体" w:eastAsia="宋体" w:cs="Times New Roman"/>
      <w:kern w:val="0"/>
      <w:sz w:val="28"/>
      <w:szCs w:val="24"/>
      <w:lang w:val="en-US" w:eastAsia="zh-CN" w:bidi="ar-SA"/>
    </w:rPr>
  </w:style>
  <w:style w:type="paragraph" w:styleId="3">
    <w:name w:val="Body Text"/>
    <w:basedOn w:val="1"/>
    <w:unhideWhenUsed/>
    <w:qFormat/>
    <w:uiPriority w:val="99"/>
    <w:pPr>
      <w:adjustRightInd/>
      <w:spacing w:line="240" w:lineRule="auto"/>
      <w:textAlignment w:val="auto"/>
    </w:pPr>
    <w:rPr>
      <w:rFonts w:ascii="Times New Roman" w:hAnsi="Times New Roman" w:eastAsia="仿宋_GB2312"/>
      <w:kern w:val="2"/>
      <w:sz w:val="32"/>
    </w:rPr>
  </w:style>
  <w:style w:type="paragraph" w:styleId="7">
    <w:name w:val="Normal (Web)"/>
    <w:basedOn w:val="1"/>
    <w:qFormat/>
    <w:uiPriority w:val="0"/>
    <w:pPr>
      <w:spacing w:before="100" w:beforeAutospacing="1" w:after="100"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标题 2 字符"/>
    <w:basedOn w:val="10"/>
    <w:link w:val="5"/>
    <w:qFormat/>
    <w:uiPriority w:val="0"/>
    <w:rPr>
      <w:rFonts w:ascii="Times New Roman" w:hAnsi="Times New Roman" w:eastAsia="仿宋"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12253</Words>
  <Characters>12504</Characters>
  <Lines>0</Lines>
  <Paragraphs>0</Paragraphs>
  <TotalTime>6</TotalTime>
  <ScaleCrop>false</ScaleCrop>
  <LinksUpToDate>false</LinksUpToDate>
  <CharactersWithSpaces>12601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2026-09-04T06:21:00Z</dcterms:created>
  <dc:creator>严永红</dc:creator>
  <cp:lastModifiedBy>鸩</cp:lastModifiedBy>
  <dcterms:modified xsi:type="dcterms:W3CDTF">2026-09-14T07:28:53Z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29DACEC6ED5D4223AE4CC498E18A7DAE_13</vt:lpwstr>
  </property>
  <property fmtid="{D5CDD505-2E9C-101B-9397-08002B2CF9AE}" pid="4" name="KSOTemplateDocerSaveRecord">
    <vt:lpwstr>eyJoZGlkIjoiODA3ZGY0NmNmZWRlNjI2ZDhmNTYyMWExZWU3NTBiOTQiLCJ1c2VySWQiOiIzMTQ0Njc3MTkifQ==</vt:lpwstr>
  </property>
</Properties>
</file>