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color w:val="000000" w:themeColor="text1"/>
          <w:sz w:val="24"/>
          <w14:textFill>
            <w14:solidFill>
              <w14:schemeClr w14:val="tx1"/>
            </w14:solidFill>
          </w14:textFill>
        </w:rPr>
      </w:pPr>
    </w:p>
    <w:p>
      <w:pPr>
        <w:spacing w:line="560" w:lineRule="exact"/>
        <w:rPr>
          <w:rFonts w:eastAsia="仿宋_GB2312"/>
          <w:color w:val="000000" w:themeColor="text1"/>
          <w:sz w:val="24"/>
          <w14:textFill>
            <w14:solidFill>
              <w14:schemeClr w14:val="tx1"/>
            </w14:solidFill>
          </w14:textFill>
        </w:rPr>
      </w:pPr>
    </w:p>
    <w:p>
      <w:pPr>
        <w:spacing w:line="560" w:lineRule="exact"/>
        <w:rPr>
          <w:rFonts w:eastAsia="仿宋_GB2312"/>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z w:val="24"/>
          <w14:textFill>
            <w14:solidFill>
              <w14:schemeClr w14:val="tx1"/>
            </w14:solidFill>
          </w14:textFill>
        </w:rPr>
      </w:pPr>
    </w:p>
    <w:p>
      <w:pPr>
        <w:pStyle w:val="13"/>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olor w:val="000000" w:themeColor="text1"/>
          <w:sz w:val="24"/>
          <w14:textFill>
            <w14:solidFill>
              <w14:schemeClr w14:val="tx1"/>
            </w14:solidFill>
          </w14:textFill>
        </w:rPr>
      </w:pPr>
    </w:p>
    <w:p>
      <w:pPr>
        <w:spacing w:line="600" w:lineRule="exact"/>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浮府办发〔20</w:t>
      </w:r>
      <w:r>
        <w:rPr>
          <w:rFonts w:hint="eastAsia" w:ascii="仿宋" w:hAnsi="仿宋" w:eastAsia="仿宋"/>
          <w:color w:val="000000" w:themeColor="text1"/>
          <w:sz w:val="32"/>
          <w:szCs w:val="32"/>
          <w:lang w:val="en-US" w:eastAsia="zh-CN"/>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pPr>
        <w:pStyle w:val="4"/>
        <w:keepNext w:val="0"/>
        <w:keepLines w:val="0"/>
        <w:pageBreakBefore w:val="0"/>
        <w:widowControl/>
        <w:kinsoku/>
        <w:wordWrap/>
        <w:overflowPunct/>
        <w:topLinePunct w:val="0"/>
        <w:autoSpaceDE/>
        <w:autoSpaceDN/>
        <w:bidi w:val="0"/>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浮梁县人民政府办公室</w:t>
      </w:r>
    </w:p>
    <w:p>
      <w:pPr>
        <w:pStyle w:val="4"/>
        <w:keepNext w:val="0"/>
        <w:keepLines w:val="0"/>
        <w:pageBreakBefore w:val="0"/>
        <w:widowControl/>
        <w:kinsoku/>
        <w:wordWrap/>
        <w:overflowPunct/>
        <w:topLinePunct w:val="0"/>
        <w:autoSpaceDE/>
        <w:autoSpaceDN/>
        <w:bidi w:val="0"/>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关于印发关于加快推进粮食生产全程机械化的实施意见的通知</w:t>
      </w:r>
    </w:p>
    <w:p>
      <w:pPr>
        <w:spacing w:line="560" w:lineRule="exact"/>
        <w:rPr>
          <w:rFonts w:ascii="仿宋" w:hAnsi="仿宋" w:eastAsia="仿宋" w:cs="仿宋"/>
          <w:color w:val="000000" w:themeColor="text1"/>
          <w:sz w:val="32"/>
          <w:szCs w:val="32"/>
          <w14:textFill>
            <w14:solidFill>
              <w14:schemeClr w14:val="tx1"/>
            </w14:solidFill>
          </w14:textFill>
        </w:rPr>
      </w:pPr>
    </w:p>
    <w:p>
      <w:pPr>
        <w:spacing w:line="560" w:lineRule="exact"/>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各乡（镇）人民政府，县政府各有关部门：</w:t>
      </w:r>
    </w:p>
    <w:p>
      <w:pPr>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《关于加快推进粮食生产全程机械化的实施意见》已经县政府常务会议同意，现印发给你们，请认真贯彻执行。</w:t>
      </w:r>
    </w:p>
    <w:p>
      <w:pPr>
        <w:pStyle w:val="7"/>
        <w:keepNext w:val="0"/>
        <w:keepLines w:val="0"/>
        <w:pageBreakBefore w:val="0"/>
        <w:widowControl w:val="0"/>
        <w:kinsoku/>
        <w:wordWrap/>
        <w:overflowPunct/>
        <w:topLinePunct w:val="0"/>
        <w:autoSpaceDE/>
        <w:autoSpaceDN/>
        <w:bidi w:val="0"/>
        <w:adjustRightInd/>
        <w:snapToGrid/>
        <w:spacing w:afterAutospacing="0" w:line="600" w:lineRule="exact"/>
        <w:ind w:left="0" w:right="0" w:rightChars="0" w:firstLine="640" w:firstLineChars="200"/>
        <w:textAlignment w:val="auto"/>
        <w:rPr>
          <w:rFonts w:hint="eastAsia" w:ascii="方正仿宋_GBK" w:hAnsi="方正仿宋_GBK" w:eastAsia="方正仿宋_GBK" w:cs="方正仿宋_GBK"/>
          <w:color w:val="000000" w:themeColor="text1"/>
          <w:spacing w:val="0"/>
          <w:w w:val="10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rightChars="0" w:firstLine="640" w:firstLineChars="200"/>
        <w:textAlignment w:val="auto"/>
        <w:rPr>
          <w:rFonts w:hint="eastAsia" w:ascii="方正仿宋_GBK" w:hAnsi="方正仿宋_GBK" w:eastAsia="方正仿宋_GBK" w:cs="方正仿宋_GBK"/>
          <w:color w:val="000000" w:themeColor="text1"/>
          <w:kern w:val="0"/>
          <w:sz w:val="32"/>
          <w:szCs w:val="32"/>
          <w:u w:val="none"/>
          <w:lang w:val="en-US" w:eastAsia="zh-CN" w:bidi="ar"/>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afterAutospacing="0" w:line="600" w:lineRule="exact"/>
        <w:ind w:left="0" w:right="0" w:rightChars="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（此件主动公开）</w:t>
      </w:r>
    </w:p>
    <w:p>
      <w:pP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br w:type="page"/>
      </w:r>
    </w:p>
    <w:p>
      <w:pPr>
        <w:pStyle w:val="3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关于加快推进粮食生产全程</w:t>
      </w:r>
    </w:p>
    <w:p>
      <w:pPr>
        <w:pStyle w:val="3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机械化的实施意见</w:t>
      </w:r>
    </w:p>
    <w:p>
      <w:pPr>
        <w:pStyle w:val="36"/>
        <w:keepNext w:val="0"/>
        <w:keepLines w:val="0"/>
        <w:pageBreakBefore w:val="0"/>
        <w:widowControl w:val="0"/>
        <w:kinsoku/>
        <w:wordWrap/>
        <w:topLinePunct w:val="0"/>
        <w:autoSpaceDE/>
        <w:autoSpaceDN/>
        <w:bidi w:val="0"/>
        <w:adjustRightInd/>
        <w:snapToGrid/>
        <w:spacing w:line="560" w:lineRule="exact"/>
        <w:textAlignment w:val="auto"/>
        <w:rPr>
          <w:rFonts w:eastAsia="仿宋"/>
          <w:color w:val="000000" w:themeColor="text1"/>
          <w:sz w:val="32"/>
          <w:szCs w:val="32"/>
          <w14:textFill>
            <w14:solidFill>
              <w14:schemeClr w14:val="tx1"/>
            </w14:solidFill>
          </w14:textFill>
        </w:rPr>
      </w:pP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为深入贯彻落实党中央、国务院关于推动农业机械化发展的决策部署，落实《</w:t>
      </w:r>
      <w:r>
        <w:rPr>
          <w:rFonts w:hint="eastAsia" w:ascii="方正仿宋_GBK" w:hAnsi="方正仿宋_GBK" w:eastAsia="方正仿宋_GBK" w:cs="方正仿宋_GBK"/>
          <w:bCs/>
          <w:color w:val="000000" w:themeColor="text1"/>
          <w:sz w:val="32"/>
          <w:szCs w:val="32"/>
          <w14:textFill>
            <w14:solidFill>
              <w14:schemeClr w14:val="tx1"/>
            </w14:solidFill>
          </w14:textFill>
        </w:rPr>
        <w:t>景德镇市人民政府办公室关于加快推进粮食生产全程机械化的实施意见》</w:t>
      </w:r>
      <w:r>
        <w:rPr>
          <w:rFonts w:hint="eastAsia" w:ascii="方正仿宋_GBK" w:hAnsi="方正仿宋_GBK" w:eastAsia="方正仿宋_GBK" w:cs="方正仿宋_GBK"/>
          <w:color w:val="000000" w:themeColor="text1"/>
          <w:sz w:val="32"/>
          <w:szCs w:val="32"/>
          <w14:textFill>
            <w14:solidFill>
              <w14:schemeClr w14:val="tx1"/>
            </w14:solidFill>
          </w14:textFill>
        </w:rPr>
        <w:t>（景府办发〔2021〕4号）精神，深入实施“藏粮于地、藏粮于技”战略，</w:t>
      </w:r>
      <w:r>
        <w:rPr>
          <w:rFonts w:hint="eastAsia" w:ascii="方正仿宋_GBK" w:hAnsi="方正仿宋_GBK" w:eastAsia="方正仿宋_GBK" w:cs="方正仿宋_GBK"/>
          <w:bCs/>
          <w:color w:val="000000" w:themeColor="text1"/>
          <w:sz w:val="32"/>
          <w:szCs w:val="32"/>
          <w14:textFill>
            <w14:solidFill>
              <w14:schemeClr w14:val="tx1"/>
            </w14:solidFill>
          </w14:textFill>
        </w:rPr>
        <w:t>加快推进我县</w:t>
      </w:r>
      <w:r>
        <w:rPr>
          <w:rFonts w:hint="eastAsia" w:ascii="方正仿宋_GBK" w:hAnsi="方正仿宋_GBK" w:eastAsia="方正仿宋_GBK" w:cs="方正仿宋_GBK"/>
          <w:color w:val="000000" w:themeColor="text1"/>
          <w:sz w:val="32"/>
          <w:szCs w:val="32"/>
          <w14:textFill>
            <w14:solidFill>
              <w14:schemeClr w14:val="tx1"/>
            </w14:solidFill>
          </w14:textFill>
        </w:rPr>
        <w:t>粮食生产全程机械化，全力保障国家粮食安全，提出如下实施意见。</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27" w:firstLineChars="196"/>
        <w:jc w:val="both"/>
        <w:textAlignment w:val="auto"/>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一、总体要求</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0" w:name="_GoBack"/>
      <w:bookmarkEnd w:id="0"/>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（一）指导思想。</w:t>
      </w:r>
      <w:r>
        <w:rPr>
          <w:rFonts w:hint="eastAsia" w:ascii="方正仿宋_GBK" w:hAnsi="方正仿宋_GBK" w:eastAsia="方正仿宋_GBK" w:cs="方正仿宋_GBK"/>
          <w:color w:val="000000" w:themeColor="text1"/>
          <w:sz w:val="32"/>
          <w:szCs w:val="32"/>
          <w14:textFill>
            <w14:solidFill>
              <w14:schemeClr w14:val="tx1"/>
            </w14:solidFill>
          </w14:textFill>
        </w:rPr>
        <w:t>以习近平新时代中国特色社会主义思想为指导，认真贯彻落实习近平总书记关于推动农业机械化发展的重要指示批示精神，立足保障国家粮食安全，破解农业机械化发展不平衡不充分的问题，补短板、强弱项，提升粮食生产全程机械化，助力全面实施乡村振兴战略，加快推进农业农村现代化，为奋力开创新时代浮梁县域经济高质量跨越式发展新局面提供有力支撑。</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（二）目标任务。</w:t>
      </w:r>
      <w:r>
        <w:rPr>
          <w:rFonts w:hint="eastAsia" w:ascii="方正仿宋_GBK" w:hAnsi="方正仿宋_GBK" w:eastAsia="方正仿宋_GBK" w:cs="方正仿宋_GBK"/>
          <w:color w:val="000000" w:themeColor="text1"/>
          <w:sz w:val="32"/>
          <w:szCs w:val="32"/>
          <w14:textFill>
            <w14:solidFill>
              <w14:schemeClr w14:val="tx1"/>
            </w14:solidFill>
          </w14:textFill>
        </w:rPr>
        <w:t>大力实施水稻生产全程机械化“补短板”行动，坚持问题导向，以全程机械化综合农事服务中心建设为抓手，探索“政府引导、市场主导、资本融入、社会参与”的运行机制，培育壮大农业社会化服务组织，为保障国家粮食生产提供有力支撑。</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力争到2025年，全县主要农作物耕种收综合机械化率达到85%，建设1-2个水稻全程机械化综合农事服务中心、6个小型水稻机械化育秧中心，跻身“全国基本实现主要农作物生产全程机械化示范县”行列，农业社会化服务专业化、信息化、市场化能力快速提升，农机作业水平不断提高，</w:t>
      </w:r>
      <w:r>
        <w:rPr>
          <w:rFonts w:hint="eastAsia" w:ascii="方正仿宋_GBK" w:hAnsi="方正仿宋_GBK" w:eastAsia="方正仿宋_GBK" w:cs="方正仿宋_GBK"/>
          <w:color w:val="000000" w:themeColor="text1"/>
          <w:sz w:val="32"/>
          <w:szCs w:val="32"/>
          <w14:textFill>
            <w14:solidFill>
              <w14:schemeClr w14:val="tx1"/>
            </w14:solidFill>
          </w14:textFill>
        </w:rPr>
        <w:t>覆盖农业产前产中产后全产业链的社会化服务体系基本形成。</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t>二、主要任务</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（三）加快推进水稻生产全程机械化。</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充分发挥农机购置补贴政策导向作用，持续抓好机耕、机植保、机收、机烘等生产环节，着力补齐水稻机插短板，打通水稻生产全程机械化“最后一公里”，到2025年，水稻机械化种植水平达50%以上。县财政将农机购置列入补贴目录并</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对</w:t>
      </w:r>
      <w:r>
        <w:rPr>
          <w:rFonts w:hint="eastAsia" w:ascii="方正仿宋_GBK" w:hAnsi="方正仿宋_GBK" w:eastAsia="方正仿宋_GBK" w:cs="方正仿宋_GBK"/>
          <w:color w:val="000000" w:themeColor="text1"/>
          <w:kern w:val="0"/>
          <w:sz w:val="32"/>
          <w:szCs w:val="32"/>
          <w14:textFill>
            <w14:solidFill>
              <w14:schemeClr w14:val="tx1"/>
            </w14:solidFill>
          </w14:textFill>
        </w:rPr>
        <w:t>适宜本地区所需重要农产品生产机具开展累加补贴，以推进我县农业生产薄弱环节机械化和特色农业生产机械化发展。</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（县农业农村局、县财政局、各乡（镇）人民政府等按职责分工负责）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（四）培育壮大农业社会化服务组织。</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按照市场化运作方式，支持投资主体和服务主体，开展全程机械化综合农事服务中心建设。鼓励各类专业公司、农民合作社、供销合作社联合社、全程机械化综合农事服务中心、农村集体经济组织、服务专业户等主体开展农业社会化服务。鼓励农机产销企业、农业社会化服务组织和农机使用大户开展农机维修服务，建立农机维修、保养互助协会，引导农户做好农机维修、保养等工作。落实设施农业用地政策，优先保障全程机械化综合农事服务中心、水稻机械化育秧中心及农机集中存放、维修场地等用地需求，并按规定减免相关税费。</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（县农业农村局、县发改委、县自然资源规划局、县供销社、县税务局、各乡（镇）人民政府等按职责分工负责）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27" w:firstLineChars="196"/>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（五）创新农机服务机制。</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因地制宜发展单环节、多环节、全程生产托管等多种服务模式，大力培育“服务主体+农村集体经济组织+小农户”“服务主体+各类新型经营主</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体</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小农户”等多种组织形式。发挥供销、邮政等系统的优势，推动国有企业在农业社会化服务方面的龙头带动作用。强化农业社会化服务组织与种粮大户的深度融合，培育一批“农机装备全、懂技术、善经营、会管理”的水稻生产全程机械化示范户，带动小农户发展。加大对粮食生产关键薄弱环节托管服务支持力度，开展政府购买农机社会化服务试点。</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（县农业农村局、县财政局、县供销社、各乡（镇）人民政府等按职责分工负责）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（六）提高农机作业便利程度。</w:t>
      </w:r>
      <w:r>
        <w:rPr>
          <w:rFonts w:hint="eastAsia" w:ascii="方正仿宋_GBK" w:hAnsi="方正仿宋_GBK" w:eastAsia="方正仿宋_GBK" w:cs="方正仿宋_GBK"/>
          <w:color w:val="000000" w:themeColor="text1"/>
          <w:sz w:val="32"/>
          <w:szCs w:val="32"/>
          <w14:textFill>
            <w14:solidFill>
              <w14:schemeClr w14:val="tx1"/>
            </w14:solidFill>
          </w14:textFill>
        </w:rPr>
        <w:t>大力推进农田宜机化改造，推动高标准农田种植作物实现全程机械化。深入推进深脚田、坡地田及不宜机田块、农机具无通行道路的治理和修复等工作，科学制定基本农田上的电力、电信等设施的宜机化改造方案，切实改善农机通行和作业条件，提高农机适应性。提倡农田保护性耕作，鼓励使用履带式机具开展田间作业。支持丘陵山区开展农田“宜机化”改造，扩展大中型农机运用空间，加快补齐丘陵山区农业机械化基础条件薄弱的短板。</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（县农业农村局、国家电网浮梁县供电公司、各乡（镇）人民政府等按职责分工负责）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（七）构建高效机械化生产体系。</w:t>
      </w:r>
      <w:r>
        <w:rPr>
          <w:rFonts w:hint="eastAsia" w:ascii="方正仿宋_GBK" w:hAnsi="方正仿宋_GBK" w:eastAsia="方正仿宋_GBK" w:cs="方正仿宋_GBK"/>
          <w:color w:val="000000" w:themeColor="text1"/>
          <w:sz w:val="32"/>
          <w:szCs w:val="32"/>
          <w14:textFill>
            <w14:solidFill>
              <w14:schemeClr w14:val="tx1"/>
            </w14:solidFill>
          </w14:textFill>
        </w:rPr>
        <w:t>加快选育、推广适于机械化作业、轻简化栽培的作物品种。将适应机械化作为农作物品种审定、耕作制度变革、产后加工工艺改进、农田基本建设等工作的重要指标，促进良种、良法、良机、良地、良制配套，为全程机械化作业、规模化生产创造条件。熟化推广一批“双季稻”“稻油”“稻稻油”“稻再油”生产全程机械化示范区（片）。支持示范区（片）开展形式多样的机具作业现场观摩和职业技能培训等活动。充分发挥现代农业产业园、农业科技园等科技支撑引领作用，提高农业机械化科技创新能力。引导有条件的乡镇整建制率先基本实现主要农作物生产全程机械化。</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（县农业农村局、县教体局、县人社局、各乡（镇）人民政府等按职责分工负责）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（八）强化农机科技支撑。</w:t>
      </w:r>
      <w:r>
        <w:rPr>
          <w:rFonts w:hint="eastAsia" w:ascii="方正仿宋_GBK" w:hAnsi="方正仿宋_GBK" w:eastAsia="方正仿宋_GBK" w:cs="方正仿宋_GBK"/>
          <w:color w:val="000000" w:themeColor="text1"/>
          <w:sz w:val="32"/>
          <w:szCs w:val="32"/>
          <w14:textFill>
            <w14:solidFill>
              <w14:schemeClr w14:val="tx1"/>
            </w14:solidFill>
          </w14:textFill>
        </w:rPr>
        <w:t>加强薄弱环节农业机械化技术创新研究和农机装备研发、推广和应用，攻克制约农业机械化全程全面高质高效发展的技术难题。支持建立以企业为主体、科研院校为支撑的农机装备产业协同创新机制，推进农机装备产业创新中心、农机装备企业技术中心建设，加快研制一批适合我县农业生产特点和需求的农机产品。紧密结合区域农业产业发展需要，以优势农机装备企业为龙头，带动区域特色农机装备产业集群建设，推动农机装备产业转型升级。</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（县工信局、县财政局、县农业农村局、县科技局等按职责分工负责）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（九）加强农机人才队伍建设。</w:t>
      </w:r>
      <w:r>
        <w:rPr>
          <w:rFonts w:hint="eastAsia" w:ascii="方正仿宋_GBK" w:hAnsi="方正仿宋_GBK" w:eastAsia="方正仿宋_GBK" w:cs="方正仿宋_GBK"/>
          <w:color w:val="000000" w:themeColor="text1"/>
          <w:sz w:val="32"/>
          <w:szCs w:val="32"/>
          <w14:textFill>
            <w14:solidFill>
              <w14:schemeClr w14:val="tx1"/>
            </w14:solidFill>
          </w14:textFill>
        </w:rPr>
        <w:t>大力培养、引进和使用农业机械、农业工程类专业技术人员。支持有关院校、农机企业、农机合作社等深度合作，探索“双主体”育人机制，推行学徒制人才培养模式，推进招生招工一体化。鼓励大中专毕业生、退伍军人、科技人员等返乡下乡创办领办农业社会化服务组织，打造一支懂农业、爱农村、爱农民的一线农机人才队伍。强化基层农机化推广和农机监理体系建设，强化农机人才培养，将专业机手培训纳入职业技能提升和高素质农民培育工程。</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（县教体局、县人社局、县农业农村局、各乡（镇）人民政府等按职责分工负责）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t>三、工作要求</w:t>
      </w:r>
    </w:p>
    <w:p>
      <w:pPr>
        <w:pStyle w:val="36"/>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（十）加强组织领导。</w:t>
      </w:r>
      <w:r>
        <w:rPr>
          <w:rFonts w:hint="eastAsia" w:ascii="方正仿宋_GBK" w:hAnsi="方正仿宋_GBK" w:eastAsia="方正仿宋_GBK" w:cs="方正仿宋_GBK"/>
          <w:color w:val="000000" w:themeColor="text1"/>
          <w:sz w:val="32"/>
          <w:szCs w:val="32"/>
          <w14:textFill>
            <w14:solidFill>
              <w14:schemeClr w14:val="tx1"/>
            </w14:solidFill>
          </w14:textFill>
        </w:rPr>
        <w:t>各乡（镇）人民政府要认真研究实施乡村振兴战略对农机装备的需求，将其作为保障国家粮食安全、推进农业农村现代化的重要内容，认真抓好落实。要建立健全由农业农村部门牵头、相关部门参与的农业机械化发展协调推进机制，明确部门责任，形成工作合力，破解制约农机化发展的突出问题。要把加快推进农业机械化升级作为推进农业农村现代化的重要内容，纳入本地区经济社会发展规划和议事日程，科学编制本地区“十四五”农业机械化发展规划，进一步完善农机行业管理制度和公共服务方法。</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（县农业农村局、各乡（镇）人民政府负责）</w:t>
      </w:r>
    </w:p>
    <w:p>
      <w:pPr>
        <w:pStyle w:val="36"/>
        <w:keepNext w:val="0"/>
        <w:keepLines w:val="0"/>
        <w:pageBreakBefore w:val="0"/>
        <w:widowControl w:val="0"/>
        <w:kinsoku/>
        <w:wordWrap/>
        <w:topLinePunct w:val="0"/>
        <w:autoSpaceDE/>
        <w:autoSpaceDN/>
        <w:bidi w:val="0"/>
        <w:adjustRightInd/>
        <w:snapToGrid/>
        <w:spacing w:line="560" w:lineRule="exact"/>
        <w:ind w:firstLine="627" w:firstLineChars="196"/>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（十一）加强政策支持。</w:t>
      </w:r>
      <w:r>
        <w:rPr>
          <w:rFonts w:hint="eastAsia" w:ascii="方正仿宋_GBK" w:hAnsi="方正仿宋_GBK" w:eastAsia="方正仿宋_GBK" w:cs="方正仿宋_GBK"/>
          <w:color w:val="000000" w:themeColor="text1"/>
          <w:sz w:val="32"/>
          <w:szCs w:val="32"/>
          <w14:textFill>
            <w14:solidFill>
              <w14:schemeClr w14:val="tx1"/>
            </w14:solidFill>
          </w14:textFill>
        </w:rPr>
        <w:t>县财政将统筹现有资金渠道，支持农业机械化提升行动，按要求将相关经费纳入财政预算。并认真落实国家关于取消、停征和免征涉及农机行政性事业收费政策，确保各项目标任务如期完成。落实税收优惠政策，对批发和零售农机产品取得的收入，免征增值税；对农民合作社向本社成员销售的农膜、种子、种苗、农药、农机，免征增值税。对从事农机作业和维修服务项目取得的所得，免征企业所得税。加大对农机服务基础设施建设等信贷支持力度，因地制宜推行农机抵押、信用贷款、综合保险等业务。鼓励创设支持农业生产托管的金融产品。引导融资租赁公司对符合条件的农业相关企业开展业务。</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（县财政局、县农业农村局、县税务局、县政府金融办、各乡（镇）人民政府等按职责分工负责）</w:t>
      </w:r>
    </w:p>
    <w:p>
      <w:pPr>
        <w:pStyle w:val="36"/>
        <w:keepNext w:val="0"/>
        <w:keepLines w:val="0"/>
        <w:pageBreakBefore w:val="0"/>
        <w:widowControl w:val="0"/>
        <w:kinsoku/>
        <w:wordWrap/>
        <w:topLinePunct w:val="0"/>
        <w:autoSpaceDE/>
        <w:autoSpaceDN/>
        <w:bidi w:val="0"/>
        <w:adjustRightInd/>
        <w:snapToGrid/>
        <w:spacing w:line="560" w:lineRule="exact"/>
        <w:ind w:firstLine="627" w:firstLineChars="196"/>
        <w:jc w:val="both"/>
        <w:textAlignment w:val="auto"/>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（十二）加强绩效考核。</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结合粮食安全省长责任制考核、高质量发展综合绩效考核和乡村振兴战略实绩考核等，重点对粮食生产耕种收综合机械化率、全程机械化示范区（片）等进行考核，考评结果与下一年度有关专项资金分配相挂钩。对农机作业托管服务、全程机械化综合农事服务中心和水稻机械化育秧中心建设等项目，实施绩效考核，重点评估项目任务完成情况、资金落实、使用情况等，绩效评估结果与项目资金安排挂钩。推进过程中实行督促指导、情况通报、约谈诫勉制度，对工作推进不力的，进行约谈和通报。</w:t>
      </w: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（县农业农村局、各乡（镇）人民政府负责）</w:t>
      </w: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pStyle w:val="7"/>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6"/>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抄送：县</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委各部门、县纪委办、县人大办、县政协办、县人武部</w:t>
      </w:r>
      <w:r>
        <w:rPr>
          <w:rFonts w:hint="eastAsia" w:ascii="方正仿宋_GBK" w:hAnsi="方正仿宋_GBK" w:eastAsia="方正仿宋_GBK" w:cs="方正仿宋_GBK"/>
          <w:color w:val="000000" w:themeColor="text1"/>
          <w:spacing w:val="-6"/>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科、县法院、县检察院、群众团体、新闻单位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日印发</w:t>
      </w:r>
    </w:p>
    <w:sectPr>
      <w:headerReference r:id="rId3" w:type="default"/>
      <w:footerReference r:id="rId4" w:type="default"/>
      <w:pgSz w:w="11906" w:h="16838"/>
      <w:pgMar w:top="2098" w:right="1587" w:bottom="1984" w:left="1587" w:header="851" w:footer="1701"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20"/>
                              <w:rFonts w:hint="eastAsia" w:asciiTheme="minorEastAsia" w:hAnsiTheme="minorEastAsia" w:eastAsiaTheme="minorEastAsia" w:cstheme="minorEastAsia"/>
                              <w:sz w:val="28"/>
                              <w:szCs w:val="28"/>
                              <w:lang w:val="en-US" w:eastAsia="zh-CN"/>
                            </w:rPr>
                          </w:pPr>
                          <w:r>
                            <w:rPr>
                              <w:rStyle w:val="20"/>
                              <w:rFonts w:hint="eastAsia" w:asciiTheme="minorEastAsia" w:hAnsiTheme="minorEastAsia" w:cstheme="minorEastAsia"/>
                              <w:sz w:val="28"/>
                              <w:szCs w:val="28"/>
                              <w:lang w:val="en-US" w:eastAsia="zh-CN"/>
                            </w:rPr>
                            <w:t xml:space="preserve">— </w:t>
                          </w:r>
                          <w:r>
                            <w:rPr>
                              <w:rStyle w:val="20"/>
                              <w:rFonts w:hint="eastAsia" w:asciiTheme="minorEastAsia" w:hAnsiTheme="minorEastAsia" w:cstheme="minorEastAsia"/>
                              <w:sz w:val="28"/>
                              <w:szCs w:val="28"/>
                              <w:lang w:val="en-US" w:eastAsia="zh-CN"/>
                            </w:rPr>
                            <w:fldChar w:fldCharType="begin"/>
                          </w:r>
                          <w:r>
                            <w:rPr>
                              <w:rStyle w:val="20"/>
                              <w:rFonts w:hint="eastAsia" w:asciiTheme="minorEastAsia" w:hAnsiTheme="minorEastAsia" w:cstheme="minorEastAsia"/>
                              <w:sz w:val="28"/>
                              <w:szCs w:val="28"/>
                              <w:lang w:val="en-US" w:eastAsia="zh-CN"/>
                            </w:rPr>
                            <w:instrText xml:space="preserve"> PAGE  \* MERGEFORMAT </w:instrText>
                          </w:r>
                          <w:r>
                            <w:rPr>
                              <w:rStyle w:val="20"/>
                              <w:rFonts w:hint="eastAsia" w:asciiTheme="minorEastAsia" w:hAnsiTheme="minorEastAsia" w:cstheme="minorEastAsia"/>
                              <w:sz w:val="28"/>
                              <w:szCs w:val="28"/>
                              <w:lang w:val="en-US" w:eastAsia="zh-CN"/>
                            </w:rPr>
                            <w:fldChar w:fldCharType="separate"/>
                          </w:r>
                          <w:r>
                            <w:rPr>
                              <w:rStyle w:val="20"/>
                              <w:rFonts w:hint="eastAsia" w:asciiTheme="minorEastAsia" w:hAnsiTheme="minorEastAsia" w:cstheme="minorEastAsia"/>
                              <w:sz w:val="28"/>
                              <w:szCs w:val="28"/>
                              <w:lang w:val="en-US" w:eastAsia="zh-CN"/>
                            </w:rPr>
                            <w:t>6</w:t>
                          </w:r>
                          <w:r>
                            <w:rPr>
                              <w:rStyle w:val="20"/>
                              <w:rFonts w:hint="eastAsia" w:asciiTheme="minorEastAsia" w:hAnsiTheme="minorEastAsia" w:cstheme="minorEastAsia"/>
                              <w:sz w:val="28"/>
                              <w:szCs w:val="28"/>
                              <w:lang w:val="en-US" w:eastAsia="zh-CN"/>
                            </w:rPr>
                            <w:fldChar w:fldCharType="end"/>
                          </w:r>
                          <w:r>
                            <w:rPr>
                              <w:rStyle w:val="20"/>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Style w:val="20"/>
                        <w:rFonts w:hint="eastAsia" w:asciiTheme="minorEastAsia" w:hAnsiTheme="minorEastAsia" w:eastAsiaTheme="minorEastAsia" w:cstheme="minorEastAsia"/>
                        <w:sz w:val="28"/>
                        <w:szCs w:val="28"/>
                        <w:lang w:val="en-US" w:eastAsia="zh-CN"/>
                      </w:rPr>
                    </w:pPr>
                    <w:r>
                      <w:rPr>
                        <w:rStyle w:val="20"/>
                        <w:rFonts w:hint="eastAsia" w:asciiTheme="minorEastAsia" w:hAnsiTheme="minorEastAsia" w:cstheme="minorEastAsia"/>
                        <w:sz w:val="28"/>
                        <w:szCs w:val="28"/>
                        <w:lang w:val="en-US" w:eastAsia="zh-CN"/>
                      </w:rPr>
                      <w:t xml:space="preserve">— </w:t>
                    </w:r>
                    <w:r>
                      <w:rPr>
                        <w:rStyle w:val="20"/>
                        <w:rFonts w:hint="eastAsia" w:asciiTheme="minorEastAsia" w:hAnsiTheme="minorEastAsia" w:cstheme="minorEastAsia"/>
                        <w:sz w:val="28"/>
                        <w:szCs w:val="28"/>
                        <w:lang w:val="en-US" w:eastAsia="zh-CN"/>
                      </w:rPr>
                      <w:fldChar w:fldCharType="begin"/>
                    </w:r>
                    <w:r>
                      <w:rPr>
                        <w:rStyle w:val="20"/>
                        <w:rFonts w:hint="eastAsia" w:asciiTheme="minorEastAsia" w:hAnsiTheme="minorEastAsia" w:cstheme="minorEastAsia"/>
                        <w:sz w:val="28"/>
                        <w:szCs w:val="28"/>
                        <w:lang w:val="en-US" w:eastAsia="zh-CN"/>
                      </w:rPr>
                      <w:instrText xml:space="preserve"> PAGE  \* MERGEFORMAT </w:instrText>
                    </w:r>
                    <w:r>
                      <w:rPr>
                        <w:rStyle w:val="20"/>
                        <w:rFonts w:hint="eastAsia" w:asciiTheme="minorEastAsia" w:hAnsiTheme="minorEastAsia" w:cstheme="minorEastAsia"/>
                        <w:sz w:val="28"/>
                        <w:szCs w:val="28"/>
                        <w:lang w:val="en-US" w:eastAsia="zh-CN"/>
                      </w:rPr>
                      <w:fldChar w:fldCharType="separate"/>
                    </w:r>
                    <w:r>
                      <w:rPr>
                        <w:rStyle w:val="20"/>
                        <w:rFonts w:hint="eastAsia" w:asciiTheme="minorEastAsia" w:hAnsiTheme="minorEastAsia" w:cstheme="minorEastAsia"/>
                        <w:sz w:val="28"/>
                        <w:szCs w:val="28"/>
                        <w:lang w:val="en-US" w:eastAsia="zh-CN"/>
                      </w:rPr>
                      <w:t>6</w:t>
                    </w:r>
                    <w:r>
                      <w:rPr>
                        <w:rStyle w:val="20"/>
                        <w:rFonts w:hint="eastAsia" w:asciiTheme="minorEastAsia" w:hAnsiTheme="minorEastAsia" w:cstheme="minorEastAsia"/>
                        <w:sz w:val="28"/>
                        <w:szCs w:val="28"/>
                        <w:lang w:val="en-US" w:eastAsia="zh-CN"/>
                      </w:rPr>
                      <w:fldChar w:fldCharType="end"/>
                    </w:r>
                    <w:r>
                      <w:rPr>
                        <w:rStyle w:val="20"/>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2U4MTJhMjgzNDI1MTI5ZmYwZmU1ODJkYzM0ZjQifQ=="/>
  </w:docVars>
  <w:rsids>
    <w:rsidRoot w:val="00000000"/>
    <w:rsid w:val="00382DEE"/>
    <w:rsid w:val="00A010BF"/>
    <w:rsid w:val="011F089D"/>
    <w:rsid w:val="033B6E7D"/>
    <w:rsid w:val="061D5612"/>
    <w:rsid w:val="06824361"/>
    <w:rsid w:val="082C3D59"/>
    <w:rsid w:val="084035FD"/>
    <w:rsid w:val="084C6670"/>
    <w:rsid w:val="089B247E"/>
    <w:rsid w:val="090F4481"/>
    <w:rsid w:val="092631DC"/>
    <w:rsid w:val="09D8609B"/>
    <w:rsid w:val="0AAF3902"/>
    <w:rsid w:val="0BA569D2"/>
    <w:rsid w:val="0C310998"/>
    <w:rsid w:val="0CCA3D4F"/>
    <w:rsid w:val="0DE246BD"/>
    <w:rsid w:val="0E8354E2"/>
    <w:rsid w:val="0F285F65"/>
    <w:rsid w:val="0F895A77"/>
    <w:rsid w:val="0F904D9E"/>
    <w:rsid w:val="12E0284B"/>
    <w:rsid w:val="131A745F"/>
    <w:rsid w:val="13733E70"/>
    <w:rsid w:val="14145D13"/>
    <w:rsid w:val="143A7F1D"/>
    <w:rsid w:val="14D5432E"/>
    <w:rsid w:val="16C62758"/>
    <w:rsid w:val="17FD074D"/>
    <w:rsid w:val="18C45A60"/>
    <w:rsid w:val="18E5205B"/>
    <w:rsid w:val="1AB12DCA"/>
    <w:rsid w:val="1AD03986"/>
    <w:rsid w:val="1B81253B"/>
    <w:rsid w:val="1B8F7DC9"/>
    <w:rsid w:val="1CB23C88"/>
    <w:rsid w:val="1DBC3285"/>
    <w:rsid w:val="1E9049A9"/>
    <w:rsid w:val="1E944C69"/>
    <w:rsid w:val="1EF96B72"/>
    <w:rsid w:val="2220564D"/>
    <w:rsid w:val="24C90D82"/>
    <w:rsid w:val="25065E30"/>
    <w:rsid w:val="2509366D"/>
    <w:rsid w:val="25127CE6"/>
    <w:rsid w:val="25F767DC"/>
    <w:rsid w:val="285F629A"/>
    <w:rsid w:val="28601998"/>
    <w:rsid w:val="28756085"/>
    <w:rsid w:val="289B0CF6"/>
    <w:rsid w:val="29DC28E2"/>
    <w:rsid w:val="2A400732"/>
    <w:rsid w:val="2B22254D"/>
    <w:rsid w:val="2BCE39B4"/>
    <w:rsid w:val="2C5F6E7B"/>
    <w:rsid w:val="2D3D53CF"/>
    <w:rsid w:val="2D9B3BC1"/>
    <w:rsid w:val="2E485A3F"/>
    <w:rsid w:val="2EA26EDE"/>
    <w:rsid w:val="2F73217C"/>
    <w:rsid w:val="2FAA6DDF"/>
    <w:rsid w:val="30593C3F"/>
    <w:rsid w:val="30625446"/>
    <w:rsid w:val="308E6D4A"/>
    <w:rsid w:val="309F7D97"/>
    <w:rsid w:val="31956120"/>
    <w:rsid w:val="338A1C7F"/>
    <w:rsid w:val="33E747CE"/>
    <w:rsid w:val="35857D0A"/>
    <w:rsid w:val="388437F4"/>
    <w:rsid w:val="38925C27"/>
    <w:rsid w:val="38932D33"/>
    <w:rsid w:val="38B71190"/>
    <w:rsid w:val="38D93D4B"/>
    <w:rsid w:val="3910602C"/>
    <w:rsid w:val="39464BC3"/>
    <w:rsid w:val="394A225E"/>
    <w:rsid w:val="396F738B"/>
    <w:rsid w:val="3A452D3B"/>
    <w:rsid w:val="3B8737D6"/>
    <w:rsid w:val="3BFF3750"/>
    <w:rsid w:val="3C6D4343"/>
    <w:rsid w:val="3DCC471C"/>
    <w:rsid w:val="3EF55C22"/>
    <w:rsid w:val="42796625"/>
    <w:rsid w:val="43B00570"/>
    <w:rsid w:val="44CE29A6"/>
    <w:rsid w:val="454235DA"/>
    <w:rsid w:val="4587555A"/>
    <w:rsid w:val="46E95DE7"/>
    <w:rsid w:val="476615BC"/>
    <w:rsid w:val="48BC522F"/>
    <w:rsid w:val="491D6488"/>
    <w:rsid w:val="49220591"/>
    <w:rsid w:val="4926147C"/>
    <w:rsid w:val="49357294"/>
    <w:rsid w:val="49494303"/>
    <w:rsid w:val="495B5FA5"/>
    <w:rsid w:val="4BA17128"/>
    <w:rsid w:val="4BD1564C"/>
    <w:rsid w:val="4D4E37ED"/>
    <w:rsid w:val="4E6220AB"/>
    <w:rsid w:val="4ED2217F"/>
    <w:rsid w:val="4F471A1D"/>
    <w:rsid w:val="4FD3247D"/>
    <w:rsid w:val="50417002"/>
    <w:rsid w:val="508B2047"/>
    <w:rsid w:val="52867F77"/>
    <w:rsid w:val="531B16C9"/>
    <w:rsid w:val="53241436"/>
    <w:rsid w:val="53B3511F"/>
    <w:rsid w:val="53CB0CFA"/>
    <w:rsid w:val="546A4915"/>
    <w:rsid w:val="54964F68"/>
    <w:rsid w:val="54D11993"/>
    <w:rsid w:val="54FA2314"/>
    <w:rsid w:val="56221F0C"/>
    <w:rsid w:val="56673786"/>
    <w:rsid w:val="572A5678"/>
    <w:rsid w:val="57406443"/>
    <w:rsid w:val="574A6474"/>
    <w:rsid w:val="59836622"/>
    <w:rsid w:val="5A270CE9"/>
    <w:rsid w:val="5A4B3BBE"/>
    <w:rsid w:val="5A4E56BE"/>
    <w:rsid w:val="5B242227"/>
    <w:rsid w:val="5B3D6F48"/>
    <w:rsid w:val="5BFF5BFD"/>
    <w:rsid w:val="5C484080"/>
    <w:rsid w:val="5C4A2B10"/>
    <w:rsid w:val="5C787AB7"/>
    <w:rsid w:val="5C986F4F"/>
    <w:rsid w:val="5CEE6323"/>
    <w:rsid w:val="5D2C21EB"/>
    <w:rsid w:val="5D962BC2"/>
    <w:rsid w:val="5DBD295C"/>
    <w:rsid w:val="5EED64FF"/>
    <w:rsid w:val="5F470602"/>
    <w:rsid w:val="600512E0"/>
    <w:rsid w:val="60487443"/>
    <w:rsid w:val="606F5D7F"/>
    <w:rsid w:val="60A83CB0"/>
    <w:rsid w:val="62830E1C"/>
    <w:rsid w:val="63645675"/>
    <w:rsid w:val="639622F3"/>
    <w:rsid w:val="63CC6F57"/>
    <w:rsid w:val="63EE1EF6"/>
    <w:rsid w:val="644E60C4"/>
    <w:rsid w:val="646119F8"/>
    <w:rsid w:val="64C10E6B"/>
    <w:rsid w:val="65AA775A"/>
    <w:rsid w:val="65B40224"/>
    <w:rsid w:val="66783573"/>
    <w:rsid w:val="66AD47C6"/>
    <w:rsid w:val="67095869"/>
    <w:rsid w:val="67182A7C"/>
    <w:rsid w:val="681702A5"/>
    <w:rsid w:val="686B35F4"/>
    <w:rsid w:val="68C56A0D"/>
    <w:rsid w:val="69A95CEC"/>
    <w:rsid w:val="6AD06E51"/>
    <w:rsid w:val="6B087B99"/>
    <w:rsid w:val="6B347990"/>
    <w:rsid w:val="6BD76074"/>
    <w:rsid w:val="6C0354F4"/>
    <w:rsid w:val="6C3527FE"/>
    <w:rsid w:val="6C6E3CD3"/>
    <w:rsid w:val="6CCA42DA"/>
    <w:rsid w:val="6CFB5C25"/>
    <w:rsid w:val="6DA57E98"/>
    <w:rsid w:val="6E376F24"/>
    <w:rsid w:val="6E734D3B"/>
    <w:rsid w:val="6F0D0BD8"/>
    <w:rsid w:val="6F267ADB"/>
    <w:rsid w:val="7001311E"/>
    <w:rsid w:val="707A2EE8"/>
    <w:rsid w:val="708F1F74"/>
    <w:rsid w:val="70B11649"/>
    <w:rsid w:val="728575C3"/>
    <w:rsid w:val="72940580"/>
    <w:rsid w:val="73517D22"/>
    <w:rsid w:val="73B83CAB"/>
    <w:rsid w:val="74685918"/>
    <w:rsid w:val="74811B16"/>
    <w:rsid w:val="74D274A3"/>
    <w:rsid w:val="77585F7B"/>
    <w:rsid w:val="78880DFC"/>
    <w:rsid w:val="78A624FB"/>
    <w:rsid w:val="79D51A0A"/>
    <w:rsid w:val="7A7663BB"/>
    <w:rsid w:val="7B734DAA"/>
    <w:rsid w:val="7B811016"/>
    <w:rsid w:val="7B9816EC"/>
    <w:rsid w:val="7BB63A0E"/>
    <w:rsid w:val="7C1A0C3F"/>
    <w:rsid w:val="7C21687C"/>
    <w:rsid w:val="7C99793C"/>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1"/>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link w:val="18"/>
    <w:semiHidden/>
    <w:qFormat/>
    <w:uiPriority w:val="0"/>
    <w:rPr>
      <w:rFonts w:ascii="Verdana" w:hAnsi="Verdana" w:eastAsia="仿宋_GB2312" w:cs="Verdana"/>
      <w:kern w:val="0"/>
      <w:sz w:val="24"/>
      <w:lang w:eastAsia="en-US"/>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_x000B__x000C_" w:hAnsi="_x000B__x000C_" w:eastAsia="仿宋_GB2312"/>
      <w:sz w:val="32"/>
      <w:szCs w:val="20"/>
    </w:rPr>
  </w:style>
  <w:style w:type="paragraph" w:styleId="3">
    <w:name w:val="toc 5"/>
    <w:basedOn w:val="1"/>
    <w:next w:val="1"/>
    <w:qFormat/>
    <w:uiPriority w:val="0"/>
    <w:pPr>
      <w:ind w:left="1680" w:leftChars="800"/>
    </w:pPr>
    <w:rPr>
      <w:rFonts w:ascii="Times New Roman" w:hAnsi="Times New Roman"/>
      <w:szCs w:val="21"/>
    </w:rPr>
  </w:style>
  <w:style w:type="paragraph" w:styleId="6">
    <w:name w:val="Body Text Indent"/>
    <w:basedOn w:val="1"/>
    <w:qFormat/>
    <w:uiPriority w:val="0"/>
    <w:pPr>
      <w:spacing w:after="120"/>
      <w:ind w:left="420" w:leftChars="200"/>
    </w:pPr>
  </w:style>
  <w:style w:type="paragraph" w:styleId="7">
    <w:name w:val="Plain Text"/>
    <w:basedOn w:val="1"/>
    <w:unhideWhenUsed/>
    <w:qFormat/>
    <w:uiPriority w:val="99"/>
    <w:rPr>
      <w:rFonts w:ascii="宋体" w:hAnsi="Courier New" w:eastAsia="宋体" w:cs="Courier New"/>
      <w:sz w:val="21"/>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jc w:val="center"/>
    </w:pPr>
    <w:rPr>
      <w:szCs w:val="24"/>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Title"/>
    <w:basedOn w:val="1"/>
    <w:next w:val="1"/>
    <w:qFormat/>
    <w:uiPriority w:val="99"/>
    <w:pPr>
      <w:spacing w:before="240" w:after="60"/>
      <w:jc w:val="left"/>
      <w:outlineLvl w:val="0"/>
    </w:pPr>
    <w:rPr>
      <w:rFonts w:ascii="Calibri Light" w:hAnsi="Calibri Light" w:eastAsia="黑体"/>
      <w:b/>
      <w:bCs/>
      <w:sz w:val="32"/>
      <w:szCs w:val="32"/>
    </w:rPr>
  </w:style>
  <w:style w:type="paragraph" w:styleId="13">
    <w:name w:val="Body Text First Indent"/>
    <w:basedOn w:val="2"/>
    <w:qFormat/>
    <w:uiPriority w:val="0"/>
    <w:pPr>
      <w:ind w:firstLine="420" w:firstLineChars="100"/>
    </w:pPr>
    <w:rPr>
      <w:rFonts w:ascii="Times New Roman" w:hAnsi="Times New Roman" w:eastAsia="宋体" w:cs="Times New Roman"/>
    </w:rPr>
  </w:style>
  <w:style w:type="paragraph" w:styleId="14">
    <w:name w:val="Body Text First Indent 2"/>
    <w:basedOn w:val="6"/>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w:basedOn w:val="1"/>
    <w:link w:val="17"/>
    <w:qFormat/>
    <w:uiPriority w:val="0"/>
    <w:pPr>
      <w:widowControl/>
      <w:spacing w:after="160" w:line="240" w:lineRule="exact"/>
      <w:jc w:val="left"/>
    </w:pPr>
    <w:rPr>
      <w:rFonts w:ascii="Verdana" w:hAnsi="Verdana" w:eastAsia="仿宋_GB2312" w:cs="Verdana"/>
      <w:kern w:val="0"/>
      <w:sz w:val="24"/>
      <w:lang w:eastAsia="en-US"/>
    </w:rPr>
  </w:style>
  <w:style w:type="character" w:styleId="19">
    <w:name w:val="Strong"/>
    <w:basedOn w:val="17"/>
    <w:qFormat/>
    <w:uiPriority w:val="99"/>
    <w:rPr>
      <w:b/>
      <w:bCs/>
    </w:rPr>
  </w:style>
  <w:style w:type="character" w:styleId="20">
    <w:name w:val="page number"/>
    <w:basedOn w:val="17"/>
    <w:qFormat/>
    <w:uiPriority w:val="0"/>
  </w:style>
  <w:style w:type="character" w:styleId="21">
    <w:name w:val="Emphasis"/>
    <w:basedOn w:val="17"/>
    <w:qFormat/>
    <w:uiPriority w:val="0"/>
    <w:rPr>
      <w:i/>
    </w:rPr>
  </w:style>
  <w:style w:type="character" w:customStyle="1" w:styleId="22">
    <w:name w:val="font11"/>
    <w:basedOn w:val="17"/>
    <w:qFormat/>
    <w:uiPriority w:val="0"/>
    <w:rPr>
      <w:rFonts w:hint="eastAsia" w:ascii="黑体" w:hAnsi="宋体" w:eastAsia="黑体" w:cs="黑体"/>
      <w:color w:val="000000"/>
      <w:sz w:val="32"/>
      <w:szCs w:val="32"/>
      <w:u w:val="none"/>
    </w:rPr>
  </w:style>
  <w:style w:type="character" w:customStyle="1" w:styleId="23">
    <w:name w:val="font71"/>
    <w:basedOn w:val="17"/>
    <w:qFormat/>
    <w:uiPriority w:val="0"/>
    <w:rPr>
      <w:rFonts w:hint="eastAsia" w:ascii="宋体" w:hAnsi="宋体" w:eastAsia="宋体" w:cs="宋体"/>
      <w:color w:val="000000"/>
      <w:sz w:val="20"/>
      <w:szCs w:val="20"/>
      <w:u w:val="none"/>
      <w:vertAlign w:val="superscript"/>
    </w:rPr>
  </w:style>
  <w:style w:type="character" w:customStyle="1" w:styleId="24">
    <w:name w:val="font61"/>
    <w:basedOn w:val="17"/>
    <w:qFormat/>
    <w:uiPriority w:val="0"/>
    <w:rPr>
      <w:rFonts w:hint="eastAsia" w:ascii="宋体" w:hAnsi="宋体" w:eastAsia="宋体" w:cs="宋体"/>
      <w:color w:val="000000"/>
      <w:sz w:val="20"/>
      <w:szCs w:val="20"/>
      <w:u w:val="none"/>
    </w:rPr>
  </w:style>
  <w:style w:type="character" w:customStyle="1" w:styleId="25">
    <w:name w:val="font51"/>
    <w:basedOn w:val="17"/>
    <w:qFormat/>
    <w:uiPriority w:val="0"/>
    <w:rPr>
      <w:rFonts w:hint="eastAsia" w:ascii="黑体" w:hAnsi="宋体" w:eastAsia="黑体" w:cs="黑体"/>
      <w:color w:val="000000"/>
      <w:sz w:val="32"/>
      <w:szCs w:val="32"/>
      <w:u w:val="none"/>
    </w:rPr>
  </w:style>
  <w:style w:type="character" w:customStyle="1" w:styleId="26">
    <w:name w:val="font21"/>
    <w:basedOn w:val="17"/>
    <w:qFormat/>
    <w:uiPriority w:val="0"/>
    <w:rPr>
      <w:rFonts w:hint="eastAsia" w:ascii="宋体" w:hAnsi="宋体" w:eastAsia="宋体" w:cs="宋体"/>
      <w:b/>
      <w:color w:val="000000"/>
      <w:sz w:val="18"/>
      <w:szCs w:val="18"/>
      <w:u w:val="none"/>
    </w:rPr>
  </w:style>
  <w:style w:type="paragraph" w:styleId="27">
    <w:name w:val="List Paragraph"/>
    <w:basedOn w:val="1"/>
    <w:qFormat/>
    <w:uiPriority w:val="34"/>
    <w:pPr>
      <w:ind w:firstLine="420" w:firstLineChars="200"/>
    </w:pPr>
  </w:style>
  <w:style w:type="paragraph" w:customStyle="1" w:styleId="28">
    <w:name w:val="正文首行缩进 21"/>
    <w:basedOn w:val="1"/>
    <w:qFormat/>
    <w:uiPriority w:val="99"/>
    <w:pPr>
      <w:ind w:left="420" w:leftChars="200" w:firstLine="210"/>
    </w:pPr>
    <w:rPr>
      <w:rFonts w:cs="Calibri"/>
      <w:szCs w:val="21"/>
    </w:rPr>
  </w:style>
  <w:style w:type="character" w:customStyle="1" w:styleId="29">
    <w:name w:val="font81"/>
    <w:basedOn w:val="17"/>
    <w:qFormat/>
    <w:uiPriority w:val="0"/>
    <w:rPr>
      <w:rFonts w:hint="eastAsia" w:ascii="仿宋_GB2312" w:eastAsia="仿宋_GB2312" w:cs="仿宋_GB2312"/>
      <w:color w:val="000000"/>
      <w:sz w:val="24"/>
      <w:szCs w:val="24"/>
      <w:u w:val="none"/>
    </w:rPr>
  </w:style>
  <w:style w:type="character" w:customStyle="1" w:styleId="30">
    <w:name w:val="font31"/>
    <w:basedOn w:val="17"/>
    <w:qFormat/>
    <w:uiPriority w:val="0"/>
    <w:rPr>
      <w:rFonts w:ascii="楷体_GB2312" w:eastAsia="楷体_GB2312" w:cs="楷体_GB2312"/>
      <w:b/>
      <w:color w:val="000000"/>
      <w:sz w:val="24"/>
      <w:szCs w:val="24"/>
      <w:u w:val="none"/>
    </w:rPr>
  </w:style>
  <w:style w:type="character" w:customStyle="1" w:styleId="31">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32">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3">
    <w:name w:val="Body text|1"/>
    <w:basedOn w:val="1"/>
    <w:link w:val="34"/>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4">
    <w:name w:val="Body text|1_"/>
    <w:basedOn w:val="17"/>
    <w:link w:val="33"/>
    <w:qFormat/>
    <w:uiPriority w:val="0"/>
    <w:rPr>
      <w:rFonts w:ascii="宋体" w:hAnsi="宋体" w:eastAsia="宋体" w:cs="宋体"/>
      <w:color w:val="202231"/>
      <w:sz w:val="28"/>
      <w:szCs w:val="28"/>
      <w:u w:val="none"/>
      <w:shd w:val="clear" w:color="auto" w:fill="auto"/>
      <w:lang w:val="zh-TW" w:eastAsia="zh-TW" w:bidi="zh-TW"/>
    </w:rPr>
  </w:style>
  <w:style w:type="paragraph" w:customStyle="1" w:styleId="35">
    <w:name w:val="Header or footer|1"/>
    <w:basedOn w:val="1"/>
    <w:qFormat/>
    <w:uiPriority w:val="0"/>
    <w:pPr>
      <w:widowControl w:val="0"/>
      <w:shd w:val="clear" w:color="auto" w:fill="auto"/>
    </w:pPr>
    <w:rPr>
      <w:color w:val="202231"/>
      <w:sz w:val="28"/>
      <w:szCs w:val="28"/>
      <w:u w:val="none"/>
      <w:shd w:val="clear" w:color="auto" w:fill="auto"/>
      <w:lang w:val="zh-TW" w:eastAsia="zh-TW" w:bidi="zh-TW"/>
    </w:rPr>
  </w:style>
  <w:style w:type="paragraph" w:styleId="36">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7">
    <w:name w:val="Body text|2"/>
    <w:basedOn w:val="1"/>
    <w:qFormat/>
    <w:uiPriority w:val="0"/>
    <w:pPr>
      <w:spacing w:line="602" w:lineRule="exact"/>
      <w:ind w:firstLine="640"/>
    </w:pPr>
    <w:rPr>
      <w:rFonts w:ascii="宋体" w:hAnsi="宋体" w:cs="宋体"/>
      <w:sz w:val="30"/>
      <w:szCs w:val="30"/>
    </w:rPr>
  </w:style>
  <w:style w:type="paragraph" w:customStyle="1" w:styleId="38">
    <w:name w:val="Table caption|1"/>
    <w:basedOn w:val="1"/>
    <w:qFormat/>
    <w:uiPriority w:val="0"/>
    <w:rPr>
      <w:rFonts w:ascii="宋体" w:hAnsi="宋体" w:cs="宋体"/>
      <w:sz w:val="20"/>
      <w:szCs w:val="20"/>
    </w:rPr>
  </w:style>
  <w:style w:type="paragraph" w:customStyle="1" w:styleId="39">
    <w:name w:val="Other|1"/>
    <w:basedOn w:val="1"/>
    <w:qFormat/>
    <w:uiPriority w:val="0"/>
    <w:pPr>
      <w:spacing w:line="480" w:lineRule="auto"/>
      <w:ind w:firstLine="400"/>
    </w:pPr>
    <w:rPr>
      <w:rFonts w:ascii="宋体" w:hAnsi="宋体" w:cs="宋体"/>
      <w:sz w:val="26"/>
      <w:szCs w:val="26"/>
    </w:rPr>
  </w:style>
  <w:style w:type="character" w:customStyle="1" w:styleId="40">
    <w:name w:val="font01"/>
    <w:basedOn w:val="17"/>
    <w:qFormat/>
    <w:uiPriority w:val="0"/>
    <w:rPr>
      <w:rFonts w:hint="eastAsia" w:ascii="宋体" w:hAnsi="宋体" w:eastAsia="宋体" w:cs="宋体"/>
      <w:color w:val="FF0000"/>
      <w:sz w:val="24"/>
      <w:szCs w:val="24"/>
      <w:u w:val="none"/>
    </w:rPr>
  </w:style>
  <w:style w:type="character" w:customStyle="1" w:styleId="41">
    <w:name w:val="标题 1 Char"/>
    <w:link w:val="4"/>
    <w:qFormat/>
    <w:uiPriority w:val="0"/>
    <w:rPr>
      <w:rFonts w:ascii="Tahoma" w:hAnsi="Tahoma" w:eastAsia="黑体"/>
      <w:b/>
      <w:bCs/>
      <w:kern w:val="44"/>
      <w:sz w:val="30"/>
      <w:szCs w:val="30"/>
    </w:rPr>
  </w:style>
  <w:style w:type="paragraph" w:customStyle="1" w:styleId="42">
    <w:name w:val="Heading #3|1"/>
    <w:basedOn w:val="1"/>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3">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44">
    <w:name w:val="font101"/>
    <w:basedOn w:val="17"/>
    <w:qFormat/>
    <w:uiPriority w:val="0"/>
    <w:rPr>
      <w:rFonts w:hint="eastAsia" w:ascii="宋体" w:hAnsi="宋体" w:eastAsia="宋体" w:cs="宋体"/>
      <w:b/>
      <w:bCs/>
      <w:color w:val="000000"/>
      <w:sz w:val="40"/>
      <w:szCs w:val="40"/>
      <w:u w:val="none"/>
    </w:rPr>
  </w:style>
  <w:style w:type="character" w:customStyle="1" w:styleId="45">
    <w:name w:val="font41"/>
    <w:basedOn w:val="17"/>
    <w:qFormat/>
    <w:uiPriority w:val="0"/>
    <w:rPr>
      <w:rFonts w:hint="eastAsia" w:ascii="宋体" w:hAnsi="宋体" w:eastAsia="宋体" w:cs="宋体"/>
      <w:color w:val="000000"/>
      <w:sz w:val="20"/>
      <w:szCs w:val="20"/>
      <w:u w:val="none"/>
    </w:rPr>
  </w:style>
  <w:style w:type="character" w:customStyle="1" w:styleId="46">
    <w:name w:val="font91"/>
    <w:basedOn w:val="17"/>
    <w:qFormat/>
    <w:uiPriority w:val="0"/>
    <w:rPr>
      <w:rFonts w:hint="eastAsia" w:ascii="宋体" w:hAnsi="宋体" w:eastAsia="宋体" w:cs="宋体"/>
      <w:b/>
      <w:bCs/>
      <w:color w:val="000000"/>
      <w:sz w:val="40"/>
      <w:szCs w:val="40"/>
      <w:u w:val="none"/>
    </w:rPr>
  </w:style>
  <w:style w:type="paragraph" w:customStyle="1" w:styleId="47">
    <w:name w:val="Body text|3"/>
    <w:basedOn w:val="1"/>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4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3446</Words>
  <Characters>3473</Characters>
  <Lines>0</Lines>
  <Paragraphs>0</Paragraphs>
  <TotalTime>3</TotalTime>
  <ScaleCrop>false</ScaleCrop>
  <LinksUpToDate>false</LinksUpToDate>
  <CharactersWithSpaces>3497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知</cp:lastModifiedBy>
  <cp:lastPrinted>2022-07-22T07:30:00Z</cp:lastPrinted>
  <dcterms:modified xsi:type="dcterms:W3CDTF">2022-08-29T06:53:04Z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SaveFontToCloudKey">
    <vt:lpwstr>372701918_btnclosed</vt:lpwstr>
  </property>
  <property fmtid="{D5CDD505-2E9C-101B-9397-08002B2CF9AE}" pid="4" name="ICV">
    <vt:lpwstr>A2749F1741224A80A3B1273F95300CCE</vt:lpwstr>
  </property>
</Properties>
</file>