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4D822">
      <w:pPr>
        <w:spacing w:line="341" w:lineRule="auto"/>
      </w:pPr>
    </w:p>
    <w:p w14:paraId="29784FC4">
      <w:pPr>
        <w:spacing w:line="341" w:lineRule="auto"/>
      </w:pPr>
    </w:p>
    <w:p w14:paraId="25A0DCB1">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7F99DE95">
      <w:pPr>
        <w:spacing w:line="289" w:lineRule="auto"/>
        <w:jc w:val="center"/>
      </w:pPr>
    </w:p>
    <w:p w14:paraId="20CFE3B9">
      <w:pPr>
        <w:spacing w:line="290" w:lineRule="auto"/>
        <w:jc w:val="center"/>
      </w:pPr>
    </w:p>
    <w:p w14:paraId="5CAA46D9">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乡村振兴</w:t>
      </w:r>
      <w:r>
        <w:rPr>
          <w:rFonts w:hint="eastAsia" w:ascii="方正大标宋简体" w:hAnsi="Times New Roman" w:eastAsia="方正大标宋简体" w:cs="Times New Roman"/>
          <w:snapToGrid/>
          <w:kern w:val="2"/>
          <w:sz w:val="44"/>
          <w:szCs w:val="44"/>
        </w:rPr>
        <w:t>局 202</w:t>
      </w:r>
      <w:r>
        <w:rPr>
          <w:rFonts w:hint="eastAsia" w:ascii="方正大标宋简体" w:hAnsi="Times New Roman" w:eastAsia="方正大标宋简体" w:cs="Times New Roman"/>
          <w:snapToGrid/>
          <w:kern w:val="2"/>
          <w:sz w:val="44"/>
          <w:szCs w:val="44"/>
          <w:lang w:val="en-US" w:eastAsia="zh-CN"/>
        </w:rPr>
        <w:t>4</w:t>
      </w:r>
      <w:r>
        <w:rPr>
          <w:rFonts w:hint="eastAsia" w:ascii="方正大标宋简体" w:hAnsi="Times New Roman" w:eastAsia="方正大标宋简体" w:cs="Times New Roman"/>
          <w:snapToGrid/>
          <w:kern w:val="2"/>
          <w:sz w:val="44"/>
          <w:szCs w:val="44"/>
        </w:rPr>
        <w:t>年部门预算</w:t>
      </w:r>
    </w:p>
    <w:p w14:paraId="041DD363">
      <w:pPr>
        <w:spacing w:before="143" w:line="219" w:lineRule="auto"/>
        <w:ind w:firstLine="1146"/>
        <w:jc w:val="both"/>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14B7C7DE">
      <w:pPr>
        <w:spacing w:line="334" w:lineRule="auto"/>
      </w:pPr>
    </w:p>
    <w:p w14:paraId="654EC408">
      <w:pPr>
        <w:spacing w:line="334" w:lineRule="auto"/>
        <w:rPr>
          <w:rFonts w:eastAsia="宋体"/>
        </w:rPr>
      </w:pPr>
    </w:p>
    <w:p w14:paraId="0892C2B2">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2288185C">
      <w:pPr>
        <w:spacing w:line="347" w:lineRule="auto"/>
      </w:pPr>
    </w:p>
    <w:p w14:paraId="62C1CF9A">
      <w:pPr>
        <w:spacing w:line="347" w:lineRule="auto"/>
      </w:pPr>
    </w:p>
    <w:p w14:paraId="1EC3FC61">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乡村振兴</w:t>
      </w:r>
      <w:r>
        <w:rPr>
          <w:rFonts w:hint="eastAsia" w:ascii="黑体" w:hAnsi="黑体" w:eastAsia="黑体" w:cs="黑体"/>
          <w:snapToGrid/>
          <w:kern w:val="2"/>
          <w:sz w:val="32"/>
          <w:szCs w:val="32"/>
        </w:rPr>
        <w:t>局概况</w:t>
      </w:r>
    </w:p>
    <w:p w14:paraId="444D6316">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42BAF1A7">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39DD01F8">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乡村振兴</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年部门预算表</w:t>
      </w:r>
    </w:p>
    <w:p w14:paraId="79EB775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369662A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0D3F59B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2FA7E64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2ED124A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390FA00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52FF4B1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74BFB82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1A223A6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0620197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360FCA5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0FC4717B">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乡村振兴</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年部门预算情况说明</w:t>
      </w:r>
    </w:p>
    <w:p w14:paraId="7527F19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年部门预算收支情况说明</w:t>
      </w:r>
    </w:p>
    <w:p w14:paraId="3E24577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年"三公”经费预算情况说明</w:t>
      </w:r>
    </w:p>
    <w:p w14:paraId="66C0AFDA">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130FCE8"/>
    <w:p w14:paraId="13BAF0AD"/>
    <w:p w14:paraId="1DBA713E"/>
    <w:p w14:paraId="4FA94747"/>
    <w:p w14:paraId="5A430976"/>
    <w:p w14:paraId="7D8536EF">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乡村振兴</w:t>
      </w:r>
      <w:r>
        <w:rPr>
          <w:rFonts w:hint="eastAsia" w:ascii="黑体" w:hAnsi="黑体" w:eastAsia="黑体" w:cs="黑体"/>
          <w:snapToGrid/>
          <w:kern w:val="2"/>
          <w:sz w:val="32"/>
          <w:szCs w:val="32"/>
        </w:rPr>
        <w:t>局概况</w:t>
      </w:r>
    </w:p>
    <w:p w14:paraId="0449C448">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一、部门主要职责</w:t>
      </w:r>
    </w:p>
    <w:p w14:paraId="27F8BD8D">
      <w:pPr>
        <w:pStyle w:val="4"/>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640" w:firstLineChars="200"/>
        <w:textAlignment w:val="baseline"/>
        <w:rPr>
          <w:rFonts w:hint="eastAsia" w:ascii="仿宋_GB2312" w:hAnsi="仿宋" w:eastAsia="仿宋_GB2312"/>
          <w:sz w:val="32"/>
          <w:szCs w:val="32"/>
        </w:rPr>
      </w:pPr>
      <w:r>
        <w:rPr>
          <w:rFonts w:hint="eastAsia" w:ascii="仿宋" w:hAnsi="仿宋" w:eastAsia="仿宋" w:cs="仿宋"/>
          <w:i w:val="0"/>
          <w:iCs w:val="0"/>
          <w:caps w:val="0"/>
          <w:color w:val="000000"/>
          <w:spacing w:val="0"/>
          <w:position w:val="0"/>
          <w:sz w:val="32"/>
          <w:szCs w:val="32"/>
        </w:rPr>
        <w:t>浮梁县乡村振兴局是县政府工作部门。主要负责巩固拓展脱贫攻坚成果、统筹推进实施乡村振兴战略有关具体工作牵头开展防止返贫监测和帮扶，组织拟订乡村振兴重点帮扶村帮扶政策，开展定点帮扶、社会帮扶，负责过渡期内相关考核评估，指导监督</w:t>
      </w:r>
      <w:r>
        <w:rPr>
          <w:rFonts w:hint="eastAsia" w:ascii="仿宋" w:hAnsi="仿宋" w:eastAsia="仿宋" w:cs="仿宋"/>
          <w:i w:val="0"/>
          <w:iCs w:val="0"/>
          <w:caps w:val="0"/>
          <w:color w:val="000000"/>
          <w:spacing w:val="0"/>
          <w:position w:val="0"/>
          <w:sz w:val="32"/>
          <w:szCs w:val="32"/>
          <w:lang w:eastAsia="zh-CN"/>
        </w:rPr>
        <w:t>乡村振兴衔接</w:t>
      </w:r>
      <w:r>
        <w:rPr>
          <w:rFonts w:hint="eastAsia" w:ascii="仿宋" w:hAnsi="仿宋" w:eastAsia="仿宋" w:cs="仿宋"/>
          <w:i w:val="0"/>
          <w:iCs w:val="0"/>
          <w:caps w:val="0"/>
          <w:color w:val="000000"/>
          <w:spacing w:val="0"/>
          <w:position w:val="0"/>
          <w:sz w:val="32"/>
          <w:szCs w:val="32"/>
        </w:rPr>
        <w:t>资金使用，推动帮扶产业发展，构建长效帮扶机制。</w:t>
      </w:r>
      <w:r>
        <w:rPr>
          <w:rFonts w:hint="eastAsia" w:ascii="仿宋" w:hAnsi="仿宋" w:eastAsia="仿宋" w:cs="仿宋"/>
          <w:color w:val="000000"/>
          <w:spacing w:val="0"/>
          <w:position w:val="0"/>
          <w:sz w:val="32"/>
          <w:szCs w:val="32"/>
        </w:rPr>
        <w:t>承办县委、县政府交办的其他事项。</w:t>
      </w:r>
    </w:p>
    <w:p w14:paraId="62D3CD74">
      <w:pPr>
        <w:spacing w:before="214"/>
        <w:ind w:firstLine="695" w:firstLineChars="200"/>
        <w:rPr>
          <w:rFonts w:ascii="楷体" w:hAnsi="楷体" w:eastAsia="楷体" w:cs="楷体"/>
          <w:b/>
          <w:bCs/>
          <w:spacing w:val="13"/>
          <w:sz w:val="32"/>
          <w:szCs w:val="32"/>
        </w:rPr>
      </w:pPr>
      <w:r>
        <w:rPr>
          <w:rFonts w:hint="eastAsia" w:ascii="楷体" w:hAnsi="楷体" w:eastAsia="楷体" w:cs="楷体"/>
          <w:b/>
          <w:bCs/>
          <w:spacing w:val="13"/>
          <w:sz w:val="32"/>
          <w:szCs w:val="32"/>
        </w:rPr>
        <w:t>二、机构设置及人员情况</w:t>
      </w:r>
    </w:p>
    <w:p w14:paraId="2300EB5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1、说明纳入本部门</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年部门预算编制范围的</w:t>
      </w:r>
      <w:r>
        <w:rPr>
          <w:rFonts w:hint="eastAsia" w:ascii="仿宋_GB2312" w:hAnsi="Times New Roman" w:eastAsia="仿宋_GB2312" w:cs="Times New Roman"/>
          <w:snapToGrid/>
          <w:kern w:val="2"/>
          <w:sz w:val="32"/>
          <w:szCs w:val="32"/>
          <w:lang w:eastAsia="zh-CN"/>
        </w:rPr>
        <w:t>一级</w:t>
      </w:r>
      <w:r>
        <w:rPr>
          <w:rFonts w:hint="eastAsia" w:ascii="仿宋_GB2312" w:hAnsi="Times New Roman" w:eastAsia="仿宋_GB2312" w:cs="Times New Roman"/>
          <w:snapToGrid/>
          <w:kern w:val="2"/>
          <w:sz w:val="32"/>
          <w:szCs w:val="32"/>
        </w:rPr>
        <w:t>预算单位</w:t>
      </w:r>
      <w:r>
        <w:rPr>
          <w:rFonts w:hint="eastAsia" w:ascii="仿宋_GB2312" w:hAnsi="Times New Roman" w:eastAsia="仿宋_GB2312" w:cs="Times New Roman"/>
          <w:snapToGrid/>
          <w:kern w:val="2"/>
          <w:sz w:val="32"/>
          <w:szCs w:val="32"/>
          <w:lang w:val="en-US" w:eastAsia="zh-CN"/>
        </w:rPr>
        <w:t>1个，</w:t>
      </w:r>
      <w:r>
        <w:rPr>
          <w:rFonts w:hint="eastAsia" w:ascii="仿宋_GB2312" w:hAnsi="Times New Roman" w:eastAsia="仿宋_GB2312" w:cs="Times New Roman"/>
          <w:snapToGrid/>
          <w:kern w:val="2"/>
          <w:sz w:val="32"/>
          <w:szCs w:val="32"/>
          <w:lang w:eastAsia="zh-CN"/>
        </w:rPr>
        <w:t>单位名称浮梁县乡村振兴局</w:t>
      </w:r>
      <w:r>
        <w:rPr>
          <w:rFonts w:hint="eastAsia" w:ascii="仿宋_GB2312" w:hAnsi="Times New Roman" w:eastAsia="仿宋_GB2312" w:cs="Times New Roman"/>
          <w:snapToGrid/>
          <w:kern w:val="2"/>
          <w:sz w:val="32"/>
          <w:szCs w:val="32"/>
        </w:rPr>
        <w:t>。</w:t>
      </w:r>
    </w:p>
    <w:p w14:paraId="7802CA7B">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baseline"/>
        <w:rPr>
          <w:rFonts w:hint="default" w:ascii="仿宋" w:hAnsi="仿宋" w:eastAsia="仿宋" w:cs="仿宋"/>
          <w:spacing w:val="0"/>
          <w:position w:val="0"/>
          <w:sz w:val="31"/>
          <w:szCs w:val="31"/>
          <w:lang w:val="en-US" w:eastAsia="zh-CN"/>
        </w:rPr>
        <w:sectPr>
          <w:footerReference r:id="rId3" w:type="default"/>
          <w:pgSz w:w="11883" w:h="16900"/>
          <w:pgMar w:top="1701" w:right="1701" w:bottom="1701" w:left="1701" w:header="850" w:footer="992" w:gutter="0"/>
          <w:cols w:space="0" w:num="1"/>
          <w:rtlGutter w:val="0"/>
          <w:docGrid w:linePitch="0" w:charSpace="0"/>
        </w:sectPr>
      </w:pPr>
      <w:r>
        <w:rPr>
          <w:rFonts w:hint="eastAsia" w:ascii="仿宋_GB2312" w:hAnsi="Times New Roman" w:eastAsia="仿宋_GB2312" w:cs="Times New Roman"/>
          <w:snapToGrid/>
          <w:kern w:val="2"/>
          <w:sz w:val="32"/>
          <w:szCs w:val="32"/>
        </w:rPr>
        <w:t>2、</w:t>
      </w:r>
      <w:r>
        <w:rPr>
          <w:rFonts w:hint="eastAsia" w:ascii="仿宋_GB2312" w:hAnsi="仿宋" w:eastAsia="仿宋_GB2312"/>
          <w:sz w:val="32"/>
          <w:szCs w:val="32"/>
        </w:rPr>
        <w:t>人员情况，</w:t>
      </w:r>
      <w:r>
        <w:rPr>
          <w:rFonts w:ascii="仿宋" w:hAnsi="仿宋" w:eastAsia="仿宋" w:cs="仿宋"/>
          <w:spacing w:val="0"/>
          <w:position w:val="0"/>
          <w:sz w:val="31"/>
          <w:szCs w:val="31"/>
        </w:rPr>
        <w:t>本部门202</w:t>
      </w:r>
      <w:r>
        <w:rPr>
          <w:rFonts w:hint="eastAsia" w:ascii="仿宋" w:hAnsi="仿宋" w:eastAsia="仿宋" w:cs="仿宋"/>
          <w:spacing w:val="0"/>
          <w:position w:val="0"/>
          <w:sz w:val="31"/>
          <w:szCs w:val="31"/>
          <w:lang w:val="en-US" w:eastAsia="zh-CN"/>
        </w:rPr>
        <w:t>3</w:t>
      </w:r>
      <w:r>
        <w:rPr>
          <w:rFonts w:ascii="仿宋" w:hAnsi="仿宋" w:eastAsia="仿宋" w:cs="仿宋"/>
          <w:spacing w:val="0"/>
          <w:position w:val="0"/>
          <w:sz w:val="31"/>
          <w:szCs w:val="31"/>
        </w:rPr>
        <w:t xml:space="preserve">年年末实有人数 </w:t>
      </w:r>
      <w:r>
        <w:rPr>
          <w:rFonts w:hint="eastAsia" w:ascii="仿宋" w:hAnsi="仿宋" w:eastAsia="仿宋" w:cs="仿宋"/>
          <w:spacing w:val="0"/>
          <w:position w:val="0"/>
          <w:sz w:val="31"/>
          <w:szCs w:val="31"/>
          <w:lang w:val="en-US" w:eastAsia="zh-CN"/>
        </w:rPr>
        <w:t>16</w:t>
      </w:r>
      <w:r>
        <w:rPr>
          <w:rFonts w:ascii="仿宋" w:hAnsi="仿宋" w:eastAsia="仿宋" w:cs="仿宋"/>
          <w:spacing w:val="0"/>
          <w:position w:val="0"/>
          <w:sz w:val="31"/>
          <w:szCs w:val="31"/>
        </w:rPr>
        <w:t>人，其中在职人员</w:t>
      </w:r>
      <w:r>
        <w:rPr>
          <w:rFonts w:hint="eastAsia" w:ascii="仿宋" w:hAnsi="仿宋" w:eastAsia="仿宋" w:cs="仿宋"/>
          <w:spacing w:val="0"/>
          <w:position w:val="0"/>
          <w:sz w:val="31"/>
          <w:szCs w:val="31"/>
          <w:lang w:val="en-US" w:eastAsia="zh-CN"/>
        </w:rPr>
        <w:t>8人，</w:t>
      </w:r>
      <w:r>
        <w:rPr>
          <w:rFonts w:ascii="仿宋" w:hAnsi="仿宋" w:eastAsia="仿宋" w:cs="仿宋"/>
          <w:spacing w:val="0"/>
          <w:position w:val="0"/>
          <w:sz w:val="31"/>
          <w:szCs w:val="31"/>
        </w:rPr>
        <w:t>年末其他人员</w:t>
      </w:r>
      <w:r>
        <w:rPr>
          <w:rFonts w:hint="eastAsia" w:ascii="仿宋" w:hAnsi="仿宋" w:eastAsia="仿宋" w:cs="仿宋"/>
          <w:spacing w:val="0"/>
          <w:position w:val="0"/>
          <w:sz w:val="31"/>
          <w:szCs w:val="31"/>
          <w:lang w:val="en-US" w:eastAsia="zh-CN"/>
        </w:rPr>
        <w:t>7</w:t>
      </w:r>
      <w:r>
        <w:rPr>
          <w:rFonts w:ascii="仿宋" w:hAnsi="仿宋" w:eastAsia="仿宋" w:cs="仿宋"/>
          <w:spacing w:val="0"/>
          <w:position w:val="0"/>
          <w:sz w:val="31"/>
          <w:szCs w:val="31"/>
        </w:rPr>
        <w:t>人</w:t>
      </w:r>
      <w:r>
        <w:rPr>
          <w:rFonts w:hint="eastAsia" w:ascii="仿宋" w:hAnsi="仿宋" w:eastAsia="仿宋" w:cs="仿宋"/>
          <w:spacing w:val="0"/>
          <w:position w:val="0"/>
          <w:sz w:val="31"/>
          <w:szCs w:val="31"/>
          <w:lang w:eastAsia="zh-CN"/>
        </w:rPr>
        <w:t>（非编人员）</w:t>
      </w:r>
      <w:r>
        <w:rPr>
          <w:rFonts w:hint="eastAsia" w:ascii="仿宋" w:hAnsi="仿宋" w:eastAsia="仿宋" w:cs="仿宋"/>
          <w:spacing w:val="0"/>
          <w:position w:val="0"/>
          <w:sz w:val="31"/>
          <w:szCs w:val="31"/>
          <w:lang w:val="en-US" w:eastAsia="zh-CN"/>
        </w:rPr>
        <w:t>，退休人员1人。2023年末实有编制人员7人。</w:t>
      </w:r>
    </w:p>
    <w:p w14:paraId="7E73794A">
      <w:pPr>
        <w:spacing w:before="3"/>
        <w:ind w:right="52"/>
        <w:rPr>
          <w:rFonts w:ascii="仿宋" w:hAnsi="仿宋" w:eastAsia="仿宋" w:cs="仿宋"/>
          <w:spacing w:val="-9"/>
          <w:sz w:val="32"/>
          <w:szCs w:val="32"/>
        </w:rPr>
      </w:pPr>
    </w:p>
    <w:p w14:paraId="006DC070"/>
    <w:p w14:paraId="542C958F">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乡村振兴</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年部门预算表</w:t>
      </w:r>
    </w:p>
    <w:p w14:paraId="2D0E2BA0">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64A1DF44">
      <w:pPr>
        <w:spacing w:before="215"/>
        <w:ind w:firstLine="3550"/>
        <w:rPr>
          <w:rFonts w:ascii="仿宋" w:hAnsi="仿宋" w:eastAsia="仿宋" w:cs="仿宋"/>
          <w:spacing w:val="17"/>
          <w:sz w:val="32"/>
          <w:szCs w:val="32"/>
        </w:rPr>
      </w:pPr>
    </w:p>
    <w:p w14:paraId="032ED76B"/>
    <w:p w14:paraId="041E3E59">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乡村</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年部门预算情况说明</w:t>
      </w:r>
    </w:p>
    <w:p w14:paraId="409A99DA">
      <w:pPr>
        <w:spacing w:before="214"/>
        <w:rPr>
          <w:rFonts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2024</w:t>
      </w:r>
      <w:r>
        <w:rPr>
          <w:rFonts w:hint="eastAsia" w:ascii="楷体" w:hAnsi="楷体" w:eastAsia="楷体" w:cs="楷体"/>
          <w:spacing w:val="13"/>
          <w:sz w:val="32"/>
          <w:szCs w:val="32"/>
        </w:rPr>
        <w:t>年部门预算收支情况说明</w:t>
      </w:r>
    </w:p>
    <w:p w14:paraId="7E5BF54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(一)收入预算情况</w:t>
      </w:r>
    </w:p>
    <w:p w14:paraId="7A26250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sz w:val="32"/>
          <w:szCs w:val="32"/>
          <w:lang w:eastAsia="zh-CN"/>
        </w:rPr>
        <w:t>2024</w:t>
      </w:r>
      <w:r>
        <w:rPr>
          <w:rFonts w:hint="eastAsia" w:ascii="仿宋" w:hAnsi="仿宋" w:eastAsia="仿宋" w:cs="仿宋"/>
          <w:sz w:val="32"/>
          <w:szCs w:val="32"/>
        </w:rPr>
        <w:t>年收入预算总额</w:t>
      </w:r>
      <w:r>
        <w:rPr>
          <w:rFonts w:hint="eastAsia" w:ascii="仿宋" w:hAnsi="仿宋" w:eastAsia="仿宋" w:cs="仿宋"/>
          <w:color w:val="000000" w:themeColor="text1"/>
          <w:sz w:val="32"/>
          <w:szCs w:val="32"/>
          <w:u w:val="none"/>
          <w:lang w:val="en-US" w:eastAsia="zh-CN"/>
          <w14:textFill>
            <w14:solidFill>
              <w14:schemeClr w14:val="tx1"/>
            </w14:solidFill>
          </w14:textFill>
        </w:rPr>
        <w:t>524.45万</w:t>
      </w:r>
      <w:r>
        <w:rPr>
          <w:rFonts w:hint="eastAsia" w:ascii="仿宋" w:hAnsi="仿宋" w:eastAsia="仿宋" w:cs="仿宋"/>
          <w:sz w:val="32"/>
          <w:szCs w:val="32"/>
        </w:rPr>
        <w:t>元，其中公共财政拨款收入</w:t>
      </w:r>
      <w:r>
        <w:rPr>
          <w:rFonts w:hint="eastAsia" w:ascii="仿宋" w:hAnsi="仿宋" w:eastAsia="仿宋" w:cs="仿宋"/>
          <w:color w:val="000000" w:themeColor="text1"/>
          <w:sz w:val="32"/>
          <w:szCs w:val="32"/>
          <w:u w:val="none"/>
          <w:lang w:val="en-US" w:eastAsia="zh-CN"/>
          <w14:textFill>
            <w14:solidFill>
              <w14:schemeClr w14:val="tx1"/>
            </w14:solidFill>
          </w14:textFill>
        </w:rPr>
        <w:t>454.45</w:t>
      </w:r>
      <w:r>
        <w:rPr>
          <w:rFonts w:hint="eastAsia" w:ascii="仿宋" w:hAnsi="仿宋" w:eastAsia="仿宋" w:cs="仿宋"/>
          <w:sz w:val="32"/>
          <w:szCs w:val="32"/>
        </w:rPr>
        <w:t>万元</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70万元</w:t>
      </w:r>
      <w:r>
        <w:rPr>
          <w:rFonts w:hint="eastAsia" w:ascii="仿宋" w:hAnsi="仿宋" w:eastAsia="仿宋" w:cs="仿宋"/>
          <w:sz w:val="32"/>
          <w:szCs w:val="32"/>
        </w:rPr>
        <w:t>。预算总额比去年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189.68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26.56%，</w:t>
      </w:r>
      <w:r>
        <w:rPr>
          <w:rFonts w:hint="eastAsia" w:ascii="仿宋" w:hAnsi="仿宋" w:eastAsia="仿宋" w:cs="仿宋"/>
          <w:sz w:val="32"/>
          <w:szCs w:val="32"/>
        </w:rPr>
        <w:t>主要</w:t>
      </w:r>
      <w:r>
        <w:rPr>
          <w:rFonts w:hint="eastAsia" w:ascii="仿宋" w:hAnsi="仿宋" w:eastAsia="仿宋" w:cs="仿宋"/>
          <w:sz w:val="32"/>
          <w:szCs w:val="32"/>
          <w:lang w:eastAsia="zh-CN"/>
        </w:rPr>
        <w:t>去年包含上年度结转项目资金</w:t>
      </w:r>
      <w:r>
        <w:rPr>
          <w:rFonts w:hint="eastAsia" w:ascii="仿宋" w:hAnsi="仿宋" w:eastAsia="仿宋" w:cs="仿宋"/>
          <w:color w:val="000000" w:themeColor="text1"/>
          <w:sz w:val="32"/>
          <w:szCs w:val="32"/>
          <w:u w:val="none"/>
          <w:lang w:eastAsia="zh-CN"/>
          <w14:textFill>
            <w14:solidFill>
              <w14:schemeClr w14:val="tx1"/>
            </w14:solidFill>
          </w14:textFill>
        </w:rPr>
        <w:t>。</w:t>
      </w:r>
    </w:p>
    <w:p w14:paraId="3733C47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(二)支出预算情况</w:t>
      </w:r>
    </w:p>
    <w:p w14:paraId="4A31505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2024年支出总预算524.45</w:t>
      </w:r>
      <w:r>
        <w:rPr>
          <w:rFonts w:hint="eastAsia" w:ascii="仿宋" w:hAnsi="仿宋" w:eastAsia="仿宋" w:cs="仿宋"/>
          <w:sz w:val="32"/>
          <w:szCs w:val="32"/>
        </w:rPr>
        <w:t>万元，比去年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189.68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26.56%，</w:t>
      </w:r>
      <w:r>
        <w:rPr>
          <w:rFonts w:hint="eastAsia" w:ascii="仿宋" w:hAnsi="仿宋" w:eastAsia="仿宋" w:cs="仿宋"/>
          <w:sz w:val="32"/>
          <w:szCs w:val="32"/>
        </w:rPr>
        <w:t>主要</w:t>
      </w:r>
      <w:r>
        <w:rPr>
          <w:rFonts w:hint="eastAsia" w:ascii="仿宋" w:hAnsi="仿宋" w:eastAsia="仿宋" w:cs="仿宋"/>
          <w:sz w:val="32"/>
          <w:szCs w:val="32"/>
          <w:lang w:eastAsia="zh-CN"/>
        </w:rPr>
        <w:t>去年包含上年度结转项目资金。</w:t>
      </w:r>
    </w:p>
    <w:p w14:paraId="1E347FA8">
      <w:pPr>
        <w:keepNext w:val="0"/>
        <w:keepLines w:val="0"/>
        <w:pageBreakBefore w:val="0"/>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按支出项目类别划分：基本支出</w:t>
      </w:r>
      <w:r>
        <w:rPr>
          <w:rFonts w:hint="eastAsia" w:ascii="仿宋" w:hAnsi="仿宋" w:eastAsia="仿宋" w:cs="仿宋"/>
          <w:sz w:val="32"/>
          <w:szCs w:val="32"/>
          <w:lang w:val="en-US" w:eastAsia="zh-CN"/>
        </w:rPr>
        <w:t>188.35</w:t>
      </w:r>
      <w:r>
        <w:rPr>
          <w:rFonts w:hint="eastAsia" w:ascii="仿宋" w:hAnsi="仿宋" w:eastAsia="仿宋" w:cs="仿宋"/>
          <w:sz w:val="32"/>
          <w:szCs w:val="32"/>
        </w:rPr>
        <w:t>元，</w:t>
      </w:r>
      <w:r>
        <w:rPr>
          <w:rFonts w:hint="eastAsia" w:ascii="仿宋" w:hAnsi="仿宋" w:eastAsia="仿宋" w:cs="仿宋"/>
          <w:sz w:val="32"/>
          <w:szCs w:val="32"/>
          <w:lang w:eastAsia="zh-CN"/>
        </w:rPr>
        <w:t>占支出预算总额的</w:t>
      </w:r>
      <w:r>
        <w:rPr>
          <w:rFonts w:hint="eastAsia" w:ascii="仿宋" w:hAnsi="仿宋" w:eastAsia="仿宋" w:cs="仿宋"/>
          <w:sz w:val="32"/>
          <w:szCs w:val="32"/>
          <w:lang w:val="en-US" w:eastAsia="zh-CN"/>
        </w:rPr>
        <w:t>35.91%，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336.1</w:t>
      </w:r>
      <w:r>
        <w:rPr>
          <w:rFonts w:hint="eastAsia" w:ascii="仿宋" w:hAnsi="仿宋" w:eastAsia="仿宋" w:cs="仿宋"/>
          <w:sz w:val="32"/>
          <w:szCs w:val="32"/>
        </w:rPr>
        <w:t>万元</w:t>
      </w:r>
      <w:r>
        <w:rPr>
          <w:rFonts w:hint="eastAsia" w:ascii="仿宋" w:hAnsi="仿宋" w:eastAsia="仿宋" w:cs="仿宋"/>
          <w:sz w:val="32"/>
          <w:szCs w:val="32"/>
          <w:lang w:eastAsia="zh-CN"/>
        </w:rPr>
        <w:t>，占支出预算总额的</w:t>
      </w:r>
      <w:r>
        <w:rPr>
          <w:rFonts w:hint="eastAsia" w:ascii="仿宋" w:hAnsi="仿宋" w:eastAsia="仿宋" w:cs="仿宋"/>
          <w:sz w:val="32"/>
          <w:szCs w:val="32"/>
          <w:lang w:val="en-US" w:eastAsia="zh-CN"/>
        </w:rPr>
        <w:t>64.09%</w:t>
      </w:r>
      <w:r>
        <w:rPr>
          <w:rFonts w:hint="eastAsia" w:ascii="仿宋" w:hAnsi="仿宋" w:eastAsia="仿宋" w:cs="仿宋"/>
          <w:sz w:val="32"/>
          <w:szCs w:val="32"/>
        </w:rPr>
        <w:t>。</w:t>
      </w:r>
    </w:p>
    <w:p w14:paraId="4C8E68E5">
      <w:pPr>
        <w:keepNext w:val="0"/>
        <w:keepLines w:val="0"/>
        <w:pageBreakBefore w:val="0"/>
        <w:wordWrap/>
        <w:overflowPunct/>
        <w:topLinePunct w:val="0"/>
        <w:bidi w:val="0"/>
        <w:spacing w:line="360" w:lineRule="auto"/>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32"/>
          <w:szCs w:val="32"/>
        </w:rPr>
        <w:t>按支出功能科目分类：</w:t>
      </w:r>
      <w:r>
        <w:rPr>
          <w:rFonts w:hint="eastAsia" w:ascii="仿宋" w:hAnsi="仿宋" w:eastAsia="仿宋" w:cs="仿宋"/>
          <w:sz w:val="32"/>
          <w:szCs w:val="32"/>
          <w:lang w:eastAsia="zh-CN"/>
        </w:rPr>
        <w:t>本年度</w:t>
      </w:r>
      <w:r>
        <w:rPr>
          <w:rFonts w:hint="eastAsia" w:ascii="仿宋" w:hAnsi="仿宋" w:eastAsia="仿宋" w:cs="仿宋"/>
          <w:b w:val="0"/>
          <w:bCs w:val="0"/>
          <w:color w:val="000000" w:themeColor="text1"/>
          <w:sz w:val="32"/>
          <w:szCs w:val="32"/>
          <w:u w:val="none"/>
          <w14:textFill>
            <w14:solidFill>
              <w14:schemeClr w14:val="tx1"/>
            </w14:solidFill>
          </w14:textFill>
        </w:rPr>
        <w:t>部门支出总表</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524.45</w:t>
      </w:r>
      <w:r>
        <w:rPr>
          <w:rFonts w:hint="eastAsia" w:ascii="仿宋" w:hAnsi="仿宋" w:eastAsia="仿宋" w:cs="仿宋"/>
          <w:b w:val="0"/>
          <w:bCs w:val="0"/>
          <w:color w:val="000000" w:themeColor="text1"/>
          <w:sz w:val="32"/>
          <w:szCs w:val="32"/>
          <w:u w:val="none"/>
          <w14:textFill>
            <w14:solidFill>
              <w14:schemeClr w14:val="tx1"/>
            </w14:solidFill>
          </w14:textFill>
        </w:rPr>
        <w:t>万元。</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其中：农林水支出</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400.48万元；卫生健康支出2.73元；社会保障和就业支出113.16万，住房保障支出8.08万元元。</w:t>
      </w:r>
    </w:p>
    <w:p w14:paraId="3C243007">
      <w:pPr>
        <w:keepNext w:val="0"/>
        <w:keepLines w:val="0"/>
        <w:pageBreakBefore w:val="0"/>
        <w:wordWrap/>
        <w:overflowPunct/>
        <w:topLinePunct w:val="0"/>
        <w:bidi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按经济功能科目分类：</w:t>
      </w:r>
      <w:r>
        <w:rPr>
          <w:rFonts w:hint="eastAsia" w:ascii="仿宋" w:hAnsi="仿宋" w:eastAsia="仿宋" w:cs="仿宋"/>
          <w:color w:val="000000" w:themeColor="text1"/>
          <w:sz w:val="32"/>
          <w:szCs w:val="32"/>
          <w14:textFill>
            <w14:solidFill>
              <w14:schemeClr w14:val="tx1"/>
            </w14:solidFill>
          </w14:textFill>
        </w:rPr>
        <w:t>工资福利支出</w:t>
      </w:r>
      <w:r>
        <w:rPr>
          <w:rFonts w:hint="eastAsia" w:ascii="仿宋" w:hAnsi="仿宋" w:eastAsia="仿宋" w:cs="仿宋"/>
          <w:color w:val="000000" w:themeColor="text1"/>
          <w:sz w:val="32"/>
          <w:szCs w:val="32"/>
          <w:lang w:val="en-US" w:eastAsia="zh-CN"/>
          <w14:textFill>
            <w14:solidFill>
              <w14:schemeClr w14:val="tx1"/>
            </w14:solidFill>
          </w14:textFill>
        </w:rPr>
        <w:t>102.97</w:t>
      </w:r>
      <w:r>
        <w:rPr>
          <w:rFonts w:hint="eastAsia" w:ascii="仿宋" w:hAnsi="仿宋" w:eastAsia="仿宋" w:cs="仿宋"/>
          <w:color w:val="000000" w:themeColor="text1"/>
          <w:sz w:val="32"/>
          <w:szCs w:val="32"/>
          <w14:textFill>
            <w14:solidFill>
              <w14:schemeClr w14:val="tx1"/>
            </w14:solidFill>
          </w14:textFill>
        </w:rPr>
        <w:t>万元，商品服务支出</w:t>
      </w:r>
      <w:r>
        <w:rPr>
          <w:rFonts w:hint="eastAsia" w:ascii="仿宋" w:hAnsi="仿宋" w:eastAsia="仿宋" w:cs="仿宋"/>
          <w:color w:val="000000" w:themeColor="text1"/>
          <w:sz w:val="32"/>
          <w:szCs w:val="32"/>
          <w:lang w:val="en-US" w:eastAsia="zh-CN"/>
          <w14:textFill>
            <w14:solidFill>
              <w14:schemeClr w14:val="tx1"/>
            </w14:solidFill>
          </w14:textFill>
        </w:rPr>
        <w:t>15.38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项目支出</w:t>
      </w:r>
      <w:r>
        <w:rPr>
          <w:rFonts w:hint="eastAsia" w:ascii="仿宋" w:hAnsi="仿宋" w:eastAsia="仿宋" w:cs="仿宋"/>
          <w:color w:val="000000" w:themeColor="text1"/>
          <w:sz w:val="32"/>
          <w:szCs w:val="32"/>
          <w:lang w:val="en-US" w:eastAsia="zh-CN"/>
          <w14:textFill>
            <w14:solidFill>
              <w14:schemeClr w14:val="tx1"/>
            </w14:solidFill>
          </w14:textFill>
        </w:rPr>
        <w:t>600.6</w:t>
      </w:r>
      <w:r>
        <w:rPr>
          <w:rFonts w:hint="eastAsia" w:ascii="仿宋" w:hAnsi="仿宋" w:eastAsia="仿宋" w:cs="仿宋"/>
          <w:color w:val="000000" w:themeColor="text1"/>
          <w:sz w:val="32"/>
          <w:szCs w:val="32"/>
          <w14:textFill>
            <w14:solidFill>
              <w14:schemeClr w14:val="tx1"/>
            </w14:solidFill>
          </w14:textFill>
        </w:rPr>
        <w:t>万元。</w:t>
      </w:r>
    </w:p>
    <w:p w14:paraId="3E2BD98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(三)财政拨款支出情况</w:t>
      </w:r>
    </w:p>
    <w:p w14:paraId="15B4F2E2">
      <w:pPr>
        <w:keepNext w:val="0"/>
        <w:keepLines w:val="0"/>
        <w:pageBreakBefore w:val="0"/>
        <w:wordWrap/>
        <w:overflowPunct/>
        <w:topLinePunct w:val="0"/>
        <w:bidi w:val="0"/>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lang w:eastAsia="zh-CN"/>
        </w:rPr>
        <w:t>2024</w:t>
      </w:r>
      <w:r>
        <w:rPr>
          <w:rFonts w:hint="eastAsia" w:ascii="仿宋" w:hAnsi="仿宋" w:eastAsia="仿宋" w:cs="仿宋"/>
          <w:sz w:val="32"/>
          <w:szCs w:val="32"/>
        </w:rPr>
        <w:t>年公共财政拨款支出预算为</w:t>
      </w:r>
      <w:r>
        <w:rPr>
          <w:rFonts w:hint="eastAsia" w:ascii="仿宋" w:hAnsi="仿宋" w:eastAsia="仿宋" w:cs="仿宋"/>
          <w:sz w:val="32"/>
          <w:szCs w:val="32"/>
          <w:lang w:val="en-US" w:eastAsia="zh-CN"/>
        </w:rPr>
        <w:t>454.45</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41.68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8.4%，</w:t>
      </w:r>
      <w:r>
        <w:rPr>
          <w:rFonts w:hint="eastAsia" w:ascii="仿宋" w:hAnsi="仿宋" w:eastAsia="仿宋" w:cs="仿宋"/>
          <w:sz w:val="32"/>
          <w:szCs w:val="32"/>
        </w:rPr>
        <w:t>按支出项目类别划分：基本支出</w:t>
      </w:r>
      <w:r>
        <w:rPr>
          <w:rFonts w:hint="eastAsia" w:ascii="仿宋" w:hAnsi="仿宋" w:eastAsia="仿宋" w:cs="仿宋"/>
          <w:sz w:val="32"/>
          <w:szCs w:val="32"/>
          <w:lang w:val="en-US" w:eastAsia="zh-CN"/>
        </w:rPr>
        <w:t>118.35万元，较</w:t>
      </w:r>
      <w:r>
        <w:rPr>
          <w:rFonts w:hint="eastAsia" w:ascii="仿宋" w:hAnsi="仿宋" w:eastAsia="仿宋" w:cs="仿宋"/>
          <w:sz w:val="32"/>
          <w:szCs w:val="32"/>
        </w:rPr>
        <w:t>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4.8万元，增长4.2%,</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102.97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15.38</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336.1</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46.5万，减少12.15%</w:t>
      </w:r>
      <w:r>
        <w:rPr>
          <w:rFonts w:hint="eastAsia" w:ascii="仿宋" w:hAnsi="仿宋" w:eastAsia="仿宋" w:cs="仿宋"/>
          <w:sz w:val="32"/>
          <w:szCs w:val="32"/>
        </w:rPr>
        <w:t>。</w:t>
      </w:r>
    </w:p>
    <w:p w14:paraId="030206E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(四)政府性基金情况</w:t>
      </w:r>
    </w:p>
    <w:p w14:paraId="55A313B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2024年无政府性基金。</w:t>
      </w:r>
    </w:p>
    <w:p w14:paraId="234C1EF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(五)国有资本经营情况</w:t>
      </w:r>
    </w:p>
    <w:p w14:paraId="2F2DE6D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2024年没有使用国有资本经营预算拨款安排的支出。</w:t>
      </w:r>
    </w:p>
    <w:p w14:paraId="7E1E46B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632359E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15.38</w:t>
      </w:r>
      <w:r>
        <w:rPr>
          <w:rFonts w:hint="eastAsia" w:ascii="仿宋_GB2312" w:hAnsi="Times New Roman" w:eastAsia="仿宋_GB2312" w:cs="Times New Roman"/>
          <w:snapToGrid/>
          <w:kern w:val="2"/>
          <w:sz w:val="32"/>
          <w:szCs w:val="32"/>
        </w:rPr>
        <w:t xml:space="preserve"> 万元，比202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年预算</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2.27</w:t>
      </w:r>
      <w:r>
        <w:rPr>
          <w:rFonts w:hint="eastAsia" w:ascii="仿宋_GB2312" w:hAnsi="Times New Roman" w:eastAsia="仿宋_GB2312" w:cs="Times New Roman"/>
          <w:snapToGrid/>
          <w:kern w:val="2"/>
          <w:sz w:val="32"/>
          <w:szCs w:val="32"/>
        </w:rPr>
        <w:t>万元。</w:t>
      </w:r>
    </w:p>
    <w:p w14:paraId="5F84FCF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66225E6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59C074C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元。</w:t>
      </w:r>
    </w:p>
    <w:p w14:paraId="6D6D83B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12F80F3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辆，执法执勤用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14:paraId="178471B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r>
        <w:rPr>
          <w:rFonts w:hint="eastAsia" w:ascii="仿宋_GB2312" w:hAnsi="Times New Roman" w:eastAsia="仿宋_GB2312" w:cs="Times New Roman"/>
          <w:snapToGrid/>
          <w:kern w:val="2"/>
          <w:sz w:val="32"/>
          <w:szCs w:val="32"/>
          <w:lang w:eastAsia="zh-CN"/>
        </w:rPr>
        <w:t>无</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14:paraId="6FBE008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项目情况说明</w:t>
      </w:r>
    </w:p>
    <w:p w14:paraId="427C49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     详见项目支出绩效目标表</w:t>
      </w:r>
    </w:p>
    <w:p w14:paraId="6BACCDC5">
      <w:pPr>
        <w:keepNext w:val="0"/>
        <w:keepLines w:val="0"/>
        <w:pageBreakBefore w:val="0"/>
        <w:wordWrap/>
        <w:overflowPunct/>
        <w:topLinePunct w:val="0"/>
        <w:bidi w:val="0"/>
        <w:spacing w:before="214" w:line="360" w:lineRule="auto"/>
        <w:rPr>
          <w:rFonts w:ascii="楷体" w:hAnsi="楷体" w:eastAsia="楷体" w:cs="楷体"/>
          <w:spacing w:val="13"/>
          <w:sz w:val="32"/>
          <w:szCs w:val="32"/>
        </w:rPr>
      </w:pPr>
      <w:r>
        <w:rPr>
          <w:rFonts w:hint="eastAsia" w:ascii="楷体" w:hAnsi="楷体" w:eastAsia="楷体" w:cs="楷体"/>
          <w:spacing w:val="13"/>
          <w:sz w:val="32"/>
          <w:szCs w:val="32"/>
        </w:rPr>
        <w:t>二、</w:t>
      </w:r>
      <w:r>
        <w:rPr>
          <w:rFonts w:hint="eastAsia" w:ascii="楷体" w:hAnsi="楷体" w:eastAsia="楷体" w:cs="楷体"/>
          <w:spacing w:val="13"/>
          <w:sz w:val="32"/>
          <w:szCs w:val="32"/>
          <w:lang w:eastAsia="zh-CN"/>
        </w:rPr>
        <w:t>2024</w:t>
      </w:r>
      <w:r>
        <w:rPr>
          <w:rFonts w:hint="eastAsia" w:ascii="楷体" w:hAnsi="楷体" w:eastAsia="楷体" w:cs="楷体"/>
          <w:spacing w:val="13"/>
          <w:sz w:val="32"/>
          <w:szCs w:val="32"/>
        </w:rPr>
        <w:t>年"三公”经费预算情况说明</w:t>
      </w:r>
    </w:p>
    <w:p w14:paraId="3D467AE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乡村振兴</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2.5</w:t>
      </w:r>
      <w:r>
        <w:rPr>
          <w:rFonts w:hint="eastAsia" w:ascii="仿宋_GB2312" w:hAnsi="Times New Roman" w:eastAsia="仿宋_GB2312" w:cs="Times New Roman"/>
          <w:snapToGrid/>
          <w:kern w:val="2"/>
          <w:sz w:val="32"/>
          <w:szCs w:val="32"/>
        </w:rPr>
        <w:t>万元。其中:因公出国(境)费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万元。公务接待费</w:t>
      </w:r>
      <w:r>
        <w:rPr>
          <w:rFonts w:hint="eastAsia" w:ascii="仿宋_GB2312" w:hAnsi="Times New Roman" w:eastAsia="仿宋_GB2312" w:cs="Times New Roman"/>
          <w:snapToGrid/>
          <w:kern w:val="2"/>
          <w:sz w:val="32"/>
          <w:szCs w:val="32"/>
          <w:lang w:val="en-US" w:eastAsia="zh-CN"/>
        </w:rPr>
        <w:t>2.5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2023年度</w:t>
      </w:r>
      <w:r>
        <w:rPr>
          <w:rFonts w:hint="eastAsia" w:ascii="仿宋_GB2312" w:hAnsi="Times New Roman" w:eastAsia="仿宋_GB2312" w:cs="Times New Roman"/>
          <w:snapToGrid/>
          <w:kern w:val="2"/>
          <w:sz w:val="32"/>
          <w:szCs w:val="32"/>
          <w:lang w:eastAsia="zh-CN"/>
        </w:rPr>
        <w:t>乡村振兴</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2.5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，其中</w:t>
      </w: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bookmarkStart w:id="0" w:name="_GoBack"/>
      <w:bookmarkEnd w:id="0"/>
      <w:r>
        <w:rPr>
          <w:rFonts w:hint="eastAsia" w:ascii="仿宋_GB2312" w:hAnsi="Times New Roman" w:eastAsia="仿宋_GB2312" w:cs="Times New Roman"/>
          <w:snapToGrid/>
          <w:kern w:val="2"/>
          <w:sz w:val="32"/>
          <w:szCs w:val="32"/>
          <w:lang w:eastAsia="zh-CN"/>
        </w:rPr>
        <w:t>与上年度无增减</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bidi="ar-SA"/>
        </w:rPr>
        <w:t>主要原因是落实过劲日子要求，公务接待预算缩减，</w:t>
      </w: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w:t>
      </w:r>
    </w:p>
    <w:p w14:paraId="37203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46FBCE9B">
      <w:pPr>
        <w:keepNext w:val="0"/>
        <w:keepLines w:val="0"/>
        <w:pageBreakBefore w:val="0"/>
        <w:wordWrap/>
        <w:overflowPunct/>
        <w:topLinePunct w:val="0"/>
        <w:bidi w:val="0"/>
        <w:spacing w:before="214" w:line="360" w:lineRule="auto"/>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4E750CB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5A0775A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3B1255F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27E9984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41DBF7D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14A710A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5031367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3341E62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70FF56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年收支差额的数额。</w:t>
      </w:r>
    </w:p>
    <w:p w14:paraId="4C5A31A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7149AD5F">
      <w:pPr>
        <w:keepNext w:val="0"/>
        <w:keepLines w:val="0"/>
        <w:pageBreakBefore w:val="0"/>
        <w:wordWrap/>
        <w:overflowPunct/>
        <w:topLinePunct w:val="0"/>
        <w:bidi w:val="0"/>
        <w:spacing w:before="214" w:line="360" w:lineRule="auto"/>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4D33470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年政府收支分类科目》的规范说明进行解释。</w:t>
      </w:r>
    </w:p>
    <w:p w14:paraId="6531599B">
      <w:pPr>
        <w:keepNext w:val="0"/>
        <w:keepLines w:val="0"/>
        <w:pageBreakBefore w:val="0"/>
        <w:wordWrap/>
        <w:overflowPunct/>
        <w:topLinePunct w:val="0"/>
        <w:bidi w:val="0"/>
        <w:spacing w:before="214" w:line="360" w:lineRule="auto"/>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2EF01A4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 （一）“三公”经费：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6EDBD20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机关运行经费：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11A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51DF2"/>
    <w:multiLevelType w:val="singleLevel"/>
    <w:tmpl w:val="0DC51DF2"/>
    <w:lvl w:ilvl="0" w:tentative="0">
      <w:start w:val="9"/>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2U3Y2IxNzU4OWE4ODUwY2VmMDM0ZTk3MmMwODZiODkifQ=="/>
  </w:docVars>
  <w:rsids>
    <w:rsidRoot w:val="00E637E3"/>
    <w:rsid w:val="0028241F"/>
    <w:rsid w:val="007D2708"/>
    <w:rsid w:val="00A55E03"/>
    <w:rsid w:val="00E637E3"/>
    <w:rsid w:val="04DA103E"/>
    <w:rsid w:val="069556AB"/>
    <w:rsid w:val="0A2F0169"/>
    <w:rsid w:val="0B3768B9"/>
    <w:rsid w:val="0EDD4291"/>
    <w:rsid w:val="0F401220"/>
    <w:rsid w:val="12D534F7"/>
    <w:rsid w:val="12F35900"/>
    <w:rsid w:val="180A0D7A"/>
    <w:rsid w:val="275104A8"/>
    <w:rsid w:val="28B74E8B"/>
    <w:rsid w:val="2AFA52AB"/>
    <w:rsid w:val="325D7BAC"/>
    <w:rsid w:val="41BE739E"/>
    <w:rsid w:val="46B40CE3"/>
    <w:rsid w:val="474E6296"/>
    <w:rsid w:val="476D2917"/>
    <w:rsid w:val="47D77BCB"/>
    <w:rsid w:val="52146798"/>
    <w:rsid w:val="535A3AA7"/>
    <w:rsid w:val="59A85359"/>
    <w:rsid w:val="5D24489D"/>
    <w:rsid w:val="5EC73876"/>
    <w:rsid w:val="6491047C"/>
    <w:rsid w:val="65781090"/>
    <w:rsid w:val="68486445"/>
    <w:rsid w:val="6C0006DE"/>
    <w:rsid w:val="7D067899"/>
    <w:rsid w:val="7E3053E5"/>
    <w:rsid w:val="7E90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2355</Words>
  <Characters>2582</Characters>
  <Lines>14</Lines>
  <Paragraphs>4</Paragraphs>
  <TotalTime>0</TotalTime>
  <ScaleCrop>false</ScaleCrop>
  <LinksUpToDate>false</LinksUpToDate>
  <CharactersWithSpaces>2605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洋洋</cp:lastModifiedBy>
  <dcterms:modified xsi:type="dcterms:W3CDTF">2025-08-06T01:22:58Z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2052-12.1.0.22215</vt:lpwstr>
  </property>
  <property fmtid="{D5CDD505-2E9C-101B-9397-08002B2CF9AE}" pid="5" name="ICV">
    <vt:lpwstr>44B587CE592346A1B30F100CA591A4D7</vt:lpwstr>
  </property>
  <property fmtid="{D5CDD505-2E9C-101B-9397-08002B2CF9AE}" pid="6" name="KSOTemplateDocerSaveRecord">
    <vt:lpwstr>eyJoZGlkIjoiY2U3Y2IxNzU4OWE4ODUwY2VmMDM0ZTk3MmMwODZiODkiLCJ1c2VySWQiOiIyNjM2NjE3NTUifQ==</vt:lpwstr>
  </property>
</Properties>
</file>