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E32F0">
      <w:pPr>
        <w:spacing w:before="104" w:line="224" w:lineRule="auto"/>
        <w:ind w:left="2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 w:cs="黑体"/>
          <w:spacing w:val="16"/>
          <w:sz w:val="32"/>
          <w:szCs w:val="32"/>
        </w:rPr>
        <w:t>附件2</w:t>
      </w:r>
    </w:p>
    <w:p w14:paraId="31275F2C">
      <w:pPr>
        <w:kinsoku w:val="0"/>
        <w:autoSpaceDE w:val="0"/>
        <w:autoSpaceDN w:val="0"/>
        <w:adjustRightInd w:val="0"/>
        <w:snapToGrid w:val="0"/>
        <w:spacing w:line="28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0F3AF8D">
      <w:pPr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BDE1535">
      <w:pPr>
        <w:spacing w:before="146" w:line="219" w:lineRule="auto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hint="eastAsia" w:ascii="宋体" w:hAnsi="宋体" w:eastAsia="宋体" w:cs="宋体"/>
          <w:b/>
          <w:bCs/>
          <w:spacing w:val="-8"/>
          <w:sz w:val="45"/>
          <w:szCs w:val="45"/>
          <w:lang w:eastAsia="zh-CN"/>
        </w:rPr>
        <w:t>浮梁县农业农村局</w:t>
      </w:r>
      <w:r>
        <w:rPr>
          <w:rFonts w:ascii="宋体" w:hAnsi="宋体" w:eastAsia="宋体" w:cs="宋体"/>
          <w:b/>
          <w:bCs/>
          <w:spacing w:val="-8"/>
          <w:sz w:val="45"/>
          <w:szCs w:val="45"/>
        </w:rPr>
        <w:t>2022年度决算</w:t>
      </w:r>
    </w:p>
    <w:p w14:paraId="0A7C87EA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4DE7617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9EDD3DA">
      <w:pPr>
        <w:spacing w:before="104" w:line="222" w:lineRule="auto"/>
        <w:ind w:left="375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目</w:t>
      </w:r>
      <w:r>
        <w:rPr>
          <w:rFonts w:hint="eastAsia" w:ascii="黑体" w:hAnsi="黑体" w:eastAsia="黑体" w:cs="黑体"/>
          <w:b/>
          <w:bCs/>
          <w:spacing w:val="-30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录</w:t>
      </w:r>
    </w:p>
    <w:p w14:paraId="273ABFB9">
      <w:pPr>
        <w:kinsoku w:val="0"/>
        <w:autoSpaceDE w:val="0"/>
        <w:autoSpaceDN w:val="0"/>
        <w:adjustRightInd w:val="0"/>
        <w:snapToGrid w:val="0"/>
        <w:spacing w:line="3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B0AEFE3">
      <w:pPr>
        <w:kinsoku w:val="0"/>
        <w:autoSpaceDE w:val="0"/>
        <w:autoSpaceDN w:val="0"/>
        <w:adjustRightInd w:val="0"/>
        <w:snapToGrid w:val="0"/>
        <w:spacing w:line="3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E2763C0">
      <w:pPr>
        <w:spacing w:before="105" w:line="221" w:lineRule="auto"/>
        <w:ind w:left="66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第一部分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eastAsia="zh-CN"/>
        </w:rPr>
        <w:t>浮梁县农业农村局</w:t>
      </w: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单位概况</w:t>
      </w:r>
    </w:p>
    <w:p w14:paraId="6ED1DF54">
      <w:pPr>
        <w:spacing w:before="219" w:line="61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position w:val="21"/>
          <w:sz w:val="32"/>
          <w:szCs w:val="32"/>
        </w:rPr>
        <w:t>一、单位主要职责</w:t>
      </w:r>
    </w:p>
    <w:p w14:paraId="17C71B5E">
      <w:pPr>
        <w:spacing w:before="1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二、单位基本情况</w:t>
      </w:r>
    </w:p>
    <w:p w14:paraId="5E0CAB3F">
      <w:pPr>
        <w:spacing w:before="196" w:line="222" w:lineRule="auto"/>
        <w:ind w:left="67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第二部分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2022年度单位决算表</w:t>
      </w:r>
    </w:p>
    <w:p w14:paraId="704567B9">
      <w:pPr>
        <w:spacing w:before="248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9"/>
          <w:sz w:val="32"/>
          <w:szCs w:val="32"/>
        </w:rPr>
        <w:t>一、收入支出决算总表</w:t>
      </w:r>
    </w:p>
    <w:p w14:paraId="080848E3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9"/>
          <w:sz w:val="32"/>
          <w:szCs w:val="32"/>
        </w:rPr>
        <w:t>二、收入决算表</w:t>
      </w:r>
    </w:p>
    <w:p w14:paraId="544A335B">
      <w:pPr>
        <w:spacing w:before="21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0"/>
          <w:sz w:val="32"/>
          <w:szCs w:val="32"/>
        </w:rPr>
        <w:t>三、支出决算表</w:t>
      </w:r>
    </w:p>
    <w:p w14:paraId="40F2E9D8">
      <w:pPr>
        <w:spacing w:before="22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四、财政拨款收入支出决算总表</w:t>
      </w:r>
    </w:p>
    <w:p w14:paraId="4C787890">
      <w:pPr>
        <w:spacing w:before="216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五、一般公共预算财政拨款支出决算表</w:t>
      </w:r>
    </w:p>
    <w:p w14:paraId="3439ACA0">
      <w:pPr>
        <w:spacing w:before="23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六、一般公共预算财政拨款基本支出决算表</w:t>
      </w:r>
    </w:p>
    <w:p w14:paraId="48338D63">
      <w:pPr>
        <w:spacing w:before="193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七、政府性基金预算财政拨款收入支出决算表</w:t>
      </w:r>
    </w:p>
    <w:p w14:paraId="4DACC2B2">
      <w:pPr>
        <w:spacing w:before="241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position w:val="19"/>
          <w:sz w:val="32"/>
          <w:szCs w:val="32"/>
        </w:rPr>
        <w:t>八、国有资本经营预算财政拨款支出决算表</w:t>
      </w:r>
    </w:p>
    <w:p w14:paraId="0B4662B8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九、财政拨款“三公”经费支出决算表</w:t>
      </w:r>
    </w:p>
    <w:p w14:paraId="3E37BBB9">
      <w:pPr>
        <w:spacing w:before="208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十、国有资产占用情况表</w:t>
      </w:r>
    </w:p>
    <w:p w14:paraId="55C10AF5">
      <w:pPr>
        <w:spacing w:line="222" w:lineRule="auto"/>
        <w:rPr>
          <w:rFonts w:ascii="仿宋" w:hAnsi="仿宋" w:eastAsia="仿宋" w:cs="仿宋"/>
          <w:sz w:val="32"/>
          <w:szCs w:val="32"/>
        </w:rPr>
        <w:sectPr>
          <w:headerReference r:id="rId5" w:type="default"/>
          <w:footerReference r:id="rId6" w:type="default"/>
          <w:pgSz w:w="11840" w:h="16780"/>
          <w:pgMar w:top="400" w:right="1482" w:bottom="1635" w:left="1610" w:header="0" w:footer="1317" w:gutter="0"/>
          <w:pgNumType w:fmt="decimal"/>
          <w:cols w:space="720" w:num="1"/>
        </w:sectPr>
      </w:pPr>
    </w:p>
    <w:p w14:paraId="08BA9874">
      <w:pPr>
        <w:spacing w:before="101" w:line="221" w:lineRule="auto"/>
        <w:ind w:firstLine="646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第三部分</w:t>
      </w:r>
      <w:r>
        <w:rPr>
          <w:rFonts w:hint="eastAsia" w:ascii="黑体" w:hAnsi="黑体" w:eastAsia="黑体" w:cs="黑体"/>
          <w:b/>
          <w:bCs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2022年度单位决算情况说明</w:t>
      </w:r>
    </w:p>
    <w:p w14:paraId="5F90E283">
      <w:pPr>
        <w:spacing w:before="232" w:line="62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一、收入决算情况说明</w:t>
      </w:r>
    </w:p>
    <w:p w14:paraId="51CEBD88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二、支出决算情况说明</w:t>
      </w:r>
    </w:p>
    <w:p w14:paraId="7D753B31">
      <w:pPr>
        <w:spacing w:before="217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三、财政拨款支出决算情况说明</w:t>
      </w:r>
    </w:p>
    <w:p w14:paraId="52EBB4E6">
      <w:pPr>
        <w:spacing w:before="227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21"/>
          <w:sz w:val="31"/>
          <w:szCs w:val="31"/>
        </w:rPr>
        <w:t>四、一般公共预算财政拨款基本支出决算情况说明</w:t>
      </w:r>
    </w:p>
    <w:p w14:paraId="1AA56999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五、财政拨款“三公”经费支出决算情况说明</w:t>
      </w:r>
    </w:p>
    <w:p w14:paraId="7C853E3A">
      <w:pPr>
        <w:spacing w:before="236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六、机关运行经费支出情况说明</w:t>
      </w:r>
    </w:p>
    <w:p w14:paraId="40A00973">
      <w:pPr>
        <w:spacing w:before="232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1"/>
          <w:sz w:val="31"/>
          <w:szCs w:val="31"/>
        </w:rPr>
        <w:t>七、政府采购支出情况说明</w:t>
      </w:r>
    </w:p>
    <w:p w14:paraId="4E063B58">
      <w:pPr>
        <w:spacing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八、国有资产占用情况说明</w:t>
      </w:r>
    </w:p>
    <w:p w14:paraId="73DF4276">
      <w:pPr>
        <w:spacing w:before="225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九、预算绩效情况说明</w:t>
      </w:r>
    </w:p>
    <w:p w14:paraId="4DA8F953">
      <w:pPr>
        <w:spacing w:before="225" w:line="222" w:lineRule="auto"/>
        <w:ind w:left="654"/>
        <w:rPr>
          <w:rFonts w:ascii="黑体" w:hAnsi="黑体" w:eastAsia="黑体" w:cs="黑体"/>
          <w:sz w:val="31"/>
          <w:szCs w:val="31"/>
        </w:rPr>
        <w:sectPr>
          <w:footerReference r:id="rId7" w:type="default"/>
          <w:pgSz w:w="11840" w:h="16800"/>
          <w:pgMar w:top="400" w:right="1776" w:bottom="1607" w:left="1630" w:header="0" w:footer="1300" w:gutter="0"/>
          <w:pgNumType w:fmt="decimal"/>
          <w:cols w:space="720" w:num="1"/>
        </w:sectPr>
      </w:pPr>
      <w:r>
        <w:rPr>
          <w:rFonts w:ascii="黑体" w:hAnsi="黑体" w:eastAsia="黑体" w:cs="黑体"/>
          <w:b/>
          <w:bCs/>
          <w:sz w:val="31"/>
          <w:szCs w:val="31"/>
        </w:rPr>
        <w:t>第四部分</w:t>
      </w:r>
      <w:r>
        <w:rPr>
          <w:rFonts w:hint="eastAsia" w:ascii="黑体" w:hAnsi="黑体" w:eastAsia="黑体" w:cs="黑体"/>
          <w:b/>
          <w:bCs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z w:val="31"/>
          <w:szCs w:val="31"/>
        </w:rPr>
        <w:t>名词解释</w:t>
      </w:r>
    </w:p>
    <w:p w14:paraId="17840CAA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第一部分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eastAsia="zh-CN"/>
        </w:rPr>
        <w:t>浮梁县农业农村局</w:t>
      </w: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概况</w:t>
      </w:r>
    </w:p>
    <w:p w14:paraId="63EE1535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D825AE8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DA1A9A">
      <w:pPr>
        <w:spacing w:before="107" w:line="221" w:lineRule="auto"/>
        <w:ind w:left="604"/>
        <w:outlineLvl w:val="0"/>
        <w:rPr>
          <w:rFonts w:hint="eastAsia" w:ascii="黑体" w:hAnsi="黑体" w:eastAsia="黑体" w:cs="黑体"/>
          <w:b/>
          <w:bCs/>
          <w:spacing w:val="-19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9"/>
          <w:sz w:val="32"/>
          <w:szCs w:val="32"/>
        </w:rPr>
        <w:t>一、单位主要职责</w:t>
      </w:r>
    </w:p>
    <w:p w14:paraId="429C42C6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1．主要职能。</w:t>
      </w:r>
    </w:p>
    <w:p w14:paraId="79898C42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一）负责全县农业和农村工作的组织领导及综合协调。贯彻执行党和国家有关农业农村经济工作的方针政策、法律法规，拟订并组织实施全县种植业、畜牧业、渔业、农业机械化、农产品加工等农业产业和农村经济发展规划，提出农村改革发展建议；承担农村经济与社会发展预测及综合统计工作。</w:t>
      </w:r>
    </w:p>
    <w:p w14:paraId="731AB96B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二）承担完善农村经营管理体制的责任。深化农村经济体制改革和稳定完善农村基本经营制度，指导农村土地承包、耕地使用权流转和承包纠纷仲裁工作；指导、监督减轻农民负担和村民筹资筹劳管理工作，指导农村集体资产和财务管理工作；指导和扶持农业社会化服务体系、农村合作经济组织、农民专业合作社和农产品行业协会的建设与发展。</w:t>
      </w:r>
    </w:p>
    <w:p w14:paraId="4887EC32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三）指导全县农业生产。组织落实促进主要农产品生产发展的相关政策措施，指导农业标准化、规模化生产，引导农业产业结构调整和农产品品质改善；提出农业固定资产投资规模和方向、县级发展农业的财政性资金安排建议；配合有关部门组织实施农业综合开发和基本农田建设项目。</w:t>
      </w:r>
    </w:p>
    <w:p w14:paraId="4BD50AB2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四）指导全县农业产业化发展。促进农业产前、产中、产后一体化发展。拟订并组织实施农产品加工业发展规划，提出农业产业保护政策建议，培育、保护和发展农产品品牌；指导农产品加工业结构调整、技术创新和服务体系建设；制定农业生产资料、主要农产品市场体系建设发展规划。</w:t>
      </w:r>
    </w:p>
    <w:p w14:paraId="06F99871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五）承担农产品质量安全监督管理责任。开展农产品安全风险评估，组织农产品质量安全监测，发布有关农产品质量安全信息；拟订有关农产品质量安全的地方标准，并会同有关部门组织实施；指导农业检验检测体系建设；依法实施符合安全标准的农产品产地认定和产品认证；组织农产品质量安全的监督管理。</w:t>
      </w:r>
    </w:p>
    <w:p w14:paraId="199CDF9C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六）依法开展有关农业生产资料行政许可的初审及监督管理。实施农作物种子（种苗）、草种、种畜禽、农药、兽药、饲料、饲料添加剂的许可及初审、报批及监督管理；负责渔政渔港监督管理和渔船检测检验管理工作；组织实施有关农业生产资料的地方标准；开展兽医医疗器械和有关肥料的监督管理；指导农业机械化发展、农机安全监理和机动渔业船舶操作手培训工作。</w:t>
      </w:r>
    </w:p>
    <w:p w14:paraId="62E2B9FB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七）负责农作物重大病虫害及动物重大疫病防控。指导动植物防疫和检疫体系建设；组织、监督县内动植物防疫检疫工作，发布疫情并组织扑灭；组织植物检疫性有害生物普查；承担引进农作物种子（种苗）检疫工作；负责兽医医改、兽药药政监督管理、牲畜定点屠宰监督管理工作。</w:t>
      </w:r>
    </w:p>
    <w:p w14:paraId="256988F4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（八）承担农业防灾减灾工作。监测、发布农业灾情；组织开展种子、化肥等救灾物资储备和调拨工作；提出农业生产救灾资金安排建议；指导农业紧急救灾和灾后恢复生产。</w:t>
      </w:r>
    </w:p>
    <w:p w14:paraId="2CD4EAD5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（九）管理农业和农村经济信息。监测分析农业和农村经济运行，发布农业和农村经济信息；开展相关农业统计工作；负责农业信息体系建设，组织开展农业信息服务。</w:t>
      </w:r>
    </w:p>
    <w:p w14:paraId="2F72FCC3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十）指导农业科技创新和技术推广。拟订并组织实施农业科研、农技推广规划、计划，会同有关部门组织农业科技创新体系和农业产业技术体系建设；组织实施农业领域应用技术研究、科技成果转化和技术推广；负责农业科技成果管理，组织引进农业先进技术；负责农业植物新品种保护、农业转基因生物的生产加工许可的初审和报批及安全监督管理；指导农技推广体系改革与建设。</w:t>
      </w:r>
    </w:p>
    <w:p w14:paraId="185CBA6F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十一）负责农业农村人才队伍建设。会同有关部门拟订农业农村人才队伍建设规划并组织实施，指导农业职业教育和职业技术开发，组织农村实用人才和农村劳动力转移培训等工作；组织和指导农业专业技术职务任职资格、农业行业技术工人等级考核与评审工作，会同有关部门组织农业管理干部和技术人员的教育培训；会同有关部门实施农业农村专业人员从业资格管理，负责农民技术职称评定工作。</w:t>
      </w:r>
    </w:p>
    <w:p w14:paraId="2FC91E5B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（十二）负责农业资源区划和资源保护工作。拟订农用地、耕地、基本农田质量保护与改良措施并指导实施，依法管理耕地质量；运用工程、农艺、农机、生物等措施，发展资源节约型、环境友好型农业。</w:t>
      </w:r>
    </w:p>
    <w:p w14:paraId="1610BFE5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十三）负责农业生态和农村能源有关工作。制定并实施农业生态建设规划；指导农村可再生能源综合开发与利用、农业生物质产业发展、农业农村节能减排、农业面源污染治理；提出划定农产品禁止生产区域的意见、建议和报批工作，指导生态农业、循环农业发展；负责保护渔业水域生态环境，牵头管理外来物种。</w:t>
      </w:r>
    </w:p>
    <w:p w14:paraId="1970C077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（十四）协调农业各产业和农村经济发展；指导农村二、三产业发展，扶持发展农产品加工流通业、乡村旅游等服务业。</w:t>
      </w:r>
    </w:p>
    <w:p w14:paraId="1DAB862D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（十五）组织和指导全县社会主义新农村建设。提出农村社会事业发展政策建议，并协调相关事项；组织开展新农村建设试点工作；参与农村社会发展、基层组织建设、精神文明建设和民主法制建设相关工作。</w:t>
      </w:r>
    </w:p>
    <w:p w14:paraId="3A28B0C0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（十六）组织开展对外农业贸易和经济、技术交流与合作；协助有关部门组织实施农业外援项目。</w:t>
      </w:r>
    </w:p>
    <w:p w14:paraId="311925B7">
      <w:pPr>
        <w:spacing w:before="296" w:line="222" w:lineRule="auto"/>
        <w:ind w:firstLine="600" w:firstLineChars="200"/>
        <w:outlineLvl w:val="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（十七）承办县委、县人民政府和上级业务部门交办的其他事项。</w:t>
      </w:r>
    </w:p>
    <w:p w14:paraId="50A486FC">
      <w:pPr>
        <w:spacing w:before="296" w:line="222" w:lineRule="auto"/>
        <w:ind w:firstLine="587" w:firstLineChars="200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9"/>
          <w:sz w:val="33"/>
          <w:szCs w:val="33"/>
        </w:rPr>
        <w:t>二、单位基本情况</w:t>
      </w:r>
    </w:p>
    <w:p w14:paraId="2DC867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2" w:line="600" w:lineRule="exact"/>
        <w:ind w:firstLine="616" w:firstLineChars="200"/>
        <w:textAlignment w:val="baseline"/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</w:pP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本单位2022年年末实有人数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37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人，其中在职人员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24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人，离休人员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0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人，退休人员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13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人(含由养老保险基金发放养老金的离退休人员);年末遗属人员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2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人；其他人员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12人，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年末学生人数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0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人；由养老保险基金发放养老金的离退休人员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13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人。</w:t>
      </w:r>
    </w:p>
    <w:p w14:paraId="316AD4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2" w:line="600" w:lineRule="exact"/>
        <w:textAlignment w:val="baseline"/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sectPr>
          <w:footerReference r:id="rId8" w:type="default"/>
          <w:pgSz w:w="11840" w:h="16780"/>
          <w:pgMar w:top="400" w:right="1462" w:bottom="1651" w:left="1650" w:header="0" w:footer="1324" w:gutter="0"/>
          <w:pgNumType w:fmt="decimal"/>
          <w:cols w:space="720" w:num="1"/>
        </w:sectPr>
      </w:pPr>
    </w:p>
    <w:p w14:paraId="7A33DB65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第二部分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2022年度单位决算表</w:t>
      </w:r>
    </w:p>
    <w:p w14:paraId="080AC8E2">
      <w:pPr>
        <w:spacing w:before="20"/>
      </w:pPr>
    </w:p>
    <w:p w14:paraId="242B42A0">
      <w:pPr>
        <w:spacing w:before="20"/>
      </w:pPr>
    </w:p>
    <w:p w14:paraId="747E045F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sectPr>
          <w:footerReference r:id="rId9" w:type="default"/>
          <w:pgSz w:w="11840" w:h="16780"/>
          <w:pgMar w:top="400" w:right="1555" w:bottom="1579" w:left="1630" w:header="0" w:footer="1311" w:gutter="0"/>
          <w:pgNumType w:fmt="decimal"/>
          <w:cols w:space="720" w:num="1"/>
        </w:sectPr>
      </w:pPr>
      <w:r>
        <w:drawing>
          <wp:inline distT="0" distB="0" distL="114300" distR="114300">
            <wp:extent cx="5490210" cy="5220970"/>
            <wp:effectExtent l="0" t="0" r="1524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522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FEEBE">
      <w:pPr>
        <w:spacing w:before="17"/>
      </w:pPr>
      <w:r>
        <w:drawing>
          <wp:inline distT="0" distB="0" distL="114300" distR="114300">
            <wp:extent cx="5550535" cy="3488690"/>
            <wp:effectExtent l="0" t="0" r="1206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348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57520" cy="1437005"/>
            <wp:effectExtent l="0" t="0" r="508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5752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E6B8">
      <w:pPr>
        <w:spacing w:before="17"/>
      </w:pPr>
    </w:p>
    <w:p w14:paraId="2493290C">
      <w:pPr>
        <w:spacing w:before="27"/>
      </w:pPr>
    </w:p>
    <w:p w14:paraId="618A6B36">
      <w:pPr>
        <w:spacing w:before="27"/>
      </w:pPr>
    </w:p>
    <w:p w14:paraId="73683A15">
      <w:pPr>
        <w:spacing w:before="27"/>
      </w:pPr>
    </w:p>
    <w:p w14:paraId="3EF8D268">
      <w:pPr>
        <w:spacing w:before="27"/>
      </w:pPr>
      <w:r>
        <w:drawing>
          <wp:inline distT="0" distB="0" distL="114300" distR="114300">
            <wp:extent cx="5554980" cy="5512435"/>
            <wp:effectExtent l="0" t="0" r="762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54980" cy="551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C2555">
      <w:pPr>
        <w:spacing w:before="27"/>
      </w:pPr>
    </w:p>
    <w:p w14:paraId="26DB3D39">
      <w:pPr>
        <w:spacing w:before="26"/>
      </w:pPr>
    </w:p>
    <w:p w14:paraId="6CCBDE21">
      <w:pPr>
        <w:spacing w:before="39" w:line="219" w:lineRule="auto"/>
        <w:ind w:left="25"/>
        <w:rPr>
          <w:rFonts w:hint="eastAsia"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注：本表反映部门(单位)本年</w:t>
      </w:r>
      <w:r>
        <w:rPr>
          <w:rFonts w:ascii="宋体" w:hAnsi="宋体" w:eastAsia="宋体" w:cs="宋体"/>
          <w:spacing w:val="-3"/>
          <w:sz w:val="13"/>
          <w:szCs w:val="13"/>
        </w:rPr>
        <w:t>度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各</w:t>
      </w:r>
      <w:r>
        <w:rPr>
          <w:rFonts w:ascii="宋体" w:hAnsi="宋体" w:eastAsia="宋体" w:cs="宋体"/>
          <w:spacing w:val="-3"/>
          <w:sz w:val="13"/>
          <w:szCs w:val="13"/>
        </w:rPr>
        <w:t>项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支出情况。</w:t>
      </w:r>
    </w:p>
    <w:p w14:paraId="76C5144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B2A8B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D03D7C4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1C67F07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9649E1E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7458B6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B3233E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A0C018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B1F387E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7287ECC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ED00D42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9F1AEDF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3335789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6EFED5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43AB4A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EBB5DC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3AFE684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141E206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3DB246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B6A7363">
      <w:pPr>
        <w:spacing w:before="98" w:line="182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2"/>
          <w:sz w:val="30"/>
          <w:szCs w:val="30"/>
        </w:rPr>
        <w:t>—5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4C06D990">
      <w:pPr>
        <w:spacing w:line="182" w:lineRule="auto"/>
        <w:rPr>
          <w:rFonts w:ascii="宋体" w:hAnsi="宋体" w:eastAsia="宋体" w:cs="宋体"/>
          <w:sz w:val="30"/>
          <w:szCs w:val="30"/>
        </w:rPr>
        <w:sectPr>
          <w:footerReference r:id="rId10" w:type="default"/>
          <w:pgSz w:w="11870" w:h="16800"/>
          <w:pgMar w:top="400" w:right="1492" w:bottom="400" w:left="1624" w:header="0" w:footer="0" w:gutter="0"/>
          <w:pgNumType w:fmt="decimal"/>
          <w:cols w:space="720" w:num="1"/>
        </w:sectPr>
      </w:pPr>
    </w:p>
    <w:p w14:paraId="4FE5944A">
      <w:pPr>
        <w:spacing w:before="9"/>
      </w:pPr>
    </w:p>
    <w:p w14:paraId="04B4294C">
      <w:pPr>
        <w:spacing w:before="9"/>
      </w:pPr>
    </w:p>
    <w:p w14:paraId="3691D94B">
      <w:pPr>
        <w:spacing w:before="9"/>
      </w:pPr>
      <w:r>
        <w:drawing>
          <wp:inline distT="0" distB="0" distL="114300" distR="114300">
            <wp:extent cx="5676900" cy="3867785"/>
            <wp:effectExtent l="0" t="0" r="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86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16F1A">
      <w:pPr>
        <w:spacing w:before="49" w:line="219" w:lineRule="auto"/>
        <w:ind w:left="60"/>
        <w:rPr>
          <w:rFonts w:hint="eastAsia" w:ascii="宋体" w:hAnsi="宋体" w:eastAsia="宋体" w:cs="宋体"/>
          <w:sz w:val="12"/>
          <w:szCs w:val="12"/>
          <w:lang w:eastAsia="zh-CN"/>
        </w:rPr>
      </w:pP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注：本表反映部门(单位)本年度一般公共预算财政拨款、政</w:t>
      </w:r>
      <w:r>
        <w:rPr>
          <w:rFonts w:ascii="宋体" w:hAnsi="宋体" w:eastAsia="宋体" w:cs="宋体"/>
          <w:spacing w:val="-1"/>
          <w:sz w:val="12"/>
          <w:szCs w:val="12"/>
        </w:rPr>
        <w:t>府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性基</w:t>
      </w:r>
      <w:r>
        <w:rPr>
          <w:rFonts w:ascii="宋体" w:hAnsi="宋体" w:eastAsia="宋体" w:cs="宋体"/>
          <w:spacing w:val="-1"/>
          <w:sz w:val="12"/>
          <w:szCs w:val="12"/>
        </w:rPr>
        <w:t>金预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算</w:t>
      </w:r>
      <w:r>
        <w:rPr>
          <w:rFonts w:ascii="宋体" w:hAnsi="宋体" w:eastAsia="宋体" w:cs="宋体"/>
          <w:spacing w:val="-1"/>
          <w:sz w:val="12"/>
          <w:szCs w:val="12"/>
        </w:rPr>
        <w:t>财政拨款和国有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资本经营预算财政拨款的总收支和</w:t>
      </w:r>
      <w:r>
        <w:rPr>
          <w:rFonts w:ascii="宋体" w:hAnsi="宋体" w:eastAsia="宋体" w:cs="宋体"/>
          <w:spacing w:val="-2"/>
          <w:sz w:val="12"/>
          <w:szCs w:val="12"/>
          <w:u w:val="single" w:color="auto"/>
        </w:rPr>
        <w:t>年末结转结余情况。</w:t>
      </w:r>
    </w:p>
    <w:p w14:paraId="2F4AEF21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E7F0FE5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7E4CAD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42467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A3F021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4676775" cy="69437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94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D7EE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FA427B2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A6F2C1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E6E3AF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E21844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BABD9F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FD75340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4B619B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55E437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802227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277AD6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90D509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118ADD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E16F21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986CAD0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EDA28D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55488DF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A568C7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858CA4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0D41DA0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4EFD9A0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ECA3A3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14DB1DA">
      <w:pPr>
        <w:spacing w:before="98" w:line="183" w:lineRule="auto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4"/>
          <w:sz w:val="30"/>
          <w:szCs w:val="30"/>
        </w:rPr>
        <w:t>—6—</w:t>
      </w:r>
    </w:p>
    <w:p w14:paraId="4F9074F5">
      <w:pPr>
        <w:spacing w:line="183" w:lineRule="auto"/>
        <w:rPr>
          <w:rFonts w:ascii="宋体" w:hAnsi="宋体" w:eastAsia="宋体" w:cs="宋体"/>
          <w:sz w:val="30"/>
          <w:szCs w:val="30"/>
        </w:rPr>
        <w:sectPr>
          <w:pgSz w:w="11840" w:h="16780"/>
          <w:pgMar w:top="400" w:right="1289" w:bottom="400" w:left="1610" w:header="0" w:footer="0" w:gutter="0"/>
          <w:pgNumType w:fmt="decimal"/>
          <w:cols w:space="720" w:num="1"/>
        </w:sectPr>
      </w:pPr>
    </w:p>
    <w:p w14:paraId="34FCA86C">
      <w:pPr>
        <w:spacing w:before="28"/>
      </w:pPr>
    </w:p>
    <w:p w14:paraId="413DC54F">
      <w:pPr>
        <w:spacing w:before="28"/>
      </w:pPr>
    </w:p>
    <w:p w14:paraId="4A76CF16">
      <w:pPr>
        <w:spacing w:before="28"/>
      </w:pPr>
    </w:p>
    <w:p w14:paraId="46258280">
      <w:pPr>
        <w:spacing w:before="28"/>
      </w:pPr>
    </w:p>
    <w:p w14:paraId="44B6AA13">
      <w:pPr>
        <w:spacing w:before="27"/>
      </w:pPr>
    </w:p>
    <w:p w14:paraId="7713B6C8">
      <w:pPr>
        <w:spacing w:before="27"/>
      </w:pPr>
    </w:p>
    <w:p w14:paraId="3B90FE70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  <w:r>
        <w:drawing>
          <wp:inline distT="0" distB="0" distL="114300" distR="114300">
            <wp:extent cx="5548630" cy="6897370"/>
            <wp:effectExtent l="0" t="0" r="13970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48630" cy="689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6AF2D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4C8E8E7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310510E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6D661ED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4A45006C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6CA72C9D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6A3F553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12180AEB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1EBEDBDF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35A72B7F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60D03C9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37088E1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lang w:val="en-US" w:eastAsia="en-US"/>
        </w:rPr>
      </w:pPr>
    </w:p>
    <w:p w14:paraId="596FF16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DEDE47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15C6B99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885CB7B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C2EA10C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B3F08D8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280199C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4F24258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C145CE8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F2F21B6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26C8459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66AB440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9D12D45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C325B01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6369DE0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6A8384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B551637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97E97B4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BD8CD2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9A90FF4">
      <w:pPr>
        <w:spacing w:before="95" w:line="182" w:lineRule="auto"/>
        <w:jc w:val="right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—7—</w:t>
      </w:r>
    </w:p>
    <w:p w14:paraId="3F578D07">
      <w:pPr>
        <w:spacing w:line="182" w:lineRule="auto"/>
        <w:rPr>
          <w:rFonts w:ascii="宋体" w:hAnsi="宋体" w:eastAsia="宋体" w:cs="宋体"/>
          <w:sz w:val="29"/>
          <w:szCs w:val="29"/>
        </w:rPr>
        <w:sectPr>
          <w:pgSz w:w="11870" w:h="16800"/>
          <w:pgMar w:top="400" w:right="1504" w:bottom="400" w:left="1624" w:header="0" w:footer="0" w:gutter="0"/>
          <w:pgNumType w:fmt="decimal"/>
          <w:cols w:space="720" w:num="1"/>
        </w:sectPr>
      </w:pPr>
    </w:p>
    <w:p w14:paraId="01AFEF6C">
      <w:pPr>
        <w:spacing w:before="8"/>
      </w:pPr>
    </w:p>
    <w:p w14:paraId="5CA43A48">
      <w:pPr>
        <w:spacing w:before="8"/>
      </w:pPr>
    </w:p>
    <w:p w14:paraId="3686BCF8">
      <w:pPr>
        <w:spacing w:before="8"/>
      </w:pPr>
    </w:p>
    <w:p w14:paraId="33088785">
      <w:pPr>
        <w:spacing w:before="8"/>
      </w:pPr>
    </w:p>
    <w:p w14:paraId="6C96A7B7">
      <w:pPr>
        <w:spacing w:before="8"/>
      </w:pPr>
    </w:p>
    <w:p w14:paraId="1B21E94A">
      <w:pPr>
        <w:spacing w:before="7"/>
      </w:pPr>
    </w:p>
    <w:p w14:paraId="4CECD40D">
      <w:pPr>
        <w:spacing w:before="7"/>
      </w:pPr>
    </w:p>
    <w:p w14:paraId="538404D9">
      <w:pPr>
        <w:spacing w:before="19" w:line="219" w:lineRule="auto"/>
        <w:ind w:left="379"/>
        <w:rPr>
          <w:rFonts w:hint="eastAsia" w:ascii="宋体" w:hAnsi="宋体" w:eastAsia="宋体" w:cs="宋体"/>
          <w:sz w:val="14"/>
          <w:szCs w:val="14"/>
          <w:lang w:eastAsia="zh-CN"/>
        </w:rPr>
      </w:pPr>
      <w:r>
        <w:drawing>
          <wp:inline distT="0" distB="0" distL="114300" distR="114300">
            <wp:extent cx="5334635" cy="3614420"/>
            <wp:effectExtent l="0" t="0" r="18415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361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3"/>
          <w:sz w:val="14"/>
          <w:szCs w:val="14"/>
        </w:rPr>
        <w:t>注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：本表</w:t>
      </w:r>
      <w:r>
        <w:rPr>
          <w:rFonts w:ascii="宋体" w:hAnsi="宋体" w:eastAsia="宋体" w:cs="宋体"/>
          <w:spacing w:val="-3"/>
          <w:sz w:val="14"/>
          <w:szCs w:val="14"/>
        </w:rPr>
        <w:t>反映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部门</w:t>
      </w:r>
      <w:r>
        <w:rPr>
          <w:rFonts w:ascii="宋体" w:hAnsi="宋体" w:eastAsia="宋体" w:cs="宋体"/>
          <w:spacing w:val="-3"/>
          <w:sz w:val="14"/>
          <w:szCs w:val="14"/>
        </w:rPr>
        <w:t>(单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位</w:t>
      </w:r>
      <w:r>
        <w:rPr>
          <w:rFonts w:ascii="宋体" w:hAnsi="宋体" w:eastAsia="宋体" w:cs="宋体"/>
          <w:spacing w:val="-3"/>
          <w:sz w:val="14"/>
          <w:szCs w:val="14"/>
        </w:rPr>
        <w:t>)本年度一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般公共预算财政拨款基本支出明细情况。</w:t>
      </w:r>
    </w:p>
    <w:p w14:paraId="100810E9">
      <w:pPr>
        <w:spacing w:before="87" w:line="183" w:lineRule="auto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—8—</w:t>
      </w:r>
    </w:p>
    <w:p w14:paraId="0381AD2D">
      <w:pPr>
        <w:spacing w:line="183" w:lineRule="auto"/>
      </w:pPr>
      <w:r>
        <w:drawing>
          <wp:inline distT="0" distB="0" distL="114300" distR="114300">
            <wp:extent cx="5335905" cy="2938780"/>
            <wp:effectExtent l="0" t="0" r="17145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35905" cy="293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3FA56">
      <w:pPr>
        <w:spacing w:line="183" w:lineRule="auto"/>
        <w:sectPr>
          <w:pgSz w:w="11840" w:h="16780"/>
          <w:pgMar w:top="400" w:right="1776" w:bottom="400" w:left="1650" w:header="0" w:footer="0" w:gutter="0"/>
          <w:pgNumType w:fmt="decimal"/>
          <w:cols w:space="720" w:num="1"/>
        </w:sectPr>
      </w:pPr>
      <w:r>
        <w:drawing>
          <wp:inline distT="0" distB="0" distL="114300" distR="114300">
            <wp:extent cx="5340985" cy="1956435"/>
            <wp:effectExtent l="0" t="0" r="12065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40985" cy="195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33DB8">
      <w:pPr>
        <w:spacing w:before="31"/>
      </w:pPr>
    </w:p>
    <w:p w14:paraId="67BC0AAE">
      <w:pPr>
        <w:spacing w:before="31"/>
      </w:pPr>
    </w:p>
    <w:p w14:paraId="74016553">
      <w:pPr>
        <w:spacing w:before="31"/>
      </w:pPr>
    </w:p>
    <w:p w14:paraId="4A289934">
      <w:pPr>
        <w:spacing w:before="31"/>
      </w:pPr>
    </w:p>
    <w:p w14:paraId="49B1B219">
      <w:pPr>
        <w:spacing w:before="31"/>
      </w:pPr>
    </w:p>
    <w:p w14:paraId="538CCCFE">
      <w:pPr>
        <w:spacing w:before="31"/>
      </w:pPr>
    </w:p>
    <w:p w14:paraId="2DDE207B">
      <w:pPr>
        <w:spacing w:before="2"/>
      </w:pPr>
      <w:r>
        <w:drawing>
          <wp:inline distT="0" distB="0" distL="114300" distR="114300">
            <wp:extent cx="5555615" cy="2256155"/>
            <wp:effectExtent l="0" t="0" r="6985" b="1079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55615" cy="225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3C730">
      <w:pPr>
        <w:spacing w:before="2"/>
      </w:pPr>
    </w:p>
    <w:p w14:paraId="573D0B6A">
      <w:pPr>
        <w:spacing w:before="2"/>
      </w:pPr>
    </w:p>
    <w:p w14:paraId="4C6ADD80">
      <w:pPr>
        <w:spacing w:before="1"/>
      </w:pPr>
    </w:p>
    <w:p w14:paraId="6E66DC22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1F945DC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53075" cy="3145155"/>
            <wp:effectExtent l="0" t="0" r="9525" b="171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14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8F183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20824BF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6DDD04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C930F44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4DBF9B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AC76DD8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C8830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CD92D2">
      <w:pPr>
        <w:spacing w:before="98" w:line="183" w:lineRule="auto"/>
        <w:jc w:val="right"/>
        <w:rPr>
          <w:rFonts w:ascii="宋体" w:hAnsi="宋体" w:eastAsia="宋体" w:cs="宋体"/>
          <w:sz w:val="30"/>
          <w:szCs w:val="30"/>
        </w:rPr>
        <w:sectPr>
          <w:pgSz w:w="11870" w:h="16820"/>
          <w:pgMar w:top="400" w:right="1472" w:bottom="400" w:left="1645" w:header="0" w:footer="0" w:gutter="0"/>
          <w:pgNumType w:fmt="decimal"/>
          <w:cols w:space="720" w:num="1"/>
        </w:sectPr>
      </w:pPr>
      <w:r>
        <w:rPr>
          <w:rFonts w:ascii="宋体" w:hAnsi="宋体" w:eastAsia="宋体" w:cs="宋体"/>
          <w:spacing w:val="-12"/>
          <w:sz w:val="30"/>
          <w:szCs w:val="30"/>
        </w:rPr>
        <w:t>—9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7BA91143">
      <w:pPr>
        <w:spacing w:before="9"/>
      </w:pPr>
    </w:p>
    <w:p w14:paraId="600066E2">
      <w:pPr>
        <w:spacing w:before="9"/>
      </w:pPr>
    </w:p>
    <w:p w14:paraId="4C16499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D6F63C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DC409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487035" cy="4474845"/>
            <wp:effectExtent l="0" t="0" r="18415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447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4E5F7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8B8128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47E5B3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D53B241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82E8C9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21C59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82B685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3D19C67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E1D9B6D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2FC08B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EA8C58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2FFC91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FD3BA5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99B3C18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325117A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4250B81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7039E0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0680F3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930054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8CE0998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3F4DC6B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C4564DE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B9BC6FE">
      <w:pPr>
        <w:spacing w:before="87" w:line="184" w:lineRule="auto"/>
        <w:ind w:left="15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—10—</w:t>
      </w:r>
    </w:p>
    <w:p w14:paraId="0ACA9141"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840" w:h="16800"/>
          <w:pgMar w:top="400" w:right="1559" w:bottom="400" w:left="1634" w:header="0" w:footer="0" w:gutter="0"/>
          <w:pgNumType w:fmt="decimal"/>
          <w:cols w:space="720" w:num="1"/>
        </w:sectPr>
      </w:pPr>
    </w:p>
    <w:p w14:paraId="61AF1D0A">
      <w:pPr>
        <w:spacing w:before="35"/>
      </w:pPr>
    </w:p>
    <w:p w14:paraId="45FA9A6D">
      <w:pPr>
        <w:spacing w:before="35"/>
      </w:pPr>
    </w:p>
    <w:p w14:paraId="31E41149">
      <w:pPr>
        <w:spacing w:before="34"/>
      </w:pPr>
    </w:p>
    <w:p w14:paraId="6B39161D">
      <w:pPr>
        <w:spacing w:before="34"/>
      </w:pPr>
    </w:p>
    <w:p w14:paraId="2E7C01F0">
      <w:pPr>
        <w:spacing w:before="34"/>
      </w:pPr>
    </w:p>
    <w:p w14:paraId="5BF5344A">
      <w:pPr>
        <w:spacing w:before="34"/>
      </w:pPr>
    </w:p>
    <w:p w14:paraId="1F1D3DFA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60060" cy="3763645"/>
            <wp:effectExtent l="0" t="0" r="254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60060" cy="376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CFA7B">
      <w:pPr>
        <w:sectPr>
          <w:footerReference r:id="rId11" w:type="default"/>
          <w:pgSz w:w="11870" w:h="16780"/>
          <w:pgMar w:top="400" w:right="1482" w:bottom="1664" w:left="1624" w:header="0" w:footer="1375" w:gutter="0"/>
          <w:pgNumType w:fmt="decimal"/>
          <w:cols w:space="720" w:num="1"/>
        </w:sectPr>
      </w:pPr>
    </w:p>
    <w:p w14:paraId="378AD4E2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第三部分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2022年度单位决算情况说明</w:t>
      </w:r>
    </w:p>
    <w:p w14:paraId="29B20B83">
      <w:pPr>
        <w:kinsoku w:val="0"/>
        <w:autoSpaceDE w:val="0"/>
        <w:autoSpaceDN w:val="0"/>
        <w:adjustRightInd w:val="0"/>
        <w:snapToGrid w:val="0"/>
        <w:spacing w:line="30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D212B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304" w:firstLineChars="1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一、收入决算情况说明</w:t>
      </w:r>
    </w:p>
    <w:p w14:paraId="33EBD0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本单位2022年度收入总计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20984.29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万元，其中年初结转和结余0万元;本年收入合计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20984.29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万元，由于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2021年浮梁县农业农村局未单独核算，与分局统一做决算，2022年是单独核算，故无法与上年进行比较。</w:t>
      </w:r>
    </w:p>
    <w:p w14:paraId="6D650F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本年收入的具体构成为：财政拨款收入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20984.29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万元，占100%;事业收入0万元，占0%;经营收入0万元，占0%;其他收入0万元，占0%。</w:t>
      </w:r>
    </w:p>
    <w:p w14:paraId="64FB7E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二、支出决算情况说明</w:t>
      </w:r>
    </w:p>
    <w:p w14:paraId="1D6B8E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本单位2022年度支出总计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20984.29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万元。其中本年支出合计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20984.29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万元;年末结转和结余0万元，由于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2021年浮梁县农业农村局未单独核算，与分局统一做决算，2022年是单独核算，故无法与上年进行比较。</w:t>
      </w:r>
    </w:p>
    <w:p w14:paraId="597DA4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本年支出的具体构成为：基本支出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739.12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3.52%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;项目支出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20245.17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96.48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%;经营支出0万元，占0%;其他支出(对附属单位补助支出、上缴上级支出)0万元，占0%。</w:t>
      </w:r>
    </w:p>
    <w:p w14:paraId="5055BA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三、财政拨款支出决算情况说明</w:t>
      </w:r>
    </w:p>
    <w:p w14:paraId="10C54D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本单位2022年度财政拨款本年支出年初预算数为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390.92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20984.29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5367.92%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其中：</w:t>
      </w:r>
    </w:p>
    <w:p w14:paraId="6E5AEEA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财政拨款支出年初预算数为：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390.92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20984.29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5367.92%，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主要原因是：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项目资金未纳入年初预算。</w:t>
      </w:r>
    </w:p>
    <w:p w14:paraId="0C9F554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其他收入支出年初预算数为0万元，决算数为万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51A0A8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default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（三）按支出功能类级科目分：社会保障和就业支出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46.46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万元；卫生健康支出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10.66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万元；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节能环保支出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1068.81万元；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农林水支出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14818.80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；住房保障支出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75万元；粮油物资储备支出201.78万元；城乡社区支出541.40万元；其他支出4221.38万元。</w:t>
      </w:r>
    </w:p>
    <w:p w14:paraId="7DB767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  <w:highlight w:val="none"/>
        </w:rPr>
        <w:t>四、一般公共</w:t>
      </w:r>
      <w:r>
        <w:rPr>
          <w:rFonts w:hint="eastAsia" w:ascii="黑体" w:hAnsi="黑体" w:eastAsia="黑体" w:cs="黑体"/>
          <w:b w:val="0"/>
          <w:bCs w:val="0"/>
          <w:color w:val="auto"/>
          <w:spacing w:val="-8"/>
          <w:sz w:val="32"/>
          <w:szCs w:val="32"/>
          <w:highlight w:val="none"/>
        </w:rPr>
        <w:t>预算财政拨款</w:t>
      </w: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  <w:highlight w:val="none"/>
        </w:rPr>
        <w:t>基本支</w:t>
      </w: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出决算情况说明</w:t>
      </w:r>
    </w:p>
    <w:p w14:paraId="1EC6BE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本单位2022年度一般公共预算财政拨款基本支出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739.12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其中：</w:t>
      </w:r>
    </w:p>
    <w:p w14:paraId="2B9DAB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(一)工资福利支出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584.8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由于2021年浮梁县农业农村局未单独核算，与分局统一做决算，2022年是单独核算，故无法与上年进行比较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1E713A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(二)商品和服务支出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109.18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由于2021年浮梁县农业农村局未单独核算，与分局统一做决算，2022年是单独核算，故无法与上年进行比较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23703E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(三)对个人和家庭补助支出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45.15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由于2021年浮梁县农业农村局未单独核算，与分局统一做决算，2022年是单独核算，故无法与上年进行比较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2F794E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(四)资本性支出0万元，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由于2021年浮梁县农业农村局未单独核算，与分局统一做决算，2022年是单独核算，故无法与上年进行比较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04A530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五、财政拨款“三公”经费支出决算情况说明</w:t>
      </w:r>
    </w:p>
    <w:p w14:paraId="0F320D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本单位2022年度财政拨款“三公”经费支出全年预算数为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万元，完成全年预算的100%,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由于2021年浮梁县农业农村局未单独核算，与分局统一做决算，2022年是单独核算，故无法与上年进行比较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0D43B35C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因公出国(境)支出全年预算数为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38A12F13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公务接待费支出全年预算数为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由于2021年浮梁县农业农村局未单独核算，与分局统一做决算，2022年是单独核算，故无法与上年进行比较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。全年国内公务接待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985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人次，其中外事接待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0B41F9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default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(三)公务用车购置及运行维护费支出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万元，其中公务用车购置全年预算数为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公务用车运行维护费全年预算数为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。</w:t>
      </w:r>
    </w:p>
    <w:p w14:paraId="5594A4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六、机关运行经费支出情况说明</w:t>
      </w:r>
    </w:p>
    <w:p w14:paraId="6149BA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本单位2022年度机关运行经费支出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3.5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由于2021年浮梁县农业农村局未单独核算，与分局统一做决算，2022年是单独核算，故无法与上年进行比较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530829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、国有资产占用情况说明</w:t>
      </w:r>
    </w:p>
    <w:p w14:paraId="217792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截至2022年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12月31日，本单位国有资产占用情况见公开10表《国有资产占用情况表》。</w:t>
      </w:r>
    </w:p>
    <w:p w14:paraId="008DC6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2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148590</wp:posOffset>
            </wp:positionV>
            <wp:extent cx="5542915" cy="3617595"/>
            <wp:effectExtent l="0" t="0" r="635" b="1905"/>
            <wp:wrapNone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361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0711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4A7718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563771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04EC03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777F0B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、预算绩效评价情况说明</w:t>
      </w:r>
    </w:p>
    <w:p w14:paraId="0E0C83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(一)绩效评价工作开展情况。</w:t>
      </w:r>
    </w:p>
    <w:p w14:paraId="1990B6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根据预算绩效管理要求，我单位组织对纳入2022年度部门预算范围的二级项目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个全面开展绩效自评，共涉及资金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20.2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19BAC7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(二)单位决算中项目绩效自评结果。</w:t>
      </w:r>
    </w:p>
    <w:p w14:paraId="1A3012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将2022年度《项目支出绩效自评表》(自选1个项目)进行公开。</w:t>
      </w:r>
    </w:p>
    <w:p w14:paraId="7C4B8E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</w:pPr>
    </w:p>
    <w:p w14:paraId="3A00C940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67DF2396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AF79052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66800215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00985C3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66874B36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74D35918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3A5C590C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13F1B12C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1F522342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59C6C852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E8D2CCB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5EEF8CF6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5811C9C7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578712E0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066BB53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第四部分</w:t>
      </w:r>
      <w:r>
        <w:rPr>
          <w:rFonts w:hint="eastAsia" w:ascii="宋体" w:hAnsi="宋体" w:eastAsia="宋体" w:cs="宋体"/>
          <w:b/>
          <w:bCs/>
          <w:spacing w:val="-3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名词解释</w:t>
      </w:r>
    </w:p>
    <w:p w14:paraId="2515EAED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C24303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7DBDFF">
      <w:pPr>
        <w:kinsoku w:val="0"/>
        <w:autoSpaceDE w:val="0"/>
        <w:autoSpaceDN w:val="0"/>
        <w:adjustRightInd w:val="0"/>
        <w:snapToGrid w:val="0"/>
        <w:spacing w:line="29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2EF1B3B">
      <w:pPr>
        <w:spacing w:before="104" w:line="325" w:lineRule="auto"/>
        <w:ind w:firstLine="64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应对报表项目、政府收支分类科目进行适当说明。</w:t>
      </w:r>
      <w:r>
        <w:rPr>
          <w:rFonts w:ascii="仿宋" w:hAnsi="仿宋" w:eastAsia="仿宋" w:cs="仿宋"/>
          <w:spacing w:val="-9"/>
          <w:sz w:val="32"/>
          <w:szCs w:val="32"/>
        </w:rPr>
        <w:t>(以财</w:t>
      </w:r>
      <w:r>
        <w:rPr>
          <w:rFonts w:ascii="仿宋" w:hAnsi="仿宋" w:eastAsia="仿宋" w:cs="仿宋"/>
          <w:spacing w:val="-8"/>
          <w:sz w:val="32"/>
          <w:szCs w:val="32"/>
        </w:rPr>
        <w:t>务会计制度、政府收支分类科目以及部门预算</w:t>
      </w:r>
      <w:r>
        <w:rPr>
          <w:rFonts w:ascii="仿宋" w:hAnsi="仿宋" w:eastAsia="仿宋" w:cs="仿宋"/>
          <w:spacing w:val="-9"/>
          <w:sz w:val="32"/>
          <w:szCs w:val="32"/>
        </w:rPr>
        <w:t>管理等规定为准，</w:t>
      </w:r>
    </w:p>
    <w:p w14:paraId="66359E84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可结合部门实际情况适当细化)</w:t>
      </w:r>
    </w:p>
    <w:p w14:paraId="41A5A271">
      <w:pPr>
        <w:spacing w:before="184" w:line="560" w:lineRule="exact"/>
        <w:ind w:right="67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position w:val="17"/>
          <w:sz w:val="32"/>
          <w:szCs w:val="32"/>
        </w:rPr>
        <w:t>“三公”经费支出和机关运行经费支出口径必须予以说明</w:t>
      </w:r>
    </w:p>
    <w:p w14:paraId="667BA022">
      <w:pPr>
        <w:spacing w:before="1" w:line="220" w:lineRule="auto"/>
        <w:ind w:left="1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(可参照如下格式进行说明):</w:t>
      </w:r>
    </w:p>
    <w:p w14:paraId="077BA30C">
      <w:pPr>
        <w:spacing w:before="179" w:line="323" w:lineRule="auto"/>
        <w:ind w:right="57" w:firstLine="6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“三公”经费支出：指用</w:t>
      </w:r>
      <w:r>
        <w:rPr>
          <w:rFonts w:ascii="仿宋" w:hAnsi="仿宋" w:eastAsia="仿宋" w:cs="仿宋"/>
          <w:b/>
          <w:bCs/>
          <w:spacing w:val="9"/>
          <w:sz w:val="32"/>
          <w:szCs w:val="32"/>
        </w:rPr>
        <w:t>财政拨款安</w:t>
      </w:r>
      <w:r>
        <w:rPr>
          <w:rFonts w:ascii="仿宋" w:hAnsi="仿宋" w:eastAsia="仿宋" w:cs="仿宋"/>
          <w:spacing w:val="9"/>
          <w:sz w:val="32"/>
          <w:szCs w:val="32"/>
        </w:rPr>
        <w:t>排的因公出国(境)</w:t>
      </w:r>
      <w:r>
        <w:rPr>
          <w:rFonts w:ascii="仿宋" w:hAnsi="仿宋" w:eastAsia="仿宋" w:cs="仿宋"/>
          <w:spacing w:val="-1"/>
          <w:sz w:val="32"/>
          <w:szCs w:val="32"/>
        </w:rPr>
        <w:t>费、公务用车购置及运行维护费和公务接待费。</w:t>
      </w:r>
      <w:r>
        <w:rPr>
          <w:rFonts w:ascii="仿宋" w:hAnsi="仿宋" w:eastAsia="仿宋" w:cs="仿宋"/>
          <w:spacing w:val="-2"/>
          <w:sz w:val="32"/>
          <w:szCs w:val="32"/>
        </w:rPr>
        <w:t>其中，因公出</w:t>
      </w:r>
      <w:r>
        <w:rPr>
          <w:rFonts w:ascii="仿宋" w:hAnsi="仿宋" w:eastAsia="仿宋" w:cs="仿宋"/>
          <w:spacing w:val="23"/>
          <w:sz w:val="32"/>
          <w:szCs w:val="32"/>
        </w:rPr>
        <w:t>国(境)费反映单位公务出国(境)的国际旅费、国外城市间</w:t>
      </w:r>
      <w:r>
        <w:rPr>
          <w:rFonts w:ascii="仿宋" w:hAnsi="仿宋" w:eastAsia="仿宋" w:cs="仿宋"/>
          <w:sz w:val="32"/>
          <w:szCs w:val="32"/>
        </w:rPr>
        <w:t>交通费、住宿费、伙食费、培训费、公杂费等支出；公务用车</w:t>
      </w:r>
      <w:r>
        <w:rPr>
          <w:rFonts w:ascii="仿宋" w:hAnsi="仿宋" w:eastAsia="仿宋" w:cs="仿宋"/>
          <w:spacing w:val="6"/>
          <w:sz w:val="32"/>
          <w:szCs w:val="32"/>
        </w:rPr>
        <w:t>购置及运行维护费反映单位公务用车车辆购置支出(含车辆购</w:t>
      </w:r>
      <w:r>
        <w:rPr>
          <w:rFonts w:ascii="仿宋" w:hAnsi="仿宋" w:eastAsia="仿宋" w:cs="仿宋"/>
          <w:spacing w:val="12"/>
          <w:sz w:val="32"/>
          <w:szCs w:val="32"/>
        </w:rPr>
        <w:t>置税、牌照费),按规定保留的公务用车燃料费、维修费、过</w:t>
      </w:r>
      <w:r>
        <w:rPr>
          <w:rFonts w:ascii="仿宋" w:hAnsi="仿宋" w:eastAsia="仿宋" w:cs="仿宋"/>
          <w:spacing w:val="1"/>
          <w:sz w:val="32"/>
          <w:szCs w:val="32"/>
        </w:rPr>
        <w:t>桥过路费、保险费、安全奖励费用等支出；公务接待费反映单</w:t>
      </w:r>
    </w:p>
    <w:p w14:paraId="1592B716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位按规定开支的各类公务接待(含外宾接待)支出。</w:t>
      </w:r>
    </w:p>
    <w:p w14:paraId="56E482D6">
      <w:pPr>
        <w:tabs>
          <w:tab w:val="left" w:pos="168"/>
        </w:tabs>
        <w:spacing w:before="172" w:line="323" w:lineRule="auto"/>
        <w:ind w:right="28" w:firstLine="619"/>
        <w:rPr>
          <w:rFonts w:ascii="仿宋" w:hAnsi="仿宋" w:eastAsia="仿宋" w:cs="仿宋"/>
          <w:sz w:val="32"/>
          <w:szCs w:val="32"/>
        </w:rPr>
        <w:sectPr>
          <w:footerReference r:id="rId12" w:type="default"/>
          <w:pgSz w:w="11870" w:h="16800"/>
          <w:pgMar w:top="400" w:right="1510" w:bottom="1665" w:left="1629" w:header="0" w:footer="1346" w:gutter="0"/>
          <w:pgNumType w:fmt="decimal"/>
          <w:cols w:space="720" w:num="1"/>
        </w:sectPr>
      </w:pPr>
      <w:r>
        <w:rPr>
          <w:rFonts w:ascii="仿宋" w:hAnsi="仿宋" w:eastAsia="仿宋" w:cs="仿宋"/>
          <w:spacing w:val="1"/>
          <w:sz w:val="32"/>
          <w:szCs w:val="32"/>
        </w:rPr>
        <w:t>机关运行经费支出：指用</w:t>
      </w:r>
      <w:r>
        <w:rPr>
          <w:rFonts w:ascii="仿宋" w:hAnsi="仿宋" w:eastAsia="仿宋" w:cs="仿宋"/>
          <w:b/>
          <w:bCs/>
          <w:spacing w:val="1"/>
          <w:sz w:val="32"/>
          <w:szCs w:val="32"/>
        </w:rPr>
        <w:t>财政拨款安</w:t>
      </w:r>
      <w:r>
        <w:rPr>
          <w:rFonts w:ascii="仿宋" w:hAnsi="仿宋" w:eastAsia="仿宋" w:cs="仿宋"/>
          <w:spacing w:val="1"/>
          <w:sz w:val="32"/>
          <w:szCs w:val="32"/>
        </w:rPr>
        <w:t>排的为保障行政单位</w:t>
      </w:r>
      <w:r>
        <w:rPr>
          <w:rFonts w:ascii="仿宋" w:hAnsi="仿宋" w:eastAsia="仿宋" w:cs="仿宋"/>
          <w:sz w:val="32"/>
          <w:szCs w:val="32"/>
        </w:rPr>
        <w:tab/>
      </w:r>
      <w:r>
        <w:rPr>
          <w:rFonts w:ascii="仿宋" w:hAnsi="仿宋" w:eastAsia="仿宋" w:cs="仿宋"/>
          <w:spacing w:val="8"/>
          <w:sz w:val="32"/>
          <w:szCs w:val="32"/>
        </w:rPr>
        <w:t>(包括参照公务员法管理的事业单位)运行用于购</w:t>
      </w:r>
      <w:r>
        <w:rPr>
          <w:rFonts w:ascii="仿宋" w:hAnsi="仿宋" w:eastAsia="仿宋" w:cs="仿宋"/>
          <w:spacing w:val="7"/>
          <w:sz w:val="32"/>
          <w:szCs w:val="32"/>
        </w:rPr>
        <w:t>买货物和服</w:t>
      </w:r>
      <w:r>
        <w:rPr>
          <w:rFonts w:ascii="仿宋" w:hAnsi="仿宋" w:eastAsia="仿宋" w:cs="仿宋"/>
          <w:sz w:val="32"/>
          <w:szCs w:val="32"/>
        </w:rPr>
        <w:t>务的各项资金，包括办公费、印刷费、邮电费、差旅费、会议费、福利费、日常维修费、专用材料及一般设备购置费、办公</w:t>
      </w:r>
      <w:r>
        <w:rPr>
          <w:rFonts w:ascii="仿宋" w:hAnsi="仿宋" w:eastAsia="仿宋" w:cs="仿宋"/>
          <w:spacing w:val="1"/>
          <w:sz w:val="32"/>
          <w:szCs w:val="32"/>
        </w:rPr>
        <w:t>用房水电费、办公用房取暖费、办公用房物业管理费、公务用</w:t>
      </w:r>
      <w:r>
        <w:rPr>
          <w:rFonts w:ascii="仿宋" w:hAnsi="仿宋" w:eastAsia="仿宋" w:cs="仿宋"/>
          <w:spacing w:val="-9"/>
          <w:sz w:val="32"/>
          <w:szCs w:val="32"/>
        </w:rPr>
        <w:t>车运行维护费以及其他费用。</w:t>
      </w:r>
    </w:p>
    <w:p w14:paraId="4F557695"/>
    <w:p w14:paraId="364147D4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E8A8E">
    <w:pPr>
      <w:spacing w:before="1" w:line="177" w:lineRule="auto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8"/>
        <w:sz w:val="32"/>
        <w:szCs w:val="32"/>
      </w:rPr>
      <w:t>—</w:t>
    </w:r>
    <w:r>
      <w:rPr>
        <w:rFonts w:ascii="宋体" w:hAnsi="宋体" w:eastAsia="宋体" w:cs="宋体"/>
        <w:spacing w:val="-37"/>
        <w:sz w:val="32"/>
        <w:szCs w:val="32"/>
      </w:rPr>
      <w:t>1</w:t>
    </w:r>
    <w:r>
      <w:rPr>
        <w:rFonts w:ascii="宋体" w:hAnsi="宋体" w:eastAsia="宋体" w:cs="宋体"/>
        <w:spacing w:val="-9"/>
        <w:sz w:val="32"/>
        <w:szCs w:val="32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1C2E2">
    <w:pPr>
      <w:spacing w:line="177" w:lineRule="auto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17"/>
        <w:sz w:val="31"/>
        <w:szCs w:val="31"/>
      </w:rPr>
      <w:t>—2—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5088C">
    <w:pPr>
      <w:spacing w:line="177" w:lineRule="auto"/>
      <w:jc w:val="right"/>
      <w:rPr>
        <w:rFonts w:ascii="宋体" w:hAnsi="宋体" w:eastAsia="宋体" w:cs="宋体"/>
        <w:sz w:val="33"/>
        <w:szCs w:val="33"/>
      </w:rPr>
    </w:pPr>
    <w:r>
      <w:rPr>
        <w:rFonts w:ascii="宋体" w:hAnsi="宋体" w:eastAsia="宋体" w:cs="宋体"/>
        <w:spacing w:val="-31"/>
        <w:w w:val="96"/>
        <w:sz w:val="33"/>
        <w:szCs w:val="33"/>
      </w:rPr>
      <w:t>—3</w:t>
    </w:r>
    <w:r>
      <w:rPr>
        <w:rFonts w:ascii="宋体" w:hAnsi="宋体" w:eastAsia="宋体" w:cs="宋体"/>
        <w:spacing w:val="-10"/>
        <w:w w:val="96"/>
        <w:sz w:val="33"/>
        <w:szCs w:val="33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14D72">
    <w:pPr>
      <w:spacing w:line="176" w:lineRule="auto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—4—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36267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B862C">
    <w:pPr>
      <w:spacing w:line="240" w:lineRule="auto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0"/>
        <w:sz w:val="29"/>
        <w:szCs w:val="29"/>
      </w:rPr>
      <w:t>—</w:t>
    </w:r>
    <w:r>
      <w:rPr>
        <w:rFonts w:ascii="宋体" w:hAnsi="宋体" w:eastAsia="宋体" w:cs="宋体"/>
        <w:spacing w:val="-9"/>
        <w:sz w:val="29"/>
        <w:szCs w:val="29"/>
      </w:rPr>
      <w:t>11</w:t>
    </w:r>
    <w:r>
      <w:rPr>
        <w:rFonts w:ascii="宋体" w:hAnsi="宋体" w:eastAsia="宋体" w:cs="宋体"/>
        <w:spacing w:val="-8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8BA8A">
    <w:pPr>
      <w:spacing w:line="178" w:lineRule="auto"/>
      <w:ind w:right="1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28"/>
        <w:sz w:val="32"/>
        <w:szCs w:val="32"/>
      </w:rPr>
      <w:t>—</w:t>
    </w:r>
    <w:r>
      <w:rPr>
        <w:rFonts w:ascii="宋体" w:hAnsi="宋体" w:eastAsia="宋体" w:cs="宋体"/>
        <w:spacing w:val="-27"/>
        <w:sz w:val="32"/>
        <w:szCs w:val="32"/>
      </w:rPr>
      <w:t>1</w:t>
    </w:r>
    <w:r>
      <w:rPr>
        <w:rFonts w:hint="eastAsia" w:ascii="宋体" w:hAnsi="宋体" w:eastAsia="宋体" w:cs="宋体"/>
        <w:spacing w:val="-27"/>
        <w:sz w:val="32"/>
        <w:szCs w:val="32"/>
        <w:lang w:val="en-US" w:eastAsia="zh-CN"/>
      </w:rPr>
      <w:t>6</w:t>
    </w:r>
    <w:r>
      <w:rPr>
        <w:rFonts w:ascii="宋体" w:hAnsi="宋体" w:eastAsia="宋体" w:cs="宋体"/>
        <w:spacing w:val="-10"/>
        <w:sz w:val="32"/>
        <w:szCs w:val="32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34F53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FE935D"/>
    <w:multiLevelType w:val="singleLevel"/>
    <w:tmpl w:val="81FE935D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31FD3A5F"/>
    <w:multiLevelType w:val="singleLevel"/>
    <w:tmpl w:val="31FD3A5F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ZGY0NmNmZWRlNjI2ZDhmNTYyMWExZWU3NTBiOTQifQ=="/>
  </w:docVars>
  <w:rsids>
    <w:rsidRoot w:val="3A135FC9"/>
    <w:rsid w:val="0680104B"/>
    <w:rsid w:val="085570A2"/>
    <w:rsid w:val="08843074"/>
    <w:rsid w:val="0F9B7DDC"/>
    <w:rsid w:val="10BD35C7"/>
    <w:rsid w:val="11BA18C2"/>
    <w:rsid w:val="16A63417"/>
    <w:rsid w:val="19DF45AE"/>
    <w:rsid w:val="1CA7512B"/>
    <w:rsid w:val="21A221C9"/>
    <w:rsid w:val="25F969F8"/>
    <w:rsid w:val="296F6FD1"/>
    <w:rsid w:val="2CAD4098"/>
    <w:rsid w:val="2EBA2A9C"/>
    <w:rsid w:val="303D1BD7"/>
    <w:rsid w:val="31F153E3"/>
    <w:rsid w:val="367E5A2B"/>
    <w:rsid w:val="390C0398"/>
    <w:rsid w:val="398B39B3"/>
    <w:rsid w:val="39F358C3"/>
    <w:rsid w:val="3A135FC9"/>
    <w:rsid w:val="40A424C8"/>
    <w:rsid w:val="43C432F9"/>
    <w:rsid w:val="490C1CEF"/>
    <w:rsid w:val="495A5150"/>
    <w:rsid w:val="53A07C03"/>
    <w:rsid w:val="543F11CA"/>
    <w:rsid w:val="54492049"/>
    <w:rsid w:val="572D7A00"/>
    <w:rsid w:val="5A0C1B4F"/>
    <w:rsid w:val="653A1C66"/>
    <w:rsid w:val="6CC85DA9"/>
    <w:rsid w:val="6E4476B1"/>
    <w:rsid w:val="75A373B3"/>
    <w:rsid w:val="761E576E"/>
    <w:rsid w:val="783C764B"/>
    <w:rsid w:val="79764DDF"/>
    <w:rsid w:val="7BF7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7"/>
      <w:szCs w:val="17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4453</Words>
  <Characters>4751</Characters>
  <Lines>0</Lines>
  <Paragraphs>0</Paragraphs>
  <TotalTime>13</TotalTime>
  <ScaleCrop>false</ScaleCrop>
  <LinksUpToDate>false</LinksUpToDate>
  <CharactersWithSpaces>4770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2023-12-07T01:51:00Z</dcterms:created>
  <dc:creator>娜娜是我</dc:creator>
  <cp:lastModifiedBy>鸩</cp:lastModifiedBy>
  <dcterms:modified xsi:type="dcterms:W3CDTF">2026-07-07T08:02:22Z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5773042131244696A7AC660BAA8AD87D_11</vt:lpwstr>
  </property>
  <property fmtid="{D5CDD505-2E9C-101B-9397-08002B2CF9AE}" pid="4" name="KSOTemplateDocerSaveRecord">
    <vt:lpwstr>eyJoZGlkIjoiODA3ZGY0NmNmZWRlNjI2ZDhmNTYyMWExZWU3NTBiOTQiLCJ1c2VySWQiOiIzMTQ0Njc3MTkifQ==</vt:lpwstr>
  </property>
</Properties>
</file>