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bidi w:val="0"/>
        <w:rPr>
          <w:rFonts w:hint="eastAsia" w:asciiTheme="majorEastAsia" w:hAnsiTheme="majorEastAsia" w:eastAsiaTheme="majorEastAsia" w:cstheme="majorEastAsia"/>
        </w:rPr>
      </w:pPr>
      <w:r>
        <w:rPr>
          <w:rFonts w:hint="eastAsia" w:asciiTheme="majorEastAsia" w:hAnsiTheme="majorEastAsia" w:eastAsiaTheme="majorEastAsia" w:cstheme="majorEastAsia"/>
          <w:lang w:eastAsia="zh-CN"/>
        </w:rPr>
        <w:t>浮梁县农业农村局2026</w:t>
      </w:r>
      <w:r>
        <w:rPr>
          <w:rFonts w:hint="eastAsia" w:asciiTheme="majorEastAsia" w:hAnsiTheme="majorEastAsia" w:eastAsiaTheme="majorEastAsia" w:cstheme="majorEastAsia"/>
        </w:rPr>
        <w:t>年部门预算</w:t>
      </w:r>
    </w:p>
    <w:p>
      <w:pPr>
        <w:pStyle w:val="13"/>
        <w:spacing w:line="600" w:lineRule="atLeast"/>
        <w:jc w:val="center"/>
        <w:rPr>
          <w:rFonts w:ascii="黑体" w:hAnsi="黑体" w:eastAsia="黑体"/>
          <w:color w:val="000000"/>
          <w:sz w:val="32"/>
          <w:szCs w:val="32"/>
        </w:rPr>
      </w:pPr>
    </w:p>
    <w:p>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pPr>
        <w:pStyle w:val="13"/>
        <w:rPr>
          <w:rFonts w:ascii="宋体" w:hAnsi="宋体"/>
          <w:color w:val="000000"/>
        </w:rPr>
      </w:pPr>
    </w:p>
    <w:p>
      <w:pPr>
        <w:pStyle w:val="17"/>
        <w:numPr>
          <w:ilvl w:val="0"/>
          <w:numId w:val="0"/>
        </w:numPr>
        <w:bidi w:val="0"/>
        <w:ind w:left="420" w:leftChars="200"/>
        <w:jc w:val="left"/>
        <w:rPr>
          <w:rFonts w:hint="eastAsia"/>
          <w:lang w:eastAsia="zh-CN"/>
        </w:rPr>
      </w:pPr>
      <w:r>
        <w:rPr>
          <w:rFonts w:hint="eastAsia"/>
          <w:lang w:val="en-US" w:eastAsia="zh-CN"/>
        </w:rPr>
        <w:t>第一部分  浮梁县农业农村局概况</w:t>
      </w:r>
    </w:p>
    <w:p>
      <w:pPr>
        <w:pStyle w:val="18"/>
        <w:bidi w:val="0"/>
        <w:rPr>
          <w:rFonts w:hint="eastAsia" w:ascii="仿宋_GB2312" w:hAnsi="仿宋_GB2312" w:eastAsia="仿宋_GB2312" w:cs="仿宋_GB2312"/>
        </w:rPr>
      </w:pPr>
      <w:r>
        <w:rPr>
          <w:rFonts w:hint="eastAsia" w:ascii="仿宋_GB2312" w:hAnsi="仿宋_GB2312" w:eastAsia="仿宋_GB2312" w:cs="仿宋_GB2312"/>
        </w:rPr>
        <w:t>一、部门主要职责</w:t>
      </w:r>
    </w:p>
    <w:p>
      <w:pPr>
        <w:pStyle w:val="18"/>
        <w:bidi w:val="0"/>
        <w:rPr>
          <w:rFonts w:hint="eastAsia" w:ascii="仿宋_GB2312" w:hAnsi="仿宋_GB2312" w:eastAsia="仿宋_GB2312" w:cs="仿宋_GB2312"/>
        </w:rPr>
      </w:pPr>
      <w:r>
        <w:rPr>
          <w:rFonts w:hint="eastAsia" w:ascii="仿宋_GB2312" w:hAnsi="仿宋_GB2312" w:eastAsia="仿宋_GB2312" w:cs="仿宋_GB2312"/>
        </w:rPr>
        <w:t>二、机构设置及人员情况</w:t>
      </w:r>
    </w:p>
    <w:p>
      <w:pPr>
        <w:pStyle w:val="17"/>
        <w:numPr>
          <w:ilvl w:val="0"/>
          <w:numId w:val="0"/>
        </w:numPr>
        <w:bidi w:val="0"/>
        <w:ind w:left="420" w:leftChars="200"/>
        <w:jc w:val="left"/>
        <w:rPr>
          <w:rFonts w:hint="eastAsia"/>
        </w:rPr>
      </w:pPr>
      <w:r>
        <w:rPr>
          <w:rFonts w:hint="eastAsia"/>
        </w:rPr>
        <w:t xml:space="preserve">第二部分  </w:t>
      </w:r>
      <w:r>
        <w:rPr>
          <w:rFonts w:hint="eastAsia"/>
          <w:lang w:eastAsia="zh-CN"/>
        </w:rPr>
        <w:t>浮梁县农业农村局2026</w:t>
      </w:r>
      <w:r>
        <w:rPr>
          <w:rFonts w:hint="eastAsia"/>
        </w:rPr>
        <w:t>年部门预算表</w:t>
      </w:r>
    </w:p>
    <w:p>
      <w:pPr>
        <w:pStyle w:val="18"/>
        <w:bidi w:val="0"/>
        <w:rPr>
          <w:rFonts w:hint="eastAsia" w:ascii="仿宋_GB2312" w:hAnsi="仿宋_GB2312" w:eastAsia="仿宋_GB2312" w:cs="仿宋_GB2312"/>
        </w:rPr>
      </w:pPr>
      <w:r>
        <w:rPr>
          <w:rFonts w:hint="eastAsia" w:ascii="仿宋_GB2312" w:hAnsi="仿宋_GB2312" w:eastAsia="仿宋_GB2312" w:cs="仿宋_GB2312"/>
        </w:rPr>
        <w:t>一、《收支预算总表》</w:t>
      </w:r>
    </w:p>
    <w:p>
      <w:pPr>
        <w:pStyle w:val="18"/>
        <w:bidi w:val="0"/>
        <w:rPr>
          <w:rFonts w:hint="eastAsia" w:ascii="仿宋_GB2312" w:hAnsi="仿宋_GB2312" w:eastAsia="仿宋_GB2312" w:cs="仿宋_GB2312"/>
        </w:rPr>
      </w:pPr>
      <w:r>
        <w:rPr>
          <w:rFonts w:hint="eastAsia" w:ascii="仿宋_GB2312" w:hAnsi="仿宋_GB2312" w:eastAsia="仿宋_GB2312" w:cs="仿宋_GB2312"/>
        </w:rPr>
        <w:t>二、《部门收入总表》</w:t>
      </w:r>
    </w:p>
    <w:p>
      <w:pPr>
        <w:pStyle w:val="18"/>
        <w:bidi w:val="0"/>
        <w:rPr>
          <w:rFonts w:hint="eastAsia" w:ascii="仿宋_GB2312" w:hAnsi="仿宋_GB2312" w:eastAsia="仿宋_GB2312" w:cs="仿宋_GB2312"/>
        </w:rPr>
      </w:pPr>
      <w:r>
        <w:rPr>
          <w:rFonts w:hint="eastAsia" w:ascii="仿宋_GB2312" w:hAnsi="仿宋_GB2312" w:eastAsia="仿宋_GB2312" w:cs="仿宋_GB2312"/>
        </w:rPr>
        <w:t>三、《部门支出总表》</w:t>
      </w:r>
    </w:p>
    <w:p>
      <w:pPr>
        <w:pStyle w:val="18"/>
        <w:bidi w:val="0"/>
        <w:rPr>
          <w:rFonts w:hint="eastAsia" w:ascii="仿宋_GB2312" w:hAnsi="仿宋_GB2312" w:eastAsia="仿宋_GB2312" w:cs="仿宋_GB2312"/>
        </w:rPr>
      </w:pPr>
      <w:r>
        <w:rPr>
          <w:rFonts w:hint="eastAsia" w:ascii="仿宋_GB2312" w:hAnsi="仿宋_GB2312" w:eastAsia="仿宋_GB2312" w:cs="仿宋_GB2312"/>
        </w:rPr>
        <w:t>四、《财政拨款收支总表》</w:t>
      </w:r>
    </w:p>
    <w:p>
      <w:pPr>
        <w:pStyle w:val="18"/>
        <w:bidi w:val="0"/>
        <w:rPr>
          <w:rFonts w:hint="eastAsia" w:ascii="仿宋_GB2312" w:hAnsi="仿宋_GB2312" w:eastAsia="仿宋_GB2312" w:cs="仿宋_GB2312"/>
        </w:rPr>
      </w:pPr>
      <w:r>
        <w:rPr>
          <w:rFonts w:hint="eastAsia" w:ascii="仿宋_GB2312" w:hAnsi="仿宋_GB2312" w:eastAsia="仿宋_GB2312" w:cs="仿宋_GB2312"/>
        </w:rPr>
        <w:t>五、《一般公共预算支出表》</w:t>
      </w:r>
    </w:p>
    <w:p>
      <w:pPr>
        <w:pStyle w:val="18"/>
        <w:bidi w:val="0"/>
        <w:rPr>
          <w:rFonts w:hint="eastAsia" w:ascii="仿宋_GB2312" w:hAnsi="仿宋_GB2312" w:eastAsia="仿宋_GB2312" w:cs="仿宋_GB2312"/>
        </w:rPr>
      </w:pPr>
      <w:r>
        <w:rPr>
          <w:rFonts w:hint="eastAsia" w:ascii="仿宋_GB2312" w:hAnsi="仿宋_GB2312" w:eastAsia="仿宋_GB2312" w:cs="仿宋_GB2312"/>
        </w:rPr>
        <w:t>六、《一般公共预算基本支出表》</w:t>
      </w:r>
    </w:p>
    <w:p>
      <w:pPr>
        <w:pStyle w:val="18"/>
        <w:bidi w:val="0"/>
        <w:rPr>
          <w:rFonts w:hint="eastAsia" w:ascii="仿宋_GB2312" w:hAnsi="仿宋_GB2312" w:eastAsia="仿宋_GB2312" w:cs="仿宋_GB2312"/>
        </w:rPr>
      </w:pPr>
      <w:r>
        <w:rPr>
          <w:rFonts w:hint="eastAsia" w:ascii="仿宋_GB2312" w:hAnsi="仿宋_GB2312" w:eastAsia="仿宋_GB2312" w:cs="仿宋_GB2312"/>
        </w:rPr>
        <w:t>七、《财政拨款“三公”经费支出表》</w:t>
      </w:r>
    </w:p>
    <w:p>
      <w:pPr>
        <w:pStyle w:val="18"/>
        <w:bidi w:val="0"/>
        <w:rPr>
          <w:rFonts w:hint="eastAsia" w:ascii="仿宋_GB2312" w:hAnsi="仿宋_GB2312" w:eastAsia="仿宋_GB2312" w:cs="仿宋_GB2312"/>
        </w:rPr>
      </w:pPr>
      <w:r>
        <w:rPr>
          <w:rFonts w:hint="eastAsia" w:ascii="仿宋_GB2312" w:hAnsi="仿宋_GB2312" w:eastAsia="仿宋_GB2312" w:cs="仿宋_GB2312"/>
        </w:rPr>
        <w:t>八、《政府性基金预算支出表》</w:t>
      </w:r>
    </w:p>
    <w:p>
      <w:pPr>
        <w:pStyle w:val="18"/>
        <w:bidi w:val="0"/>
        <w:rPr>
          <w:rFonts w:hint="eastAsia" w:ascii="仿宋_GB2312" w:hAnsi="仿宋_GB2312" w:eastAsia="仿宋_GB2312" w:cs="仿宋_GB2312"/>
        </w:rPr>
      </w:pPr>
      <w:r>
        <w:rPr>
          <w:rFonts w:hint="eastAsia" w:ascii="仿宋_GB2312" w:hAnsi="仿宋_GB2312" w:eastAsia="仿宋_GB2312" w:cs="仿宋_GB2312"/>
        </w:rPr>
        <w:t>九、《国有资本经营预算支出表》</w:t>
      </w:r>
      <w:r>
        <w:rPr>
          <w:rFonts w:hint="eastAsia" w:ascii="仿宋_GB2312" w:hAnsi="仿宋_GB2312" w:eastAsia="仿宋_GB2312" w:cs="仿宋_GB2312"/>
        </w:rPr>
        <w:tab/>
      </w:r>
    </w:p>
    <w:p>
      <w:pPr>
        <w:pStyle w:val="18"/>
        <w:bidi w:val="0"/>
        <w:rPr>
          <w:rFonts w:hint="eastAsia" w:ascii="仿宋_GB2312" w:hAnsi="仿宋_GB2312" w:eastAsia="仿宋_GB2312" w:cs="仿宋_GB2312"/>
        </w:rPr>
      </w:pPr>
      <w:r>
        <w:rPr>
          <w:rFonts w:hint="eastAsia" w:ascii="仿宋_GB2312" w:hAnsi="仿宋_GB2312" w:eastAsia="仿宋_GB2312" w:cs="仿宋_GB2312"/>
        </w:rPr>
        <w:t>十、《部门整体绩效目标》</w:t>
      </w:r>
    </w:p>
    <w:p>
      <w:pPr>
        <w:pStyle w:val="18"/>
        <w:bidi w:val="0"/>
        <w:rPr>
          <w:rFonts w:hint="eastAsia" w:ascii="仿宋_GB2312" w:hAnsi="仿宋_GB2312" w:eastAsia="仿宋_GB2312" w:cs="仿宋_GB2312"/>
        </w:rPr>
      </w:pPr>
      <w:r>
        <w:rPr>
          <w:rFonts w:hint="eastAsia" w:ascii="仿宋_GB2312" w:hAnsi="仿宋_GB2312" w:eastAsia="仿宋_GB2312" w:cs="仿宋_GB2312"/>
        </w:rPr>
        <w:t>十一、《项目绩效目标</w:t>
      </w:r>
      <w:r>
        <w:rPr>
          <w:rFonts w:hint="eastAsia" w:cs="仿宋_GB2312"/>
          <w:lang w:val="en-US" w:eastAsia="zh-CN"/>
        </w:rPr>
        <w:t>表</w:t>
      </w:r>
      <w:r>
        <w:rPr>
          <w:rFonts w:hint="eastAsia" w:ascii="仿宋_GB2312" w:hAnsi="仿宋_GB2312" w:eastAsia="仿宋_GB2312" w:cs="仿宋_GB2312"/>
        </w:rPr>
        <w:t>》</w:t>
      </w:r>
    </w:p>
    <w:p>
      <w:pPr>
        <w:pStyle w:val="17"/>
        <w:numPr>
          <w:ilvl w:val="0"/>
          <w:numId w:val="0"/>
        </w:numPr>
        <w:bidi w:val="0"/>
        <w:ind w:left="420" w:leftChars="200"/>
        <w:jc w:val="left"/>
        <w:rPr>
          <w:rFonts w:hint="eastAsia"/>
          <w:lang w:eastAsia="zh-CN"/>
        </w:rPr>
      </w:pPr>
      <w:r>
        <w:rPr>
          <w:rFonts w:hint="eastAsia"/>
          <w:lang w:eastAsia="zh-CN"/>
        </w:rPr>
        <w:t>第三部分 浮梁县农业农村局 2026年部门预算情况说明</w:t>
      </w:r>
    </w:p>
    <w:p>
      <w:pPr>
        <w:pStyle w:val="18"/>
        <w:bidi w:val="0"/>
        <w:rPr>
          <w:rFonts w:hint="eastAsia" w:ascii="仿宋_GB2312" w:hAnsi="仿宋_GB2312" w:eastAsia="仿宋_GB2312" w:cs="仿宋_GB2312"/>
        </w:rPr>
      </w:pPr>
      <w:r>
        <w:rPr>
          <w:rFonts w:hint="eastAsia" w:ascii="仿宋_GB2312" w:hAnsi="仿宋_GB2312" w:eastAsia="仿宋_GB2312" w:cs="仿宋_GB2312"/>
        </w:rPr>
        <w:t>一、</w:t>
      </w:r>
      <w:r>
        <w:rPr>
          <w:rFonts w:hint="eastAsia" w:ascii="仿宋_GB2312" w:hAnsi="仿宋_GB2312" w:eastAsia="仿宋_GB2312" w:cs="仿宋_GB2312"/>
          <w:lang w:eastAsia="zh-CN"/>
        </w:rPr>
        <w:t>2026</w:t>
      </w:r>
      <w:r>
        <w:rPr>
          <w:rFonts w:hint="eastAsia" w:ascii="仿宋_GB2312" w:hAnsi="仿宋_GB2312" w:eastAsia="仿宋_GB2312" w:cs="仿宋_GB2312"/>
        </w:rPr>
        <w:t>年部门预算收支情况说明</w:t>
      </w:r>
    </w:p>
    <w:p>
      <w:pPr>
        <w:pStyle w:val="18"/>
        <w:bidi w:val="0"/>
        <w:rPr>
          <w:rFonts w:hint="eastAsia" w:ascii="仿宋_GB2312" w:hAnsi="仿宋_GB2312" w:eastAsia="仿宋_GB2312" w:cs="仿宋_GB2312"/>
        </w:rPr>
      </w:pPr>
      <w:r>
        <w:rPr>
          <w:rFonts w:hint="eastAsia" w:ascii="仿宋_GB2312" w:hAnsi="仿宋_GB2312" w:eastAsia="仿宋_GB2312" w:cs="仿宋_GB2312"/>
        </w:rPr>
        <w:t>二、</w:t>
      </w:r>
      <w:r>
        <w:rPr>
          <w:rFonts w:hint="eastAsia" w:ascii="仿宋_GB2312" w:hAnsi="仿宋_GB2312" w:eastAsia="仿宋_GB2312" w:cs="仿宋_GB2312"/>
          <w:lang w:eastAsia="zh-CN"/>
        </w:rPr>
        <w:t>2026</w:t>
      </w:r>
      <w:r>
        <w:rPr>
          <w:rFonts w:hint="eastAsia" w:ascii="仿宋_GB2312" w:hAnsi="仿宋_GB2312" w:eastAsia="仿宋_GB2312" w:cs="仿宋_GB2312"/>
        </w:rPr>
        <w:t>年</w:t>
      </w:r>
      <w:r>
        <w:rPr>
          <w:rFonts w:hint="eastAsia" w:ascii="仿宋_GB2312" w:hAnsi="仿宋_GB2312" w:eastAsia="仿宋_GB2312" w:cs="仿宋_GB2312"/>
          <w:lang w:val="en-US" w:eastAsia="zh-CN"/>
        </w:rPr>
        <w:t>财政拨款</w:t>
      </w:r>
      <w:r>
        <w:rPr>
          <w:rFonts w:hint="eastAsia" w:ascii="仿宋_GB2312" w:hAnsi="仿宋_GB2312" w:eastAsia="仿宋_GB2312" w:cs="仿宋_GB2312"/>
        </w:rPr>
        <w:t>“三公”经费预算情况说明</w:t>
      </w:r>
    </w:p>
    <w:p>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pPr>
        <w:pStyle w:val="17"/>
        <w:numPr>
          <w:ilvl w:val="0"/>
          <w:numId w:val="0"/>
        </w:numPr>
        <w:bidi w:val="0"/>
        <w:ind w:left="420" w:leftChars="200"/>
        <w:jc w:val="left"/>
        <w:rPr>
          <w:rFonts w:hint="eastAsia"/>
          <w:lang w:eastAsia="zh-CN"/>
        </w:rPr>
      </w:pPr>
      <w:r>
        <w:rPr>
          <w:rFonts w:hint="eastAsia"/>
          <w:lang w:eastAsia="zh-CN"/>
        </w:rPr>
        <w:t>第四部分  名词解释</w:t>
      </w:r>
    </w:p>
    <w:p>
      <w:pPr>
        <w:widowControl/>
        <w:spacing w:line="580" w:lineRule="exact"/>
        <w:jc w:val="center"/>
        <w:rPr>
          <w:rFonts w:ascii="仿宋_GB2312" w:eastAsia="仿宋_GB2312"/>
          <w:b/>
          <w:sz w:val="32"/>
          <w:szCs w:val="30"/>
        </w:rPr>
      </w:pPr>
    </w:p>
    <w:p>
      <w:pPr>
        <w:widowControl/>
        <w:spacing w:line="580" w:lineRule="exact"/>
        <w:jc w:val="center"/>
        <w:rPr>
          <w:rFonts w:ascii="仿宋_GB2312" w:eastAsia="仿宋_GB2312"/>
          <w:b/>
          <w:sz w:val="32"/>
          <w:szCs w:val="30"/>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ind w:left="420" w:leftChars="200"/>
        <w:jc w:val="center"/>
        <w:rPr>
          <w:rFonts w:hint="eastAsia"/>
          <w:lang w:eastAsia="zh-CN"/>
        </w:rPr>
      </w:pPr>
    </w:p>
    <w:p>
      <w:pPr>
        <w:pStyle w:val="17"/>
        <w:numPr>
          <w:ilvl w:val="0"/>
          <w:numId w:val="0"/>
        </w:numPr>
        <w:bidi w:val="0"/>
        <w:jc w:val="both"/>
        <w:rPr>
          <w:rFonts w:hint="eastAsia"/>
          <w:lang w:eastAsia="zh-CN"/>
        </w:rPr>
      </w:pPr>
    </w:p>
    <w:p>
      <w:pPr>
        <w:pStyle w:val="17"/>
        <w:numPr>
          <w:ilvl w:val="0"/>
          <w:numId w:val="0"/>
        </w:numPr>
        <w:bidi w:val="0"/>
        <w:jc w:val="center"/>
        <w:rPr>
          <w:rFonts w:hint="eastAsia"/>
          <w:lang w:eastAsia="zh-CN"/>
        </w:rPr>
      </w:pPr>
      <w:r>
        <w:rPr>
          <w:rFonts w:hint="eastAsia"/>
          <w:lang w:eastAsia="zh-CN"/>
        </w:rPr>
        <w:t>第一部分  浮梁县农业农村局概况</w:t>
      </w:r>
    </w:p>
    <w:p>
      <w:pPr>
        <w:widowControl/>
        <w:spacing w:line="580" w:lineRule="exact"/>
        <w:jc w:val="left"/>
        <w:rPr>
          <w:rFonts w:asciiTheme="minorEastAsia" w:hAnsiTheme="minorEastAsia"/>
          <w:b/>
          <w:sz w:val="36"/>
          <w:szCs w:val="36"/>
        </w:rPr>
      </w:pPr>
    </w:p>
    <w:p>
      <w:pPr>
        <w:pStyle w:val="17"/>
        <w:numPr>
          <w:ilvl w:val="0"/>
          <w:numId w:val="0"/>
        </w:numPr>
        <w:bidi w:val="0"/>
        <w:ind w:left="420" w:leftChars="200" w:firstLine="320" w:firstLineChars="100"/>
        <w:rPr>
          <w:rFonts w:hint="eastAsia"/>
        </w:rPr>
      </w:pPr>
      <w:r>
        <w:rPr>
          <w:rFonts w:hint="eastAsia"/>
        </w:rPr>
        <w:t>一、部门主要职责</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一）统筹研究和组织实施全县以乡村振兴为重心的“三农”工作发展战略、中长期规划、重大政策。组织起草农业农村和乡村振兴有关规范性文件，落实农业农村和乡村振兴有关政策。参与涉农的财税、价格、收储、金融保险、进出口等政策制定。</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（二）统筹推动发展全县农村社会事业、农村公共服务、农村文化、农村基础设施和乡村治理。牵头组织改善农村人居环境。指导农村精神文明和优秀农耕文化建设。指导全县农业行业安全生产工作。</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三）负责农民承包耕地、农村宅基地、农村集体产权制度改革和管理有关工作。拟订深化全县农村经济体制改革和巩固完善农村基本经营制度的政策。指导全县农村集体经济组织发展和集体资产管理工作。指导全县农民合作经济组织、农业社会化服务体系、新型农业经营主体建设与发展。监督减轻农民负担和村民筹资筹劳管理工作。</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四）负责全县巩固拓展脱贫攻坚成果有关工作。牵头开展防止返贫监测和帮扶，组织拟订乡村振兴重点帮扶村的帮扶政策，组织开展定点帮扶、社会帮扶，负责实施过渡期内巩固拓展脱贫攻坚成果相关考核评估工作，研究提出财政衔接推进乡村振兴相关资金分配建议方案并指导、监督资金使用，推动乡村帮扶产业发展。承担全县农村低收入人口和欠发达地区常态化帮扶有关工作，构建长效帮扶机制。</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五）负责拟订全县农业产业化经营发展政策措施并组织实施。负责指导全县乡村特色产业、农产品加工业、休闲农业和乡镇企业发展工作，推进乡村民宿产业发展，推动延长农产品产业链。提出促进大宗农产品流通的建议，培育、保护农业品牌。发布全县农业农村经济信息，监测分析全县农业农村经济运行。承担全县农业农村信息化有关工作。</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六）负责全县种植业、畜牧业、渔业、农业机械化、农垦等农业各产业发展的政策制定、组织实施和监督管理。指导粮食等农产品生产，组织协调“菜篮子”工作，推进构建多元化食物供给体系。组织构建全县现代农业产业体系、生产体系、经营体系，指导农业标准化生产。</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（七）负责全县农产品质量安全监督管理。组织开展农产品质量安全监测、追溯、风险评估。指导全县农业检验检测体系建设。组织农产品质量安全重大事故的调查处理和突发事件的应对工作。</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（八）负责全县耕地、永久基本农田质量保护和高标准农田建设与管理工作。组织全县农业资源区划工作。指导农用地、渔业水域以及农业生物物种资源的保护与管理，负责水生野生动植物保护工作。</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九）负责农业领域生态环境保护和节能减排工作。牵头负责农业污染源头减量和废弃物资源化利用。指导农产品产地环境管理和农业清洁生产。指导全县设施农业、生态循环农业、节水农业发展以及农村可再生能源综合开发利用、农业生物质产业发展。牵头管理外来物种。</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十）负责全县有关农业生产资料和农业投入品的监督管理。组织全县农业生产资料市场体系建设，拟订有关农业生产资料地方标准并监督实施。拟订全县种业振兴政策并组织实施。负责全县农药、肥料、饲料、饲料添加剂管理。组织兽医医政、兽药药政药检工作，负责执业兽医和畜禽屠宰行业管理。</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十一）负责全县农业防灾减灾、农作物重大病虫害防治工作。监测、报告、发布农业灾情，组织农业救灾物资储备和调拨，提出生产救灾资金安排建议，指导紧急救灾和灾后生产恢复。指导全县动植物防疫检疫体系建设，组织、监督县内动植物防疫检疫工作，发布疫情并组织扑灭。</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十二）负责农业投资管理。提出全县农业投融资体制机制改革建议。编制县级投资安排的农业投资项目建设规划，提出农业投资规模和方向、扶持农业农村发展财政项目的建议，负责农业投资项目资金安排和监督管理。</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十三）参与拟订全县农业农村科技发展规划和政策。指导全县农业农村科技进步，推动全县农业农村科技体制改革和科技创新体系建设。组织开展农业应用技术研究、现代农业产业技术体系建设、关键核心技术攻关、科技成果转化。指导全县农技推广体系建设和农技推广工作。参与县级农业科技项目绩效评价。负责全县农业转基因生物安全监督管理和农业植物新品种保护。</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（十四）指导全县农业农村人才工作。拟订全县农业农村人才队伍建设规划并组织实施，指导农业教育和农业职业技能开发，指导高素质农民培育、农业科技人才培养和农村实用人才培训工作。</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（十五）承担开展全县农业对外合作工作。承办政府间农业涉外事务，组织开展农业贸易促进和有关国际国内交流合作。</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（十六）统筹管理农业综合执法工作，按照法律法规依法赋予的执法职责和范围开展行政执法工作，监督指导各乡镇农业行政执法工作。</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（十七）贯彻执行国家和省有关粮食流通管理的法律法规，起草全县粮食流通管理的有关政策并组织实施。研究提出全县粮食流通体制改革方案并组织实施。负责粮食流通的对外合作与交流。</w:t>
      </w:r>
    </w:p>
    <w:p>
      <w:pPr>
        <w:snapToGrid w:val="0"/>
        <w:spacing w:line="520" w:lineRule="exact"/>
        <w:ind w:firstLine="640" w:firstLineChars="200"/>
        <w:jc w:val="both"/>
        <w:rPr>
          <w:rFonts w:hint="eastAsia" w:ascii="仿宋_GB2312" w:hAnsi="仿宋" w:eastAsia="仿宋_GB2312" w:cs="Times New Roman"/>
          <w:b w:val="0"/>
          <w:bCs w:val="0"/>
          <w:color w:val="000000"/>
          <w:sz w:val="32"/>
          <w:szCs w:val="32"/>
          <w:highlight w:val="none"/>
          <w:lang w:val="en-US" w:eastAsia="zh-CN"/>
        </w:rPr>
      </w:pPr>
      <w:r>
        <w:rPr>
          <w:rFonts w:hint="eastAsia" w:ascii="仿宋_GB2312" w:hAnsi="仿宋" w:eastAsia="仿宋_GB2312" w:cs="Times New Roman"/>
          <w:b w:val="0"/>
          <w:bCs w:val="0"/>
          <w:color w:val="000000"/>
          <w:sz w:val="32"/>
          <w:szCs w:val="32"/>
          <w:highlight w:val="none"/>
          <w:lang w:val="en-US" w:eastAsia="zh-CN"/>
        </w:rPr>
        <w:t>（十八）承担全县粮食流通的宏观调控工作。指导协调地方储备粮管理，负责县级储备粮行政管理。负责粮食流通统计工作。拟订全县粮食市场体系建设及粮食流通设施建设规划并组织实施。负责政策性粮食供应及军粮供应与管理。研究提出全县生活救灾类粮、油储备规划和品种目录的建议并组织实施。拟订全县粮食流通设施建设规划和粮食流通有关标准并组织实施。拟定全县粮、油储备仓储管理有关技术标准和规范并组织实施。负责全县粮食流通行业管理，制定行业发展规划、政策。负责粮食流通监督检查和行业安全生产工作监督管理。组织实施全县粮食库存检查工作。承担粮食安全责任制考核日常工作。</w:t>
      </w:r>
    </w:p>
    <w:p>
      <w:pPr>
        <w:snapToGrid w:val="0"/>
        <w:spacing w:line="520" w:lineRule="exact"/>
        <w:ind w:firstLine="640" w:firstLineChars="200"/>
        <w:jc w:val="both"/>
        <w:rPr>
          <w:rFonts w:hint="eastAsia" w:ascii="仿宋_GB2312" w:hAnsi="仿宋_GB2312" w:eastAsia="仿宋_GB2312" w:cs="仿宋_GB2312"/>
        </w:rPr>
      </w:pPr>
      <w:r>
        <w:rPr>
          <w:rFonts w:hint="eastAsia" w:ascii="仿宋_GB2312" w:hAnsi="仿宋" w:eastAsia="仿宋_GB2312" w:cs="Times New Roman"/>
          <w:b w:val="0"/>
          <w:bCs w:val="0"/>
          <w:color w:val="000000"/>
          <w:sz w:val="32"/>
          <w:szCs w:val="32"/>
          <w:highlight w:val="none"/>
          <w:lang w:val="en-US" w:eastAsia="zh-CN"/>
        </w:rPr>
        <w:t>（十九）完成县委、县政府和县委农村工作领导小组交办的其他任务。</w:t>
      </w:r>
    </w:p>
    <w:p>
      <w:pPr>
        <w:pStyle w:val="17"/>
        <w:numPr>
          <w:ilvl w:val="0"/>
          <w:numId w:val="0"/>
        </w:numPr>
        <w:bidi w:val="0"/>
        <w:ind w:left="420" w:leftChars="200" w:firstLine="320" w:firstLineChars="100"/>
        <w:rPr>
          <w:rFonts w:hint="eastAsia"/>
        </w:rPr>
      </w:pPr>
      <w:r>
        <w:rPr>
          <w:rFonts w:hint="eastAsia"/>
        </w:rPr>
        <w:t>二、机构设置及人员情况</w:t>
      </w:r>
    </w:p>
    <w:p>
      <w:pPr>
        <w:pStyle w:val="18"/>
        <w:bidi w:val="0"/>
        <w:rPr>
          <w:rFonts w:hint="eastAsia" w:ascii="仿宋_GB2312" w:hAnsi="仿宋_GB2312" w:eastAsia="仿宋_GB2312" w:cs="仿宋_GB2312"/>
        </w:rPr>
      </w:pPr>
      <w:r>
        <w:rPr>
          <w:rFonts w:hint="eastAsia" w:ascii="仿宋_GB2312" w:hAnsi="仿宋_GB2312" w:eastAsia="仿宋_GB2312" w:cs="仿宋_GB2312"/>
          <w:lang w:eastAsia="zh-CN"/>
        </w:rPr>
        <w:t>浮梁县农业农村局共有预算单位4个，包括浮梁县农业农村局和3个所属预算单位，所属预算单位具体包括：</w:t>
      </w:r>
      <w:r>
        <w:rPr>
          <w:rFonts w:hint="eastAsia" w:ascii="仿宋_GB2312" w:hAnsi="仿宋_GB2312" w:eastAsia="仿宋_GB2312" w:cs="仿宋_GB2312"/>
        </w:rPr>
        <w:t>浮梁县农业技术推广中心、浮梁县农业综合行政执法大队、浮梁县农业农村产业发展服务中心。</w:t>
      </w:r>
    </w:p>
    <w:p>
      <w:pPr>
        <w:pStyle w:val="18"/>
        <w:bidi w:val="0"/>
        <w:rPr>
          <w:rFonts w:hint="eastAsia" w:ascii="仿宋_GB2312" w:hAnsi="仿宋_GB2312" w:eastAsia="仿宋_GB2312" w:cs="仿宋_GB2312"/>
        </w:rPr>
      </w:pPr>
    </w:p>
    <w:p>
      <w:pPr>
        <w:widowControl/>
        <w:spacing w:line="580" w:lineRule="exact"/>
        <w:jc w:val="center"/>
        <w:rPr>
          <w:rFonts w:ascii="仿宋_GB2312" w:eastAsia="仿宋_GB2312"/>
          <w:b/>
          <w:szCs w:val="30"/>
        </w:rPr>
      </w:pPr>
    </w:p>
    <w:p>
      <w:pPr>
        <w:pStyle w:val="17"/>
        <w:numPr>
          <w:ilvl w:val="0"/>
          <w:numId w:val="0"/>
        </w:numPr>
        <w:bidi w:val="0"/>
        <w:ind w:left="420" w:leftChars="200"/>
        <w:jc w:val="center"/>
        <w:rPr>
          <w:rFonts w:hint="eastAsia"/>
          <w:lang w:eastAsia="zh-CN"/>
        </w:rPr>
      </w:pPr>
      <w:r>
        <w:rPr>
          <w:rFonts w:hint="eastAsia"/>
          <w:lang w:eastAsia="zh-CN"/>
        </w:rPr>
        <w:t>第二部分  浮梁县农业农村局2026年部门预算表</w:t>
      </w:r>
    </w:p>
    <w:p>
      <w:pPr>
        <w:pStyle w:val="17"/>
        <w:numPr>
          <w:ilvl w:val="0"/>
          <w:numId w:val="0"/>
        </w:numPr>
        <w:bidi w:val="0"/>
        <w:ind w:left="420" w:leftChars="200"/>
        <w:rPr>
          <w:rFonts w:hint="eastAsia"/>
          <w:lang w:eastAsia="zh-CN"/>
        </w:rPr>
        <w:sectPr>
          <w:headerReference r:id="rId3" w:type="default"/>
          <w:pgSz w:w="11906" w:h="16838"/>
          <w:pgMar w:top="2098" w:right="1587" w:bottom="2098" w:left="1587" w:header="851" w:footer="992" w:gutter="0"/>
          <w:cols w:space="425" w:num="1"/>
          <w:docGrid w:type="lines" w:linePitch="312" w:charSpace="0"/>
        </w:sectPr>
      </w:pPr>
    </w:p>
    <w:tbl>
      <w:tblPr>
        <w:tblStyle w:val="6"/>
        <w:tblW w:w="5000" w:type="pct"/>
        <w:jc w:val="center"/>
        <w:tblLayout w:type="fixed"/>
        <w:tblCellMar>
          <w:top w:w="0" w:type="dxa"/>
          <w:left w:w="108" w:type="dxa"/>
          <w:bottom w:w="0" w:type="dxa"/>
          <w:right w:w="108" w:type="dxa"/>
        </w:tblCellMar>
      </w:tblPr>
      <w:tblGrid>
        <w:gridCol w:w="3122"/>
        <w:gridCol w:w="2249"/>
        <w:gridCol w:w="3535"/>
        <w:gridCol w:w="1775"/>
      </w:tblGrid>
      <w:tr>
        <w:tblPrEx>
          <w:tblCellMar>
            <w:top w:w="0" w:type="dxa"/>
            <w:left w:w="108" w:type="dxa"/>
            <w:bottom w:w="0" w:type="dxa"/>
            <w:right w:w="108" w:type="dxa"/>
          </w:tblCellMar>
        </w:tblPrEx>
        <w:trPr>
          <w:trHeight w:val="585" w:hRule="atLeast"/>
          <w:tblHeader/>
          <w:jc w:val="center"/>
        </w:trPr>
        <w:tc>
          <w:tcPr>
            <w:tcW w:w="5000" w:type="pct"/>
            <w:gridSpan w:val="4"/>
            <w:noWrap/>
            <w:vAlign w:val="center"/>
          </w:tcPr>
          <w:p>
            <w:pPr>
              <w:widowControl/>
              <w:jc w:val="center"/>
              <w:rPr>
                <w:rFonts w:ascii="宋体" w:hAnsi="宋体" w:eastAsia="宋体" w:cs="Arial"/>
                <w:b/>
                <w:bCs/>
                <w:color w:val="000000"/>
                <w:kern w:val="0"/>
                <w:sz w:val="40"/>
                <w:szCs w:val="40"/>
              </w:rPr>
            </w:pPr>
            <w:r>
              <w:rPr>
                <w:rFonts w:hint="eastAsia" w:asciiTheme="minorEastAsia" w:hAnsiTheme="minorEastAsia" w:eastAsiaTheme="minorEastAsia" w:cstheme="minorEastAsia"/>
                <w:b/>
                <w:bCs/>
                <w:color w:val="000000"/>
                <w:kern w:val="0"/>
                <w:sz w:val="24"/>
                <w:szCs w:val="24"/>
                <w:lang w:bidi="ar"/>
              </w:rPr>
              <w:t>收支预算总表</w:t>
            </w:r>
          </w:p>
        </w:tc>
      </w:tr>
      <w:tr>
        <w:tblPrEx>
          <w:tblCellMar>
            <w:top w:w="0" w:type="dxa"/>
            <w:left w:w="108" w:type="dxa"/>
            <w:bottom w:w="0" w:type="dxa"/>
            <w:right w:w="108" w:type="dxa"/>
          </w:tblCellMar>
        </w:tblPrEx>
        <w:trPr>
          <w:trHeight w:val="345" w:hRule="atLeast"/>
          <w:tblHeader/>
          <w:jc w:val="center"/>
        </w:trPr>
        <w:tc>
          <w:tcPr>
            <w:tcW w:w="2514" w:type="pct"/>
            <w:gridSpan w:val="2"/>
            <w:noWrap/>
            <w:vAlign w:val="center"/>
          </w:tcPr>
          <w:p>
            <w:pPr>
              <w:widowControl/>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21"/>
                <w:szCs w:val="21"/>
                <w:lang w:bidi="ar"/>
              </w:rPr>
              <w:t>填报单位:</w:t>
            </w:r>
            <w:r>
              <w:rPr>
                <w:rFonts w:hint="eastAsia" w:asciiTheme="minorEastAsia" w:hAnsiTheme="minorEastAsia" w:eastAsiaTheme="minorEastAsia" w:cstheme="minorEastAsia"/>
                <w:color w:val="000000"/>
                <w:kern w:val="0"/>
                <w:sz w:val="21"/>
                <w:szCs w:val="21"/>
                <w:lang w:eastAsia="zh-CN" w:bidi="ar"/>
              </w:rPr>
              <w:t>201浮梁县农业农村局</w:t>
            </w:r>
          </w:p>
        </w:tc>
        <w:tc>
          <w:tcPr>
            <w:tcW w:w="1655" w:type="pct"/>
            <w:noWrap/>
            <w:vAlign w:val="bottom"/>
          </w:tcPr>
          <w:p>
            <w:pPr>
              <w:widowControl/>
              <w:snapToGrid w:val="0"/>
              <w:jc w:val="left"/>
              <w:textAlignment w:val="center"/>
              <w:rPr>
                <w:rFonts w:hint="eastAsia" w:asciiTheme="minorEastAsia" w:hAnsiTheme="minorEastAsia" w:eastAsiaTheme="minorEastAsia" w:cstheme="minorEastAsia"/>
                <w:color w:val="000000"/>
                <w:kern w:val="0"/>
                <w:sz w:val="18"/>
                <w:szCs w:val="18"/>
                <w:lang w:bidi="ar"/>
              </w:rPr>
            </w:pPr>
          </w:p>
        </w:tc>
        <w:tc>
          <w:tcPr>
            <w:tcW w:w="829" w:type="pct"/>
            <w:noWrap/>
            <w:vAlign w:val="center"/>
          </w:tcPr>
          <w:p>
            <w:pPr>
              <w:widowControl/>
              <w:snapToGrid w:val="0"/>
              <w:jc w:val="righ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21"/>
                <w:szCs w:val="21"/>
                <w:lang w:bidi="ar"/>
              </w:rPr>
              <w:t>单位：万元</w:t>
            </w:r>
          </w:p>
        </w:tc>
      </w:tr>
      <w:tr>
        <w:tblPrEx>
          <w:tblCellMar>
            <w:top w:w="0" w:type="dxa"/>
            <w:left w:w="108" w:type="dxa"/>
            <w:bottom w:w="0" w:type="dxa"/>
            <w:right w:w="108" w:type="dxa"/>
          </w:tblCellMar>
        </w:tblPrEx>
        <w:trPr>
          <w:cantSplit/>
          <w:trHeight w:val="283" w:hRule="atLeast"/>
          <w:tblHeader/>
          <w:jc w:val="center"/>
        </w:trPr>
        <w:tc>
          <w:tcPr>
            <w:tcW w:w="2514" w:type="pct"/>
            <w:gridSpan w:val="2"/>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收      入</w:t>
            </w:r>
          </w:p>
        </w:tc>
        <w:tc>
          <w:tcPr>
            <w:tcW w:w="2485" w:type="pct"/>
            <w:gridSpan w:val="2"/>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支       出</w:t>
            </w:r>
          </w:p>
        </w:tc>
      </w:tr>
      <w:tr>
        <w:tblPrEx>
          <w:tblCellMar>
            <w:top w:w="0" w:type="dxa"/>
            <w:left w:w="108" w:type="dxa"/>
            <w:bottom w:w="0" w:type="dxa"/>
            <w:right w:w="108" w:type="dxa"/>
          </w:tblCellMar>
        </w:tblPrEx>
        <w:trPr>
          <w:cantSplit/>
          <w:trHeight w:val="283" w:hRule="atLeast"/>
          <w:tblHeader/>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项目</w:t>
            </w:r>
          </w:p>
        </w:tc>
        <w:tc>
          <w:tcPr>
            <w:tcW w:w="1053" w:type="pct"/>
            <w:tcBorders>
              <w:top w:val="nil"/>
              <w:left w:val="nil"/>
              <w:bottom w:val="nil"/>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预算数</w:t>
            </w: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项目(按功能科目)</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预算数</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一、财政拨款</w:t>
            </w:r>
          </w:p>
        </w:tc>
        <w:tc>
          <w:tcPr>
            <w:tcW w:w="1053"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3,296.48</w:t>
            </w: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科学技术支出</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2.41</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 （一）一般公共预算收入</w:t>
            </w: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2,458.95</w:t>
            </w: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社会保障和就业支出</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241.22</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 （二）政府性基金预算收入</w:t>
            </w:r>
          </w:p>
        </w:tc>
        <w:tc>
          <w:tcPr>
            <w:tcW w:w="1053"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837.53</w:t>
            </w: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卫生健康支出</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59.87</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 （三）国有资本经营预算收入</w:t>
            </w: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0.00</w:t>
            </w: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节能环保支出</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110.00</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二、教育收费资金收入</w:t>
            </w: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0.00</w:t>
            </w: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城乡社区支出</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1,908.37</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三、事业收入</w:t>
            </w: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0.00</w:t>
            </w: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农林水支出</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8,622.49</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四、事业单位经营收入</w:t>
            </w: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0.00</w:t>
            </w: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资源勘探工业信息等支出</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0.01</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五、附属单位上缴收入</w:t>
            </w:r>
          </w:p>
        </w:tc>
        <w:tc>
          <w:tcPr>
            <w:tcW w:w="1053"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0.00</w:t>
            </w: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自然资源海洋气象等支出</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265.72</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六、上级补助收入</w:t>
            </w:r>
          </w:p>
        </w:tc>
        <w:tc>
          <w:tcPr>
            <w:tcW w:w="1053"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0.00</w:t>
            </w: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住房保障支出</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109.81</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七、其他收入</w:t>
            </w:r>
          </w:p>
        </w:tc>
        <w:tc>
          <w:tcPr>
            <w:tcW w:w="1053"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2,410.00</w:t>
            </w: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粮油物资储备支出</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395.94</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　</w:t>
            </w: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其他支出</w:t>
            </w: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t>3,345.73</w:t>
            </w: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　</w:t>
            </w: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000000"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p>
        </w:tc>
        <w:tc>
          <w:tcPr>
            <w:tcW w:w="105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165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c>
          <w:tcPr>
            <w:tcW w:w="82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cantSplit/>
          <w:trHeight w:val="283" w:hRule="atLeast"/>
          <w:jc w:val="center"/>
        </w:trPr>
        <w:tc>
          <w:tcPr>
            <w:tcW w:w="1461" w:type="pct"/>
            <w:tcBorders>
              <w:top w:val="nil"/>
              <w:left w:val="single" w:color="000000" w:sz="4" w:space="0"/>
              <w:bottom w:val="single" w:color="auto"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本年收入合计</w:t>
            </w:r>
          </w:p>
        </w:tc>
        <w:tc>
          <w:tcPr>
            <w:tcW w:w="1053" w:type="pct"/>
            <w:tcBorders>
              <w:top w:val="nil"/>
              <w:left w:val="nil"/>
              <w:bottom w:val="single" w:color="auto"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5,706.48</w:t>
            </w:r>
          </w:p>
        </w:tc>
        <w:tc>
          <w:tcPr>
            <w:tcW w:w="1655" w:type="pct"/>
            <w:tcBorders>
              <w:top w:val="nil"/>
              <w:left w:val="nil"/>
              <w:bottom w:val="single" w:color="auto" w:sz="4" w:space="0"/>
              <w:right w:val="single" w:color="000000"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本年支出合计</w:t>
            </w:r>
          </w:p>
        </w:tc>
        <w:tc>
          <w:tcPr>
            <w:tcW w:w="829" w:type="pct"/>
            <w:tcBorders>
              <w:top w:val="nil"/>
              <w:left w:val="nil"/>
              <w:bottom w:val="single" w:color="auto" w:sz="4" w:space="0"/>
              <w:right w:val="single" w:color="000000" w:sz="4" w:space="0"/>
            </w:tcBorders>
            <w:noWrap/>
            <w:vAlign w:val="bottom"/>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15,061.57</w:t>
            </w:r>
          </w:p>
        </w:tc>
      </w:tr>
      <w:tr>
        <w:tblPrEx>
          <w:tblCellMar>
            <w:top w:w="0" w:type="dxa"/>
            <w:left w:w="108" w:type="dxa"/>
            <w:bottom w:w="0" w:type="dxa"/>
            <w:right w:w="108" w:type="dxa"/>
          </w:tblCellMar>
        </w:tblPrEx>
        <w:trPr>
          <w:cantSplit/>
          <w:trHeight w:val="283" w:hRule="atLeast"/>
          <w:jc w:val="center"/>
        </w:trPr>
        <w:tc>
          <w:tcPr>
            <w:tcW w:w="1461" w:type="pct"/>
            <w:tcBorders>
              <w:top w:val="single" w:color="auto" w:sz="4" w:space="0"/>
              <w:left w:val="single" w:color="auto" w:sz="4" w:space="0"/>
              <w:bottom w:val="single" w:color="auto" w:sz="4" w:space="0"/>
              <w:right w:val="single" w:color="auto"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八、使用非财政拨款结余</w:t>
            </w:r>
          </w:p>
        </w:tc>
        <w:tc>
          <w:tcPr>
            <w:tcW w:w="1053" w:type="pct"/>
            <w:tcBorders>
              <w:top w:val="single" w:color="auto" w:sz="4" w:space="0"/>
              <w:left w:val="single" w:color="auto" w:sz="4" w:space="0"/>
              <w:bottom w:val="single" w:color="auto" w:sz="4" w:space="0"/>
              <w:right w:val="single" w:color="auto"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0.00</w:t>
            </w:r>
          </w:p>
        </w:tc>
        <w:tc>
          <w:tcPr>
            <w:tcW w:w="1655" w:type="pct"/>
            <w:tcBorders>
              <w:top w:val="single" w:color="auto" w:sz="4" w:space="0"/>
              <w:left w:val="single" w:color="auto" w:sz="4" w:space="0"/>
              <w:bottom w:val="single" w:color="auto" w:sz="4" w:space="0"/>
              <w:right w:val="single" w:color="auto"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结转下年</w:t>
            </w:r>
          </w:p>
        </w:tc>
        <w:tc>
          <w:tcPr>
            <w:tcW w:w="829" w:type="pct"/>
            <w:tcBorders>
              <w:top w:val="single" w:color="auto" w:sz="4" w:space="0"/>
              <w:left w:val="single" w:color="auto" w:sz="4" w:space="0"/>
              <w:bottom w:val="single" w:color="auto" w:sz="4" w:space="0"/>
              <w:right w:val="single" w:color="auto"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0.00</w:t>
            </w:r>
          </w:p>
        </w:tc>
      </w:tr>
      <w:tr>
        <w:tblPrEx>
          <w:tblCellMar>
            <w:top w:w="0" w:type="dxa"/>
            <w:left w:w="108" w:type="dxa"/>
            <w:bottom w:w="0" w:type="dxa"/>
            <w:right w:w="108" w:type="dxa"/>
          </w:tblCellMar>
        </w:tblPrEx>
        <w:trPr>
          <w:cantSplit/>
          <w:trHeight w:val="283" w:hRule="atLeast"/>
          <w:jc w:val="center"/>
        </w:trPr>
        <w:tc>
          <w:tcPr>
            <w:tcW w:w="1461" w:type="pct"/>
            <w:tcBorders>
              <w:top w:val="single" w:color="auto" w:sz="4" w:space="0"/>
              <w:left w:val="single" w:color="000000" w:sz="4" w:space="0"/>
              <w:bottom w:val="single" w:color="auto" w:sz="4" w:space="0"/>
              <w:right w:val="nil"/>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九、上年结转（结余）</w:t>
            </w:r>
          </w:p>
        </w:tc>
        <w:tc>
          <w:tcPr>
            <w:tcW w:w="1053" w:type="pct"/>
            <w:tcBorders>
              <w:top w:val="single" w:color="auto" w:sz="4" w:space="0"/>
              <w:left w:val="single" w:color="000000" w:sz="4" w:space="0"/>
              <w:bottom w:val="single" w:color="auto" w:sz="4" w:space="0"/>
              <w:right w:val="single" w:color="000000"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9,355.09</w:t>
            </w:r>
          </w:p>
        </w:tc>
        <w:tc>
          <w:tcPr>
            <w:tcW w:w="1655" w:type="pct"/>
            <w:tcBorders>
              <w:top w:val="single" w:color="auto" w:sz="4" w:space="0"/>
              <w:left w:val="nil"/>
              <w:bottom w:val="single" w:color="auto" w:sz="4" w:space="0"/>
              <w:right w:val="single" w:color="000000" w:sz="4" w:space="0"/>
            </w:tcBorders>
            <w:noWrap/>
            <w:vAlign w:val="bottom"/>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　</w:t>
            </w:r>
          </w:p>
        </w:tc>
        <w:tc>
          <w:tcPr>
            <w:tcW w:w="829" w:type="pct"/>
            <w:tcBorders>
              <w:top w:val="single" w:color="auto" w:sz="4" w:space="0"/>
              <w:left w:val="nil"/>
              <w:bottom w:val="single" w:color="auto" w:sz="4" w:space="0"/>
              <w:right w:val="single" w:color="000000" w:sz="4" w:space="0"/>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p>
        </w:tc>
      </w:tr>
      <w:tr>
        <w:tblPrEx>
          <w:tblCellMar>
            <w:top w:w="0" w:type="dxa"/>
            <w:left w:w="108" w:type="dxa"/>
            <w:bottom w:w="0" w:type="dxa"/>
            <w:right w:w="108" w:type="dxa"/>
          </w:tblCellMar>
        </w:tblPrEx>
        <w:trPr>
          <w:trHeight w:val="283" w:hRule="atLeast"/>
          <w:jc w:val="center"/>
        </w:trPr>
        <w:tc>
          <w:tcPr>
            <w:tcW w:w="1461" w:type="pct"/>
            <w:tcBorders>
              <w:top w:val="single" w:color="auto" w:sz="4" w:space="0"/>
              <w:left w:val="single" w:color="auto" w:sz="4" w:space="0"/>
              <w:bottom w:val="single" w:color="auto" w:sz="4" w:space="0"/>
              <w:right w:val="single" w:color="auto"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收入总计</w:t>
            </w:r>
          </w:p>
        </w:tc>
        <w:tc>
          <w:tcPr>
            <w:tcW w:w="1053"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15,061.57</w:t>
            </w:r>
          </w:p>
        </w:tc>
        <w:tc>
          <w:tcPr>
            <w:tcW w:w="1655" w:type="pct"/>
            <w:tcBorders>
              <w:top w:val="single" w:color="auto" w:sz="4" w:space="0"/>
              <w:left w:val="single" w:color="auto" w:sz="4" w:space="0"/>
              <w:bottom w:val="single" w:color="auto" w:sz="4" w:space="0"/>
              <w:right w:val="single" w:color="auto" w:sz="4" w:space="0"/>
            </w:tcBorders>
            <w:noWrap/>
            <w:vAlign w:val="center"/>
          </w:tcPr>
          <w:p>
            <w:pPr>
              <w:widowControl/>
              <w:snapToGrid w:val="0"/>
              <w:jc w:val="left"/>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支出总计</w:t>
            </w:r>
          </w:p>
        </w:tc>
        <w:tc>
          <w:tcPr>
            <w:tcW w:w="829" w:type="pct"/>
            <w:tcBorders>
              <w:top w:val="single" w:color="auto" w:sz="4" w:space="0"/>
              <w:left w:val="single" w:color="auto" w:sz="4" w:space="0"/>
              <w:bottom w:val="single" w:color="auto" w:sz="4" w:space="0"/>
              <w:right w:val="single" w:color="auto" w:sz="4" w:space="0"/>
            </w:tcBorders>
            <w:noWrap/>
            <w:vAlign w:val="bottom"/>
          </w:tcPr>
          <w:p>
            <w:pPr>
              <w:widowControl/>
              <w:snapToGrid w:val="0"/>
              <w:jc w:val="center"/>
              <w:textAlignment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15,061.57</w:t>
            </w:r>
          </w:p>
        </w:tc>
      </w:tr>
    </w:tbl>
    <w:p>
      <w:pPr>
        <w:widowControl/>
        <w:jc w:val="left"/>
        <w:rPr>
          <w:rStyle w:val="12"/>
          <w:rFonts w:ascii="仿宋" w:hAnsi="仿宋" w:eastAsia="仿宋"/>
          <w:bCs/>
          <w:sz w:val="32"/>
          <w:szCs w:val="32"/>
        </w:rPr>
        <w:sectPr>
          <w:pgSz w:w="11906" w:h="16838"/>
          <w:pgMar w:top="720" w:right="720" w:bottom="720" w:left="720" w:header="851" w:footer="992" w:gutter="0"/>
          <w:cols w:space="720" w:num="1"/>
          <w:docGrid w:type="lines" w:linePitch="312" w:charSpace="0"/>
        </w:sectPr>
      </w:pPr>
    </w:p>
    <w:tbl>
      <w:tblPr>
        <w:tblStyle w:val="6"/>
        <w:tblW w:w="5336" w:type="pct"/>
        <w:tblInd w:w="-329" w:type="dxa"/>
        <w:tblLayout w:type="fixed"/>
        <w:tblCellMar>
          <w:top w:w="0" w:type="dxa"/>
          <w:left w:w="108" w:type="dxa"/>
          <w:bottom w:w="0" w:type="dxa"/>
          <w:right w:w="108" w:type="dxa"/>
        </w:tblCellMar>
      </w:tblPr>
      <w:tblGrid>
        <w:gridCol w:w="1985"/>
        <w:gridCol w:w="898"/>
        <w:gridCol w:w="787"/>
        <w:gridCol w:w="865"/>
        <w:gridCol w:w="963"/>
        <w:gridCol w:w="625"/>
        <w:gridCol w:w="586"/>
        <w:gridCol w:w="661"/>
        <w:gridCol w:w="837"/>
        <w:gridCol w:w="761"/>
        <w:gridCol w:w="549"/>
        <w:gridCol w:w="499"/>
        <w:gridCol w:w="761"/>
        <w:gridCol w:w="623"/>
      </w:tblGrid>
      <w:tr>
        <w:tblPrEx>
          <w:tblCellMar>
            <w:top w:w="0" w:type="dxa"/>
            <w:left w:w="108" w:type="dxa"/>
            <w:bottom w:w="0" w:type="dxa"/>
            <w:right w:w="108" w:type="dxa"/>
          </w:tblCellMar>
        </w:tblPrEx>
        <w:trPr>
          <w:trHeight w:val="372" w:hRule="atLeast"/>
        </w:trPr>
        <w:tc>
          <w:tcPr>
            <w:tcW w:w="5000" w:type="pct"/>
            <w:gridSpan w:val="14"/>
            <w:tcBorders>
              <w:top w:val="nil"/>
              <w:left w:val="nil"/>
              <w:bottom w:val="nil"/>
              <w:right w:val="nil"/>
            </w:tcBorders>
            <w:shd w:val="clear" w:color="auto" w:fill="auto"/>
            <w:noWrap/>
            <w:vAlign w:val="center"/>
          </w:tcPr>
          <w:p>
            <w:pPr>
              <w:widowControl/>
              <w:jc w:val="center"/>
              <w:rPr>
                <w:rFonts w:ascii="宋体" w:hAnsi="宋体" w:eastAsia="宋体" w:cs="Arial"/>
                <w:b/>
                <w:bCs/>
                <w:color w:val="000000"/>
                <w:kern w:val="0"/>
                <w:sz w:val="32"/>
                <w:szCs w:val="32"/>
              </w:rPr>
            </w:pPr>
            <w:r>
              <w:rPr>
                <w:rFonts w:hint="eastAsia" w:asciiTheme="minorEastAsia" w:hAnsiTheme="minorEastAsia" w:eastAsiaTheme="minorEastAsia" w:cstheme="minorEastAsia"/>
                <w:color w:val="000000"/>
                <w:sz w:val="18"/>
                <w:szCs w:val="18"/>
              </w:rPr>
              <w:t>部门收入总表</w:t>
            </w:r>
          </w:p>
        </w:tc>
      </w:tr>
      <w:tr>
        <w:tblPrEx>
          <w:tblCellMar>
            <w:top w:w="0" w:type="dxa"/>
            <w:left w:w="108" w:type="dxa"/>
            <w:bottom w:w="0" w:type="dxa"/>
            <w:right w:w="108" w:type="dxa"/>
          </w:tblCellMar>
        </w:tblPrEx>
        <w:trPr>
          <w:trHeight w:val="327" w:hRule="atLeast"/>
        </w:trPr>
        <w:tc>
          <w:tcPr>
            <w:tcW w:w="1989" w:type="pct"/>
            <w:gridSpan w:val="4"/>
            <w:tcBorders>
              <w:top w:val="nil"/>
              <w:left w:val="nil"/>
              <w:bottom w:val="single" w:color="auto" w:sz="4" w:space="0"/>
              <w:right w:val="nil"/>
            </w:tcBorders>
            <w:shd w:val="clear" w:color="auto" w:fill="auto"/>
            <w:noWrap/>
            <w:vAlign w:val="center"/>
          </w:tcPr>
          <w:p>
            <w:pPr>
              <w:widowControl/>
              <w:jc w:val="left"/>
              <w:rPr>
                <w:rFonts w:ascii="Times New Roman" w:hAnsi="Times New Roman" w:eastAsia="Times New Roman" w:cs="Times New Roman"/>
                <w:kern w:val="0"/>
                <w:sz w:val="20"/>
                <w:szCs w:val="20"/>
              </w:rPr>
            </w:pPr>
            <w:r>
              <w:rPr>
                <w:rFonts w:hint="eastAsia" w:asciiTheme="minorEastAsia" w:hAnsiTheme="minorEastAsia" w:cstheme="minorEastAsia"/>
                <w:color w:val="000000"/>
                <w:kern w:val="0"/>
                <w:sz w:val="18"/>
                <w:szCs w:val="18"/>
                <w:lang w:eastAsia="zh-CN" w:bidi="ar"/>
              </w:rPr>
              <w:t>填报单位:201浮梁县农业农村局</w:t>
            </w:r>
          </w:p>
        </w:tc>
        <w:tc>
          <w:tcPr>
            <w:tcW w:w="422" w:type="pct"/>
            <w:tcBorders>
              <w:top w:val="nil"/>
              <w:left w:val="nil"/>
              <w:bottom w:val="single" w:color="auto" w:sz="4" w:space="0"/>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74" w:type="pct"/>
            <w:tcBorders>
              <w:top w:val="nil"/>
              <w:left w:val="nil"/>
              <w:bottom w:val="single" w:color="auto" w:sz="4" w:space="0"/>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57" w:type="pct"/>
            <w:tcBorders>
              <w:top w:val="nil"/>
              <w:left w:val="nil"/>
              <w:bottom w:val="single" w:color="auto" w:sz="4" w:space="0"/>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90" w:type="pct"/>
            <w:tcBorders>
              <w:top w:val="nil"/>
              <w:left w:val="nil"/>
              <w:bottom w:val="single" w:color="auto" w:sz="4" w:space="0"/>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367" w:type="pct"/>
            <w:tcBorders>
              <w:top w:val="nil"/>
              <w:left w:val="nil"/>
              <w:bottom w:val="single" w:color="auto" w:sz="4" w:space="0"/>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334" w:type="pct"/>
            <w:tcBorders>
              <w:top w:val="nil"/>
              <w:left w:val="nil"/>
              <w:bottom w:val="single" w:color="auto" w:sz="4" w:space="0"/>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41" w:type="pct"/>
            <w:tcBorders>
              <w:top w:val="nil"/>
              <w:left w:val="nil"/>
              <w:bottom w:val="single" w:color="auto" w:sz="4" w:space="0"/>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219" w:type="pct"/>
            <w:tcBorders>
              <w:top w:val="nil"/>
              <w:left w:val="nil"/>
              <w:bottom w:val="single" w:color="auto" w:sz="4" w:space="0"/>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c>
          <w:tcPr>
            <w:tcW w:w="603" w:type="pct"/>
            <w:gridSpan w:val="2"/>
            <w:tcBorders>
              <w:top w:val="nil"/>
              <w:left w:val="nil"/>
              <w:bottom w:val="single" w:color="auto" w:sz="4" w:space="0"/>
              <w:right w:val="nil"/>
            </w:tcBorders>
            <w:shd w:val="clear" w:color="auto" w:fill="auto"/>
            <w:noWrap/>
            <w:vAlign w:val="bottom"/>
          </w:tcPr>
          <w:p>
            <w:pPr>
              <w:widowControl/>
              <w:jc w:val="right"/>
              <w:rPr>
                <w:rFonts w:hint="eastAsia" w:ascii="宋体" w:hAnsi="宋体" w:eastAsia="宋体" w:cs="宋体"/>
                <w:color w:val="000000"/>
                <w:kern w:val="0"/>
                <w:sz w:val="18"/>
                <w:szCs w:val="18"/>
                <w:lang w:eastAsia="zh-CN" w:bidi="ar"/>
              </w:rPr>
            </w:pPr>
            <w:r>
              <w:rPr>
                <w:rFonts w:hint="eastAsia" w:asciiTheme="minorEastAsia" w:hAnsiTheme="minorEastAsia" w:cstheme="minorEastAsia"/>
                <w:color w:val="000000"/>
                <w:kern w:val="0"/>
                <w:sz w:val="18"/>
                <w:szCs w:val="18"/>
                <w:lang w:eastAsia="zh-CN" w:bidi="ar"/>
              </w:rPr>
              <w:t>单位：万元</w:t>
            </w:r>
          </w:p>
        </w:tc>
      </w:tr>
      <w:tr>
        <w:tblPrEx>
          <w:tblCellMar>
            <w:top w:w="0" w:type="dxa"/>
            <w:left w:w="108" w:type="dxa"/>
            <w:bottom w:w="0" w:type="dxa"/>
            <w:right w:w="108" w:type="dxa"/>
          </w:tblCellMar>
        </w:tblPrEx>
        <w:trPr>
          <w:cantSplit/>
          <w:trHeight w:val="283" w:hRule="atLeast"/>
        </w:trPr>
        <w:tc>
          <w:tcPr>
            <w:tcW w:w="871" w:type="pct"/>
            <w:vMerge w:val="restart"/>
            <w:tcBorders>
              <w:top w:val="single" w:color="auto" w:sz="4" w:space="0"/>
              <w:left w:val="single" w:color="auto" w:sz="4" w:space="0"/>
              <w:right w:val="single" w:color="auto" w:sz="4" w:space="0"/>
            </w:tcBorders>
            <w:shd w:val="clear" w:color="auto" w:fill="auto"/>
            <w:noWrap/>
            <w:vAlign w:val="center"/>
          </w:tcPr>
          <w:p>
            <w:pPr>
              <w:widowControl/>
              <w:snapToGrid w:val="0"/>
              <w:jc w:val="center"/>
              <w:textAlignment w:val="center"/>
              <w:rPr>
                <w:rFonts w:hint="default" w:asciiTheme="minorEastAsia" w:hAnsiTheme="minorEastAsia" w:eastAsiaTheme="minorEastAsia" w:cstheme="minorEastAsia"/>
                <w:color w:val="000000"/>
                <w:kern w:val="0"/>
                <w:sz w:val="13"/>
                <w:szCs w:val="13"/>
                <w:lang w:val="en-US" w:eastAsia="zh-CN" w:bidi="ar"/>
              </w:rPr>
            </w:pPr>
            <w:r>
              <w:rPr>
                <w:rFonts w:hint="eastAsia" w:asciiTheme="minorEastAsia" w:hAnsiTheme="minorEastAsia" w:cstheme="minorEastAsia"/>
                <w:color w:val="000000"/>
                <w:kern w:val="0"/>
                <w:sz w:val="13"/>
                <w:szCs w:val="13"/>
                <w:lang w:val="en-US" w:eastAsia="zh-CN" w:bidi="ar"/>
              </w:rPr>
              <w:t>单位名称</w:t>
            </w:r>
          </w:p>
        </w:tc>
        <w:tc>
          <w:tcPr>
            <w:tcW w:w="39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合计</w:t>
            </w:r>
          </w:p>
        </w:tc>
        <w:tc>
          <w:tcPr>
            <w:tcW w:w="3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上年结转</w:t>
            </w:r>
          </w:p>
        </w:tc>
        <w:tc>
          <w:tcPr>
            <w:tcW w:w="1332"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财政拨款</w:t>
            </w:r>
          </w:p>
        </w:tc>
        <w:tc>
          <w:tcPr>
            <w:tcW w:w="29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教育收费资金收入</w:t>
            </w:r>
          </w:p>
        </w:tc>
        <w:tc>
          <w:tcPr>
            <w:tcW w:w="36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事业收入</w:t>
            </w:r>
          </w:p>
        </w:tc>
        <w:tc>
          <w:tcPr>
            <w:tcW w:w="3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事业单位经营收入</w:t>
            </w:r>
          </w:p>
        </w:tc>
        <w:tc>
          <w:tcPr>
            <w:tcW w:w="2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附属单位上缴收入</w:t>
            </w:r>
          </w:p>
        </w:tc>
        <w:tc>
          <w:tcPr>
            <w:tcW w:w="2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上级补助收入</w:t>
            </w:r>
          </w:p>
        </w:tc>
        <w:tc>
          <w:tcPr>
            <w:tcW w:w="3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其他收入</w:t>
            </w: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使用非财政拨款结余</w:t>
            </w:r>
          </w:p>
        </w:tc>
      </w:tr>
      <w:tr>
        <w:tblPrEx>
          <w:tblCellMar>
            <w:top w:w="0" w:type="dxa"/>
            <w:left w:w="108" w:type="dxa"/>
            <w:bottom w:w="0" w:type="dxa"/>
            <w:right w:w="108" w:type="dxa"/>
          </w:tblCellMar>
        </w:tblPrEx>
        <w:trPr>
          <w:cantSplit/>
          <w:trHeight w:val="554" w:hRule="atLeast"/>
        </w:trPr>
        <w:tc>
          <w:tcPr>
            <w:tcW w:w="871" w:type="pct"/>
            <w:vMerge w:val="continue"/>
            <w:tcBorders>
              <w:left w:val="single" w:color="auto" w:sz="4" w:space="0"/>
              <w:bottom w:val="single" w:color="auto" w:sz="4" w:space="0"/>
              <w:right w:val="single" w:color="auto" w:sz="4" w:space="0"/>
            </w:tcBorders>
            <w:vAlign w:val="center"/>
          </w:tcPr>
          <w:p>
            <w:pPr>
              <w:widowControl/>
              <w:jc w:val="left"/>
              <w:rPr>
                <w:rFonts w:ascii="宋体" w:hAnsi="宋体" w:eastAsia="宋体" w:cs="Arial"/>
                <w:color w:val="000000"/>
                <w:kern w:val="0"/>
                <w:sz w:val="13"/>
                <w:szCs w:val="13"/>
              </w:rPr>
            </w:pPr>
          </w:p>
        </w:tc>
        <w:tc>
          <w:tcPr>
            <w:tcW w:w="39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color w:val="000000"/>
                <w:kern w:val="0"/>
                <w:sz w:val="13"/>
                <w:szCs w:val="13"/>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color w:val="000000"/>
                <w:kern w:val="0"/>
                <w:sz w:val="13"/>
                <w:szCs w:val="13"/>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小计</w:t>
            </w:r>
          </w:p>
        </w:tc>
        <w:tc>
          <w:tcPr>
            <w:tcW w:w="42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一般公共预算拨款收入</w:t>
            </w:r>
          </w:p>
        </w:tc>
        <w:tc>
          <w:tcPr>
            <w:tcW w:w="27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政府性基金预算拨款收入</w:t>
            </w:r>
          </w:p>
        </w:tc>
        <w:tc>
          <w:tcPr>
            <w:tcW w:w="25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3"/>
                <w:szCs w:val="13"/>
                <w:lang w:bidi="ar"/>
              </w:rPr>
              <w:t>国有资本经营预算收入</w:t>
            </w:r>
          </w:p>
        </w:tc>
        <w:tc>
          <w:tcPr>
            <w:tcW w:w="29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color w:val="000000"/>
                <w:kern w:val="0"/>
                <w:sz w:val="13"/>
                <w:szCs w:val="13"/>
              </w:rPr>
            </w:pPr>
          </w:p>
        </w:tc>
        <w:tc>
          <w:tcPr>
            <w:tcW w:w="36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color w:val="000000"/>
                <w:kern w:val="0"/>
                <w:sz w:val="13"/>
                <w:szCs w:val="13"/>
              </w:rPr>
            </w:pPr>
          </w:p>
        </w:tc>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color w:val="000000"/>
                <w:kern w:val="0"/>
                <w:sz w:val="13"/>
                <w:szCs w:val="13"/>
              </w:rPr>
            </w:pPr>
          </w:p>
        </w:tc>
        <w:tc>
          <w:tcPr>
            <w:tcW w:w="24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color w:val="000000"/>
                <w:kern w:val="0"/>
                <w:sz w:val="13"/>
                <w:szCs w:val="13"/>
              </w:rPr>
            </w:pPr>
          </w:p>
        </w:tc>
        <w:tc>
          <w:tcPr>
            <w:tcW w:w="21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color w:val="000000"/>
                <w:kern w:val="0"/>
                <w:sz w:val="13"/>
                <w:szCs w:val="13"/>
              </w:rPr>
            </w:pPr>
          </w:p>
        </w:tc>
        <w:tc>
          <w:tcPr>
            <w:tcW w:w="334"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color w:val="000000"/>
                <w:kern w:val="0"/>
                <w:sz w:val="13"/>
                <w:szCs w:val="13"/>
              </w:rPr>
            </w:pPr>
          </w:p>
        </w:tc>
        <w:tc>
          <w:tcPr>
            <w:tcW w:w="26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Arial"/>
                <w:color w:val="000000"/>
                <w:kern w:val="0"/>
                <w:sz w:val="13"/>
                <w:szCs w:val="13"/>
              </w:rPr>
            </w:pPr>
          </w:p>
        </w:tc>
      </w:tr>
      <w:tr>
        <w:tblPrEx>
          <w:tblCellMar>
            <w:top w:w="0" w:type="dxa"/>
            <w:left w:w="108" w:type="dxa"/>
            <w:bottom w:w="0" w:type="dxa"/>
            <w:right w:w="108" w:type="dxa"/>
          </w:tblCellMar>
        </w:tblPrEx>
        <w:trPr>
          <w:cantSplit/>
          <w:trHeight w:val="283" w:hRule="atLeast"/>
        </w:trPr>
        <w:tc>
          <w:tcPr>
            <w:tcW w:w="87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13"/>
                <w:szCs w:val="13"/>
              </w:rPr>
            </w:pPr>
            <w:r>
              <w:rPr>
                <w:rFonts w:hint="eastAsia" w:ascii="宋体" w:hAnsi="宋体" w:eastAsia="宋体" w:cs="Arial"/>
                <w:color w:val="000000"/>
                <w:kern w:val="0"/>
                <w:sz w:val="13"/>
                <w:szCs w:val="13"/>
              </w:rPr>
              <w:t>**</w:t>
            </w:r>
          </w:p>
        </w:tc>
        <w:tc>
          <w:tcPr>
            <w:tcW w:w="39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13"/>
                <w:szCs w:val="13"/>
              </w:rPr>
            </w:pPr>
            <w:r>
              <w:rPr>
                <w:rFonts w:hint="eastAsia" w:ascii="宋体" w:hAnsi="宋体" w:eastAsia="宋体" w:cs="Arial"/>
                <w:color w:val="000000"/>
                <w:kern w:val="0"/>
                <w:sz w:val="13"/>
                <w:szCs w:val="13"/>
              </w:rPr>
              <w:t>1</w:t>
            </w:r>
          </w:p>
        </w:tc>
        <w:tc>
          <w:tcPr>
            <w:tcW w:w="34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13"/>
                <w:szCs w:val="13"/>
                <w:lang w:val="en-US" w:eastAsia="zh-CN"/>
              </w:rPr>
            </w:pPr>
            <w:r>
              <w:rPr>
                <w:rFonts w:hint="eastAsia" w:ascii="宋体" w:hAnsi="宋体" w:eastAsia="宋体" w:cs="Arial"/>
                <w:color w:val="000000"/>
                <w:kern w:val="0"/>
                <w:sz w:val="13"/>
                <w:szCs w:val="13"/>
                <w:lang w:val="en-US" w:eastAsia="zh-CN"/>
              </w:rPr>
              <w:t>2</w:t>
            </w:r>
          </w:p>
        </w:tc>
        <w:tc>
          <w:tcPr>
            <w:tcW w:w="37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13"/>
                <w:szCs w:val="13"/>
                <w:lang w:val="en-US" w:eastAsia="zh-CN"/>
              </w:rPr>
            </w:pPr>
            <w:r>
              <w:rPr>
                <w:rFonts w:hint="eastAsia" w:ascii="宋体" w:hAnsi="宋体" w:eastAsia="宋体" w:cs="Arial"/>
                <w:color w:val="000000"/>
                <w:kern w:val="0"/>
                <w:sz w:val="13"/>
                <w:szCs w:val="13"/>
                <w:lang w:val="en-US" w:eastAsia="zh-CN"/>
              </w:rPr>
              <w:t>3</w:t>
            </w:r>
          </w:p>
        </w:tc>
        <w:tc>
          <w:tcPr>
            <w:tcW w:w="42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13"/>
                <w:szCs w:val="13"/>
                <w:lang w:val="en-US" w:eastAsia="zh-CN"/>
              </w:rPr>
            </w:pPr>
            <w:r>
              <w:rPr>
                <w:rFonts w:hint="eastAsia" w:ascii="宋体" w:hAnsi="宋体" w:eastAsia="宋体" w:cs="Arial"/>
                <w:color w:val="000000"/>
                <w:kern w:val="0"/>
                <w:sz w:val="13"/>
                <w:szCs w:val="13"/>
                <w:lang w:val="en-US" w:eastAsia="zh-CN"/>
              </w:rPr>
              <w:t>4</w:t>
            </w:r>
          </w:p>
        </w:tc>
        <w:tc>
          <w:tcPr>
            <w:tcW w:w="27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13"/>
                <w:szCs w:val="13"/>
                <w:lang w:val="en-US" w:eastAsia="zh-CN"/>
              </w:rPr>
            </w:pPr>
            <w:r>
              <w:rPr>
                <w:rFonts w:hint="eastAsia" w:ascii="宋体" w:hAnsi="宋体" w:eastAsia="宋体" w:cs="Arial"/>
                <w:color w:val="000000"/>
                <w:kern w:val="0"/>
                <w:sz w:val="13"/>
                <w:szCs w:val="13"/>
                <w:lang w:val="en-US" w:eastAsia="zh-CN"/>
              </w:rPr>
              <w:t>5</w:t>
            </w:r>
          </w:p>
        </w:tc>
        <w:tc>
          <w:tcPr>
            <w:tcW w:w="25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13"/>
                <w:szCs w:val="13"/>
                <w:lang w:val="en-US" w:eastAsia="zh-CN"/>
              </w:rPr>
            </w:pPr>
            <w:r>
              <w:rPr>
                <w:rFonts w:hint="eastAsia" w:ascii="宋体" w:hAnsi="宋体" w:eastAsia="宋体" w:cs="Arial"/>
                <w:color w:val="000000"/>
                <w:kern w:val="0"/>
                <w:sz w:val="13"/>
                <w:szCs w:val="13"/>
                <w:lang w:val="en-US" w:eastAsia="zh-CN"/>
              </w:rPr>
              <w:t>6</w:t>
            </w:r>
          </w:p>
        </w:tc>
        <w:tc>
          <w:tcPr>
            <w:tcW w:w="29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13"/>
                <w:szCs w:val="13"/>
                <w:lang w:val="en-US" w:eastAsia="zh-CN"/>
              </w:rPr>
            </w:pPr>
            <w:r>
              <w:rPr>
                <w:rFonts w:hint="eastAsia" w:ascii="宋体" w:hAnsi="宋体" w:eastAsia="宋体" w:cs="Arial"/>
                <w:color w:val="000000"/>
                <w:kern w:val="0"/>
                <w:sz w:val="13"/>
                <w:szCs w:val="13"/>
                <w:lang w:val="en-US" w:eastAsia="zh-CN"/>
              </w:rPr>
              <w:t>7</w:t>
            </w:r>
          </w:p>
        </w:tc>
        <w:tc>
          <w:tcPr>
            <w:tcW w:w="36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13"/>
                <w:szCs w:val="13"/>
                <w:lang w:val="en-US" w:eastAsia="zh-CN"/>
              </w:rPr>
            </w:pPr>
            <w:r>
              <w:rPr>
                <w:rFonts w:hint="eastAsia" w:ascii="宋体" w:hAnsi="宋体" w:eastAsia="宋体" w:cs="Arial"/>
                <w:color w:val="000000"/>
                <w:kern w:val="0"/>
                <w:sz w:val="13"/>
                <w:szCs w:val="13"/>
                <w:lang w:val="en-US" w:eastAsia="zh-CN"/>
              </w:rPr>
              <w:t>8</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13"/>
                <w:szCs w:val="13"/>
                <w:lang w:val="en-US" w:eastAsia="zh-CN"/>
              </w:rPr>
            </w:pPr>
            <w:r>
              <w:rPr>
                <w:rFonts w:hint="eastAsia" w:ascii="宋体" w:hAnsi="宋体" w:eastAsia="宋体" w:cs="Arial"/>
                <w:color w:val="000000"/>
                <w:kern w:val="0"/>
                <w:sz w:val="13"/>
                <w:szCs w:val="13"/>
                <w:lang w:val="en-US" w:eastAsia="zh-CN"/>
              </w:rPr>
              <w:t>9</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13"/>
                <w:szCs w:val="13"/>
              </w:rPr>
            </w:pPr>
            <w:r>
              <w:rPr>
                <w:rFonts w:hint="eastAsia" w:ascii="宋体" w:hAnsi="宋体" w:eastAsia="宋体" w:cs="Arial"/>
                <w:color w:val="000000"/>
                <w:kern w:val="0"/>
                <w:sz w:val="13"/>
                <w:szCs w:val="13"/>
                <w:lang w:val="en-US" w:eastAsia="zh-CN"/>
              </w:rPr>
              <w:t>1</w:t>
            </w:r>
            <w:r>
              <w:rPr>
                <w:rFonts w:hint="eastAsia" w:ascii="宋体" w:hAnsi="宋体" w:eastAsia="宋体" w:cs="Arial"/>
                <w:color w:val="000000"/>
                <w:kern w:val="0"/>
                <w:sz w:val="13"/>
                <w:szCs w:val="13"/>
              </w:rPr>
              <w:t>0</w:t>
            </w:r>
          </w:p>
        </w:tc>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Arial"/>
                <w:color w:val="000000"/>
                <w:kern w:val="0"/>
                <w:sz w:val="13"/>
                <w:szCs w:val="13"/>
                <w:lang w:val="en-US" w:eastAsia="zh-CN"/>
              </w:rPr>
            </w:pPr>
            <w:r>
              <w:rPr>
                <w:rFonts w:hint="eastAsia" w:ascii="宋体" w:hAnsi="宋体" w:eastAsia="宋体" w:cs="Arial"/>
                <w:color w:val="000000"/>
                <w:kern w:val="0"/>
                <w:sz w:val="13"/>
                <w:szCs w:val="13"/>
                <w:lang w:val="en-US" w:eastAsia="zh-CN"/>
              </w:rPr>
              <w:t>11</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Arial"/>
                <w:color w:val="000000"/>
                <w:kern w:val="0"/>
                <w:sz w:val="13"/>
                <w:szCs w:val="13"/>
                <w:lang w:val="en-US" w:eastAsia="zh-CN"/>
              </w:rPr>
            </w:pPr>
            <w:r>
              <w:rPr>
                <w:rFonts w:hint="eastAsia" w:ascii="宋体" w:hAnsi="宋体" w:eastAsia="宋体" w:cs="Arial"/>
                <w:color w:val="000000"/>
                <w:kern w:val="0"/>
                <w:sz w:val="13"/>
                <w:szCs w:val="13"/>
                <w:lang w:val="en-US" w:eastAsia="zh-CN"/>
              </w:rPr>
              <w:t>12</w:t>
            </w:r>
          </w:p>
        </w:tc>
        <w:tc>
          <w:tcPr>
            <w:tcW w:w="26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Arial"/>
                <w:color w:val="000000"/>
                <w:kern w:val="0"/>
                <w:sz w:val="13"/>
                <w:szCs w:val="13"/>
                <w:lang w:val="en-US" w:eastAsia="zh-CN"/>
              </w:rPr>
            </w:pPr>
            <w:r>
              <w:rPr>
                <w:rFonts w:hint="eastAsia" w:ascii="宋体" w:hAnsi="宋体" w:eastAsia="宋体" w:cs="Arial"/>
                <w:color w:val="000000"/>
                <w:kern w:val="0"/>
                <w:sz w:val="13"/>
                <w:szCs w:val="13"/>
                <w:lang w:val="en-US" w:eastAsia="zh-CN"/>
              </w:rPr>
              <w:t>13</w:t>
            </w:r>
          </w:p>
        </w:tc>
      </w:tr>
      <w:tr>
        <w:tblPrEx>
          <w:tblCellMar>
            <w:top w:w="0" w:type="dxa"/>
            <w:left w:w="108" w:type="dxa"/>
            <w:bottom w:w="0" w:type="dxa"/>
            <w:right w:w="108" w:type="dxa"/>
          </w:tblCellMar>
        </w:tblPrEx>
        <w:trPr>
          <w:cantSplit/>
          <w:trHeight w:val="454" w:hRule="atLeast"/>
        </w:trPr>
        <w:tc>
          <w:tcPr>
            <w:tcW w:w="87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合计</w:t>
            </w:r>
          </w:p>
        </w:tc>
        <w:tc>
          <w:tcPr>
            <w:tcW w:w="39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15,061.57</w:t>
            </w:r>
          </w:p>
        </w:tc>
        <w:tc>
          <w:tcPr>
            <w:tcW w:w="34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9,355.09</w:t>
            </w:r>
          </w:p>
        </w:tc>
        <w:tc>
          <w:tcPr>
            <w:tcW w:w="37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3,296.48</w:t>
            </w:r>
          </w:p>
        </w:tc>
        <w:tc>
          <w:tcPr>
            <w:tcW w:w="42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2,458.95</w:t>
            </w:r>
          </w:p>
        </w:tc>
        <w:tc>
          <w:tcPr>
            <w:tcW w:w="27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837.53</w:t>
            </w:r>
          </w:p>
        </w:tc>
        <w:tc>
          <w:tcPr>
            <w:tcW w:w="25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9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6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2,410.00</w:t>
            </w:r>
          </w:p>
        </w:tc>
        <w:tc>
          <w:tcPr>
            <w:tcW w:w="26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r>
      <w:tr>
        <w:tblPrEx>
          <w:tblCellMar>
            <w:top w:w="0" w:type="dxa"/>
            <w:left w:w="108" w:type="dxa"/>
            <w:bottom w:w="0" w:type="dxa"/>
            <w:right w:w="108" w:type="dxa"/>
          </w:tblCellMar>
        </w:tblPrEx>
        <w:trPr>
          <w:cantSplit/>
          <w:trHeight w:val="454" w:hRule="atLeast"/>
        </w:trPr>
        <w:tc>
          <w:tcPr>
            <w:tcW w:w="87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浮梁县农业农村局</w:t>
            </w:r>
          </w:p>
        </w:tc>
        <w:tc>
          <w:tcPr>
            <w:tcW w:w="39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12,933.67</w:t>
            </w:r>
          </w:p>
        </w:tc>
        <w:tc>
          <w:tcPr>
            <w:tcW w:w="34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8,758.03</w:t>
            </w:r>
          </w:p>
        </w:tc>
        <w:tc>
          <w:tcPr>
            <w:tcW w:w="37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1,875.64</w:t>
            </w:r>
          </w:p>
        </w:tc>
        <w:tc>
          <w:tcPr>
            <w:tcW w:w="42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1,060.51</w:t>
            </w:r>
          </w:p>
        </w:tc>
        <w:tc>
          <w:tcPr>
            <w:tcW w:w="27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815.13</w:t>
            </w:r>
          </w:p>
        </w:tc>
        <w:tc>
          <w:tcPr>
            <w:tcW w:w="25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9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6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2,300.00</w:t>
            </w:r>
          </w:p>
        </w:tc>
        <w:tc>
          <w:tcPr>
            <w:tcW w:w="26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r>
      <w:tr>
        <w:tblPrEx>
          <w:tblCellMar>
            <w:top w:w="0" w:type="dxa"/>
            <w:left w:w="108" w:type="dxa"/>
            <w:bottom w:w="0" w:type="dxa"/>
            <w:right w:w="108" w:type="dxa"/>
          </w:tblCellMar>
        </w:tblPrEx>
        <w:trPr>
          <w:cantSplit/>
          <w:trHeight w:val="454" w:hRule="atLeast"/>
        </w:trPr>
        <w:tc>
          <w:tcPr>
            <w:tcW w:w="87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浮梁县农业技术推广中心</w:t>
            </w:r>
          </w:p>
        </w:tc>
        <w:tc>
          <w:tcPr>
            <w:tcW w:w="39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873.11</w:t>
            </w:r>
          </w:p>
        </w:tc>
        <w:tc>
          <w:tcPr>
            <w:tcW w:w="34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137.83</w:t>
            </w:r>
          </w:p>
        </w:tc>
        <w:tc>
          <w:tcPr>
            <w:tcW w:w="37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682.28</w:t>
            </w:r>
          </w:p>
        </w:tc>
        <w:tc>
          <w:tcPr>
            <w:tcW w:w="42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682.28</w:t>
            </w:r>
          </w:p>
        </w:tc>
        <w:tc>
          <w:tcPr>
            <w:tcW w:w="27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5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9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6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53.00</w:t>
            </w:r>
          </w:p>
        </w:tc>
        <w:tc>
          <w:tcPr>
            <w:tcW w:w="26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r>
      <w:tr>
        <w:tblPrEx>
          <w:tblCellMar>
            <w:top w:w="0" w:type="dxa"/>
            <w:left w:w="108" w:type="dxa"/>
            <w:bottom w:w="0" w:type="dxa"/>
            <w:right w:w="108" w:type="dxa"/>
          </w:tblCellMar>
        </w:tblPrEx>
        <w:trPr>
          <w:cantSplit/>
          <w:trHeight w:val="454" w:hRule="atLeast"/>
        </w:trPr>
        <w:tc>
          <w:tcPr>
            <w:tcW w:w="87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浮梁县农业综合行政执法大队</w:t>
            </w:r>
          </w:p>
        </w:tc>
        <w:tc>
          <w:tcPr>
            <w:tcW w:w="39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495.40</w:t>
            </w:r>
          </w:p>
        </w:tc>
        <w:tc>
          <w:tcPr>
            <w:tcW w:w="34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111.23</w:t>
            </w:r>
          </w:p>
        </w:tc>
        <w:tc>
          <w:tcPr>
            <w:tcW w:w="37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357.17</w:t>
            </w:r>
          </w:p>
        </w:tc>
        <w:tc>
          <w:tcPr>
            <w:tcW w:w="42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351.53</w:t>
            </w:r>
          </w:p>
        </w:tc>
        <w:tc>
          <w:tcPr>
            <w:tcW w:w="27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5.63</w:t>
            </w:r>
          </w:p>
        </w:tc>
        <w:tc>
          <w:tcPr>
            <w:tcW w:w="25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9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6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27.00</w:t>
            </w:r>
          </w:p>
        </w:tc>
        <w:tc>
          <w:tcPr>
            <w:tcW w:w="26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r>
      <w:tr>
        <w:tblPrEx>
          <w:tblCellMar>
            <w:top w:w="0" w:type="dxa"/>
            <w:left w:w="108" w:type="dxa"/>
            <w:bottom w:w="0" w:type="dxa"/>
            <w:right w:w="108" w:type="dxa"/>
          </w:tblCellMar>
        </w:tblPrEx>
        <w:trPr>
          <w:cantSplit/>
          <w:trHeight w:val="454" w:hRule="atLeast"/>
        </w:trPr>
        <w:tc>
          <w:tcPr>
            <w:tcW w:w="87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浮梁县农业农村产业发展服务中心</w:t>
            </w:r>
          </w:p>
        </w:tc>
        <w:tc>
          <w:tcPr>
            <w:tcW w:w="39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759.40</w:t>
            </w:r>
          </w:p>
        </w:tc>
        <w:tc>
          <w:tcPr>
            <w:tcW w:w="34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348.00</w:t>
            </w:r>
          </w:p>
        </w:tc>
        <w:tc>
          <w:tcPr>
            <w:tcW w:w="378"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381.40</w:t>
            </w:r>
          </w:p>
        </w:tc>
        <w:tc>
          <w:tcPr>
            <w:tcW w:w="42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364.63</w:t>
            </w:r>
          </w:p>
        </w:tc>
        <w:tc>
          <w:tcPr>
            <w:tcW w:w="27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16.77</w:t>
            </w:r>
          </w:p>
        </w:tc>
        <w:tc>
          <w:tcPr>
            <w:tcW w:w="25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90"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67"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21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c>
          <w:tcPr>
            <w:tcW w:w="33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30.00</w:t>
            </w:r>
          </w:p>
        </w:tc>
        <w:tc>
          <w:tcPr>
            <w:tcW w:w="26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Arial"/>
                <w:color w:val="000000"/>
                <w:kern w:val="0"/>
                <w:sz w:val="13"/>
                <w:szCs w:val="13"/>
              </w:rPr>
            </w:pPr>
            <w:r>
              <w:rPr>
                <w:rFonts w:hint="eastAsia" w:ascii="宋体" w:hAnsi="宋体" w:eastAsia="宋体" w:cs="Arial"/>
                <w:b w:val="0"/>
                <w:color w:val="000000"/>
                <w:kern w:val="0"/>
                <w:sz w:val="13"/>
                <w:szCs w:val="13"/>
              </w:rPr>
              <w:t>0.00</w:t>
            </w:r>
          </w:p>
        </w:tc>
      </w:tr>
    </w:tbl>
    <w:p>
      <w:pPr>
        <w:widowControl/>
        <w:jc w:val="left"/>
        <w:rPr>
          <w:rStyle w:val="12"/>
          <w:rFonts w:ascii="仿宋" w:hAnsi="仿宋" w:eastAsia="仿宋"/>
          <w:bCs/>
          <w:sz w:val="32"/>
          <w:szCs w:val="32"/>
        </w:rPr>
        <w:sectPr>
          <w:pgSz w:w="11906" w:h="16838"/>
          <w:pgMar w:top="720" w:right="720" w:bottom="720" w:left="720" w:header="851" w:footer="992" w:gutter="0"/>
          <w:cols w:space="720" w:num="1"/>
          <w:docGrid w:type="lines" w:linePitch="312" w:charSpace="0"/>
        </w:sectPr>
      </w:pPr>
    </w:p>
    <w:tbl>
      <w:tblPr>
        <w:tblStyle w:val="6"/>
        <w:tblW w:w="5000" w:type="pct"/>
        <w:tblInd w:w="0" w:type="dxa"/>
        <w:tblLayout w:type="fixed"/>
        <w:tblCellMar>
          <w:top w:w="0" w:type="dxa"/>
          <w:left w:w="108" w:type="dxa"/>
          <w:bottom w:w="0" w:type="dxa"/>
          <w:right w:w="108" w:type="dxa"/>
        </w:tblCellMar>
      </w:tblPr>
      <w:tblGrid>
        <w:gridCol w:w="1958"/>
        <w:gridCol w:w="3881"/>
        <w:gridCol w:w="1952"/>
        <w:gridCol w:w="1378"/>
        <w:gridCol w:w="1513"/>
      </w:tblGrid>
      <w:tr>
        <w:tblPrEx>
          <w:tblCellMar>
            <w:top w:w="0" w:type="dxa"/>
            <w:left w:w="108" w:type="dxa"/>
            <w:bottom w:w="0" w:type="dxa"/>
            <w:right w:w="108" w:type="dxa"/>
          </w:tblCellMar>
        </w:tblPrEx>
        <w:trPr>
          <w:trHeight w:val="585" w:hRule="atLeast"/>
        </w:trPr>
        <w:tc>
          <w:tcPr>
            <w:tcW w:w="5000" w:type="pct"/>
            <w:gridSpan w:val="5"/>
            <w:tcBorders>
              <w:top w:val="nil"/>
              <w:left w:val="nil"/>
              <w:bottom w:val="nil"/>
              <w:right w:val="nil"/>
            </w:tcBorders>
            <w:shd w:val="clear" w:color="auto" w:fill="auto"/>
            <w:noWrap/>
            <w:vAlign w:val="center"/>
          </w:tcPr>
          <w:p>
            <w:pPr>
              <w:widowControl/>
              <w:jc w:val="center"/>
              <w:rPr>
                <w:rFonts w:ascii="宋体" w:hAnsi="宋体" w:eastAsia="宋体" w:cs="Arial"/>
                <w:b/>
                <w:bCs/>
                <w:color w:val="000000"/>
                <w:kern w:val="0"/>
                <w:sz w:val="44"/>
                <w:szCs w:val="44"/>
              </w:rPr>
            </w:pPr>
            <w:r>
              <w:rPr>
                <w:rFonts w:hint="eastAsia" w:asciiTheme="minorEastAsia" w:hAnsiTheme="minorEastAsia" w:eastAsiaTheme="minorEastAsia" w:cstheme="minorEastAsia"/>
                <w:b/>
                <w:bCs/>
                <w:color w:val="000000"/>
                <w:kern w:val="0"/>
                <w:sz w:val="24"/>
                <w:szCs w:val="24"/>
                <w:lang w:bidi="ar"/>
              </w:rPr>
              <w:t>部门支出总表</w:t>
            </w:r>
          </w:p>
        </w:tc>
      </w:tr>
      <w:tr>
        <w:tblPrEx>
          <w:tblCellMar>
            <w:top w:w="0" w:type="dxa"/>
            <w:left w:w="108" w:type="dxa"/>
            <w:bottom w:w="0" w:type="dxa"/>
            <w:right w:w="108" w:type="dxa"/>
          </w:tblCellMar>
        </w:tblPrEx>
        <w:trPr>
          <w:trHeight w:val="420" w:hRule="atLeast"/>
        </w:trPr>
        <w:tc>
          <w:tcPr>
            <w:tcW w:w="2733" w:type="pct"/>
            <w:gridSpan w:val="2"/>
            <w:tcBorders>
              <w:top w:val="nil"/>
              <w:left w:val="nil"/>
              <w:bottom w:val="nil"/>
              <w:right w:val="nil"/>
            </w:tcBorders>
            <w:shd w:val="clear" w:color="auto" w:fill="auto"/>
            <w:noWrap/>
            <w:vAlign w:val="center"/>
          </w:tcPr>
          <w:p>
            <w:pPr>
              <w:widowControl/>
              <w:snapToGrid w:val="0"/>
              <w:jc w:val="left"/>
              <w:textAlignment w:val="center"/>
              <w:rPr>
                <w:rFonts w:hint="eastAsia" w:asciiTheme="minorEastAsia" w:hAnsiTheme="minorEastAsia" w:cstheme="minorEastAsia"/>
                <w:color w:val="000000"/>
                <w:kern w:val="0"/>
                <w:sz w:val="13"/>
                <w:szCs w:val="13"/>
                <w:lang w:eastAsia="zh-CN" w:bidi="ar"/>
              </w:rPr>
            </w:pPr>
            <w:r>
              <w:rPr>
                <w:rFonts w:hint="eastAsia" w:asciiTheme="minorEastAsia" w:hAnsiTheme="minorEastAsia" w:cstheme="minorEastAsia"/>
                <w:color w:val="000000"/>
                <w:kern w:val="0"/>
                <w:sz w:val="18"/>
                <w:szCs w:val="18"/>
                <w:lang w:bidi="ar"/>
              </w:rPr>
              <w:t>填报单位:</w:t>
            </w:r>
            <w:r>
              <w:rPr>
                <w:rFonts w:hint="eastAsia" w:asciiTheme="minorEastAsia" w:hAnsiTheme="minorEastAsia" w:cstheme="minorEastAsia"/>
                <w:color w:val="000000"/>
                <w:kern w:val="0"/>
                <w:sz w:val="18"/>
                <w:szCs w:val="18"/>
                <w:lang w:eastAsia="zh-CN" w:bidi="ar"/>
              </w:rPr>
              <w:t>201浮梁县农业农村局</w:t>
            </w:r>
          </w:p>
        </w:tc>
        <w:tc>
          <w:tcPr>
            <w:tcW w:w="914" w:type="pct"/>
            <w:tcBorders>
              <w:top w:val="nil"/>
              <w:left w:val="nil"/>
              <w:bottom w:val="nil"/>
              <w:right w:val="nil"/>
            </w:tcBorders>
            <w:shd w:val="clear" w:color="auto" w:fill="auto"/>
            <w:noWrap/>
            <w:vAlign w:val="bottom"/>
          </w:tcPr>
          <w:p>
            <w:pPr>
              <w:widowControl/>
              <w:snapToGrid w:val="0"/>
              <w:jc w:val="center"/>
              <w:textAlignment w:val="center"/>
              <w:rPr>
                <w:rFonts w:hint="eastAsia" w:asciiTheme="minorEastAsia" w:hAnsiTheme="minorEastAsia" w:cstheme="minorEastAsia"/>
                <w:color w:val="000000"/>
                <w:kern w:val="0"/>
                <w:sz w:val="13"/>
                <w:szCs w:val="13"/>
                <w:lang w:bidi="ar"/>
              </w:rPr>
            </w:pPr>
          </w:p>
        </w:tc>
        <w:tc>
          <w:tcPr>
            <w:tcW w:w="645" w:type="pct"/>
            <w:tcBorders>
              <w:top w:val="nil"/>
              <w:left w:val="nil"/>
              <w:bottom w:val="nil"/>
              <w:right w:val="nil"/>
            </w:tcBorders>
            <w:shd w:val="clear" w:color="auto" w:fill="auto"/>
            <w:noWrap/>
            <w:vAlign w:val="bottom"/>
          </w:tcPr>
          <w:p>
            <w:pPr>
              <w:widowControl/>
              <w:snapToGrid w:val="0"/>
              <w:jc w:val="center"/>
              <w:textAlignment w:val="center"/>
              <w:rPr>
                <w:rFonts w:hint="eastAsia" w:asciiTheme="minorEastAsia" w:hAnsiTheme="minorEastAsia" w:cstheme="minorEastAsia"/>
                <w:color w:val="000000"/>
                <w:kern w:val="0"/>
                <w:sz w:val="13"/>
                <w:szCs w:val="13"/>
                <w:lang w:bidi="ar"/>
              </w:rPr>
            </w:pPr>
          </w:p>
        </w:tc>
        <w:tc>
          <w:tcPr>
            <w:tcW w:w="705" w:type="pct"/>
            <w:tcBorders>
              <w:top w:val="nil"/>
              <w:left w:val="nil"/>
              <w:bottom w:val="nil"/>
              <w:right w:val="nil"/>
            </w:tcBorders>
            <w:shd w:val="clear" w:color="auto" w:fill="auto"/>
            <w:noWrap/>
            <w:vAlign w:val="bottom"/>
          </w:tcPr>
          <w:p>
            <w:pPr>
              <w:widowControl/>
              <w:snapToGrid w:val="0"/>
              <w:jc w:val="right"/>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8"/>
                <w:szCs w:val="18"/>
                <w:lang w:bidi="ar"/>
              </w:rPr>
              <w:t>单位：万元</w:t>
            </w:r>
          </w:p>
        </w:tc>
      </w:tr>
      <w:tr>
        <w:tblPrEx>
          <w:tblCellMar>
            <w:top w:w="0" w:type="dxa"/>
            <w:left w:w="108" w:type="dxa"/>
            <w:bottom w:w="0" w:type="dxa"/>
            <w:right w:w="108" w:type="dxa"/>
          </w:tblCellMar>
        </w:tblPrEx>
        <w:trPr>
          <w:cantSplit/>
          <w:trHeight w:val="283" w:hRule="atLeast"/>
        </w:trPr>
        <w:tc>
          <w:tcPr>
            <w:tcW w:w="27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支出功能分类科目</w:t>
            </w:r>
          </w:p>
        </w:tc>
        <w:tc>
          <w:tcPr>
            <w:tcW w:w="914" w:type="pct"/>
            <w:vMerge w:val="restart"/>
            <w:tcBorders>
              <w:top w:val="single" w:color="000000" w:sz="4" w:space="0"/>
              <w:left w:val="single" w:color="000000" w:sz="4" w:space="0"/>
              <w:bottom w:val="single" w:color="000000" w:sz="4" w:space="0"/>
              <w:right w:val="nil"/>
            </w:tcBorders>
            <w:shd w:val="clear" w:color="auto" w:fill="auto"/>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合计</w:t>
            </w:r>
          </w:p>
        </w:tc>
        <w:tc>
          <w:tcPr>
            <w:tcW w:w="645" w:type="pct"/>
            <w:vMerge w:val="restart"/>
            <w:tcBorders>
              <w:top w:val="single" w:color="000000" w:sz="4" w:space="0"/>
              <w:left w:val="single" w:color="000000" w:sz="4" w:space="0"/>
              <w:bottom w:val="single" w:color="000000" w:sz="4" w:space="0"/>
              <w:right w:val="nil"/>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基本支出</w:t>
            </w:r>
          </w:p>
        </w:tc>
        <w:tc>
          <w:tcPr>
            <w:tcW w:w="70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项目支出</w:t>
            </w:r>
          </w:p>
        </w:tc>
      </w:tr>
      <w:tr>
        <w:tblPrEx>
          <w:tblCellMar>
            <w:top w:w="0" w:type="dxa"/>
            <w:left w:w="108" w:type="dxa"/>
            <w:bottom w:w="0" w:type="dxa"/>
            <w:right w:w="108" w:type="dxa"/>
          </w:tblCellMar>
        </w:tblPrEx>
        <w:trPr>
          <w:cantSplit/>
          <w:trHeight w:val="283" w:hRule="atLeast"/>
        </w:trPr>
        <w:tc>
          <w:tcPr>
            <w:tcW w:w="916" w:type="pct"/>
            <w:tcBorders>
              <w:top w:val="nil"/>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科目编码</w:t>
            </w:r>
          </w:p>
        </w:tc>
        <w:tc>
          <w:tcPr>
            <w:tcW w:w="1816" w:type="pct"/>
            <w:tcBorders>
              <w:top w:val="nil"/>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 xml:space="preserve">科目名称 </w:t>
            </w:r>
          </w:p>
        </w:tc>
        <w:tc>
          <w:tcPr>
            <w:tcW w:w="914" w:type="pct"/>
            <w:vMerge w:val="continue"/>
            <w:tcBorders>
              <w:top w:val="single" w:color="000000" w:sz="4" w:space="0"/>
              <w:left w:val="single" w:color="000000" w:sz="4" w:space="0"/>
              <w:bottom w:val="single" w:color="000000" w:sz="4" w:space="0"/>
              <w:right w:val="nil"/>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p>
        </w:tc>
        <w:tc>
          <w:tcPr>
            <w:tcW w:w="645" w:type="pct"/>
            <w:vMerge w:val="continue"/>
            <w:tcBorders>
              <w:top w:val="single" w:color="000000" w:sz="4" w:space="0"/>
              <w:left w:val="single" w:color="000000" w:sz="4" w:space="0"/>
              <w:bottom w:val="single" w:color="000000" w:sz="4" w:space="0"/>
              <w:right w:val="nil"/>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p>
        </w:tc>
        <w:tc>
          <w:tcPr>
            <w:tcW w:w="705" w:type="pct"/>
            <w:vMerge w:val="continue"/>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p>
        </w:tc>
      </w:tr>
      <w:tr>
        <w:tblPrEx>
          <w:tblCellMar>
            <w:top w:w="0" w:type="dxa"/>
            <w:left w:w="108" w:type="dxa"/>
            <w:bottom w:w="0" w:type="dxa"/>
            <w:right w:w="108" w:type="dxa"/>
          </w:tblCellMar>
        </w:tblPrEx>
        <w:trPr>
          <w:cantSplit/>
          <w:trHeight w:val="283" w:hRule="atLeast"/>
        </w:trPr>
        <w:tc>
          <w:tcPr>
            <w:tcW w:w="916" w:type="pct"/>
            <w:tcBorders>
              <w:top w:val="nil"/>
              <w:left w:val="single" w:color="000000" w:sz="4" w:space="0"/>
              <w:bottom w:val="nil"/>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w:t>
            </w:r>
          </w:p>
        </w:tc>
        <w:tc>
          <w:tcPr>
            <w:tcW w:w="1816" w:type="pct"/>
            <w:tcBorders>
              <w:top w:val="nil"/>
              <w:left w:val="nil"/>
              <w:bottom w:val="nil"/>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w:t>
            </w:r>
          </w:p>
        </w:tc>
        <w:tc>
          <w:tcPr>
            <w:tcW w:w="914" w:type="pct"/>
            <w:tcBorders>
              <w:top w:val="nil"/>
              <w:left w:val="nil"/>
              <w:bottom w:val="nil"/>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1</w:t>
            </w:r>
          </w:p>
        </w:tc>
        <w:tc>
          <w:tcPr>
            <w:tcW w:w="645" w:type="pct"/>
            <w:tcBorders>
              <w:top w:val="nil"/>
              <w:left w:val="nil"/>
              <w:bottom w:val="nil"/>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w:t>
            </w:r>
          </w:p>
        </w:tc>
        <w:tc>
          <w:tcPr>
            <w:tcW w:w="705" w:type="pct"/>
            <w:tcBorders>
              <w:top w:val="nil"/>
              <w:left w:val="nil"/>
              <w:bottom w:val="nil"/>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合计</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15,061.57</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1,881.33</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13,180.24</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206</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科学技术支出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20603</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应用研究</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2060302</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社会公益研究</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2.41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2.41</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208</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社会保障和就业支出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241.22</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241.22</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20805</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行政事业单位养老支出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241.22</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241.22</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2080505</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机关事业单位基本养老保险缴费支出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132.81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132.81</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2080506</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机关事业单位职业年金缴费支出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108.41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108.41</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210</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卫生健康支出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59.87</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59.87</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21011</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行政事业单位医疗</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59.87</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59.87</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2101101</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行政单位医疗</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20.67</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20.67</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2101102</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事业单位医疗</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37.53</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37.53</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2101199</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其他行政事业单位医疗支出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1.66</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1.66</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211</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节能环保支出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110.00</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110.00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21104</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自然生态保护</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110.00</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110.00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2110499</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其他自然生态保护支出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110.00</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110.00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212</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城乡社区支出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1,908.37</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1,908.37</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21208</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国有土地使用权出让收入安排的支出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1,908.37</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1,908.37</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2120804</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农村基础设施建设支出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885.11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885.11</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2120814</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农业生产发展支出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489.32</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489.32</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2120899</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其他国有土地使用权出让收入安排的支出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533.93</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533.93</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213</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农林水支出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8,622.49</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1,470.43</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7,152.06</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21301</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农业农村</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8,620.86</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1,470.43</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7,150.43</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2130101</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行政运行</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593.29</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593.29</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2130102</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一般行政管理事务</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22.00</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22.00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2130104</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事业运行</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983.64</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877.14</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106.50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2130106</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科技转化与推广服务</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395.80</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395.80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2130108</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病虫害控制</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51.20</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51.20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2130120</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稳定农民收入补贴</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8.78</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8.78</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2130122</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农业生产发展</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2,081.25</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2,081.25</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2130124</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农村合作经济</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238.33</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238.33</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2130135</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农业生态资源保护</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13.00</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13.00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2130148</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渔业发展</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279.37</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279.37</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2130153</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耕地建设与利用</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1,364.05</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1,364.05</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2130199</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其他农业农村支出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2,590.14</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2,590.14</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21305</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巩固脱贫攻坚成果衔接乡村振兴</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1.63</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1.63</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2130505</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生产发展</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1.63</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1.63</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215</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资源勘探工业信息等支出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0.01</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21502</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制造业</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0.01</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2150299</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其他制造业支出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0.01</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220</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自然资源海洋气象等支出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265.72</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265.72</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22001</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自然资源事务</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265.72</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265.72</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2200199</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其他自然资源事务支出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265.72</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265.72</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221</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住房保障支出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109.81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109.81</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22102</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住房改革支出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109.81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109.81</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2210201</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住房公积金</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109.81</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109.81</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222</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粮油物资储备支出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395.94</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395.94</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22201</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粮油物资事务</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395.94</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395.94</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2220199</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其他粮油物资事务支出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395.94</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395.94</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229</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其他支出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3,345.73</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3,345.73</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22904</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其他政府性基金及对应专项债务收入安排的支出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3,345.73</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3,345.73</w:t>
            </w:r>
          </w:p>
        </w:tc>
      </w:tr>
      <w:tr>
        <w:tblPrEx>
          <w:tblCellMar>
            <w:top w:w="0" w:type="dxa"/>
            <w:left w:w="108" w:type="dxa"/>
            <w:bottom w:w="0" w:type="dxa"/>
            <w:right w:w="108" w:type="dxa"/>
          </w:tblCellMar>
        </w:tblPrEx>
        <w:trPr>
          <w:cantSplit/>
          <w:trHeight w:val="283" w:hRule="atLeast"/>
        </w:trPr>
        <w:tc>
          <w:tcPr>
            <w:tcW w:w="9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2290402</w:t>
            </w:r>
          </w:p>
        </w:tc>
        <w:tc>
          <w:tcPr>
            <w:tcW w:w="1816"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其他地方自行试点项目收益专项债券收入安排的支出</w:t>
            </w:r>
          </w:p>
        </w:tc>
        <w:tc>
          <w:tcPr>
            <w:tcW w:w="914"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3,345.73</w:t>
            </w:r>
          </w:p>
        </w:tc>
        <w:tc>
          <w:tcPr>
            <w:tcW w:w="64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05" w:type="pct"/>
            <w:tcBorders>
              <w:top w:val="single" w:color="000000" w:sz="4" w:space="0"/>
              <w:left w:val="nil"/>
              <w:bottom w:val="single" w:color="000000" w:sz="4" w:space="0"/>
              <w:right w:val="single" w:color="000000" w:sz="4" w:space="0"/>
            </w:tcBorders>
            <w:shd w:val="clear" w:color="auto" w:fill="auto"/>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3,345.73</w:t>
            </w:r>
          </w:p>
        </w:tc>
      </w:tr>
    </w:tbl>
    <w:p>
      <w:pPr>
        <w:widowControl/>
        <w:jc w:val="left"/>
        <w:rPr>
          <w:rStyle w:val="12"/>
          <w:rFonts w:ascii="仿宋" w:hAnsi="仿宋" w:eastAsia="仿宋"/>
          <w:bCs/>
          <w:sz w:val="32"/>
          <w:szCs w:val="32"/>
        </w:rPr>
        <w:sectPr>
          <w:pgSz w:w="11906" w:h="16838"/>
          <w:pgMar w:top="720" w:right="720" w:bottom="720" w:left="720" w:header="851" w:footer="992" w:gutter="0"/>
          <w:cols w:space="720" w:num="1"/>
          <w:docGrid w:type="lines" w:linePitch="312" w:charSpace="0"/>
        </w:sectPr>
      </w:pPr>
    </w:p>
    <w:tbl>
      <w:tblPr>
        <w:tblStyle w:val="6"/>
        <w:tblW w:w="4995" w:type="pct"/>
        <w:tblInd w:w="0" w:type="dxa"/>
        <w:tblLayout w:type="fixed"/>
        <w:tblCellMar>
          <w:top w:w="0" w:type="dxa"/>
          <w:left w:w="108" w:type="dxa"/>
          <w:bottom w:w="0" w:type="dxa"/>
          <w:right w:w="108" w:type="dxa"/>
        </w:tblCellMar>
      </w:tblPr>
      <w:tblGrid>
        <w:gridCol w:w="2066"/>
        <w:gridCol w:w="1404"/>
        <w:gridCol w:w="2023"/>
        <w:gridCol w:w="1232"/>
        <w:gridCol w:w="1306"/>
        <w:gridCol w:w="1285"/>
        <w:gridCol w:w="1355"/>
      </w:tblGrid>
      <w:tr>
        <w:tblPrEx>
          <w:tblCellMar>
            <w:top w:w="0" w:type="dxa"/>
            <w:left w:w="108" w:type="dxa"/>
            <w:bottom w:w="0" w:type="dxa"/>
            <w:right w:w="108" w:type="dxa"/>
          </w:tblCellMar>
        </w:tblPrEx>
        <w:trPr>
          <w:trHeight w:val="585" w:hRule="atLeast"/>
          <w:tblHeader/>
        </w:trPr>
        <w:tc>
          <w:tcPr>
            <w:tcW w:w="5000" w:type="pct"/>
            <w:gridSpan w:val="7"/>
            <w:noWrap/>
            <w:vAlign w:val="center"/>
          </w:tcPr>
          <w:p>
            <w:pPr>
              <w:widowControl/>
              <w:jc w:val="center"/>
              <w:rPr>
                <w:rFonts w:hint="eastAsia" w:ascii="宋体" w:hAnsi="宋体" w:eastAsia="宋体" w:cs="Arial"/>
                <w:b/>
                <w:bCs/>
                <w:color w:val="000000"/>
                <w:kern w:val="0"/>
                <w:sz w:val="40"/>
                <w:szCs w:val="40"/>
              </w:rPr>
            </w:pPr>
            <w:r>
              <w:rPr>
                <w:rFonts w:hint="eastAsia" w:asciiTheme="minorEastAsia" w:hAnsiTheme="minorEastAsia" w:eastAsiaTheme="minorEastAsia" w:cstheme="minorEastAsia"/>
                <w:b/>
                <w:bCs/>
                <w:color w:val="000000"/>
                <w:kern w:val="0"/>
                <w:sz w:val="24"/>
                <w:szCs w:val="24"/>
                <w:lang w:bidi="ar"/>
              </w:rPr>
              <w:br w:type="page"/>
            </w:r>
            <w:r>
              <w:rPr>
                <w:rFonts w:hint="eastAsia" w:asciiTheme="minorEastAsia" w:hAnsiTheme="minorEastAsia" w:eastAsiaTheme="minorEastAsia" w:cstheme="minorEastAsia"/>
                <w:b/>
                <w:bCs/>
                <w:color w:val="000000"/>
                <w:kern w:val="0"/>
                <w:sz w:val="24"/>
                <w:szCs w:val="24"/>
                <w:lang w:bidi="ar"/>
              </w:rPr>
              <w:t>财政拨款收支总表</w:t>
            </w:r>
          </w:p>
        </w:tc>
      </w:tr>
      <w:tr>
        <w:tblPrEx>
          <w:tblCellMar>
            <w:top w:w="0" w:type="dxa"/>
            <w:left w:w="108" w:type="dxa"/>
            <w:bottom w:w="0" w:type="dxa"/>
            <w:right w:w="108" w:type="dxa"/>
          </w:tblCellMar>
        </w:tblPrEx>
        <w:trPr>
          <w:cantSplit/>
          <w:trHeight w:val="346" w:hRule="atLeast"/>
          <w:tblHeader/>
        </w:trPr>
        <w:tc>
          <w:tcPr>
            <w:tcW w:w="2574" w:type="pct"/>
            <w:gridSpan w:val="3"/>
            <w:noWrap/>
            <w:vAlign w:val="center"/>
          </w:tcPr>
          <w:p>
            <w:pPr>
              <w:widowControl/>
              <w:snapToGrid w:val="0"/>
              <w:jc w:val="left"/>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21"/>
                <w:szCs w:val="21"/>
                <w:lang w:bidi="ar"/>
              </w:rPr>
              <w:t>填报单位:201浮梁县农业农村局</w:t>
            </w:r>
          </w:p>
        </w:tc>
        <w:tc>
          <w:tcPr>
            <w:tcW w:w="577" w:type="pct"/>
            <w:noWrap/>
            <w:vAlign w:val="bottom"/>
          </w:tcPr>
          <w:p>
            <w:pPr>
              <w:widowControl/>
              <w:snapToGrid w:val="0"/>
              <w:jc w:val="center"/>
              <w:textAlignment w:val="center"/>
              <w:rPr>
                <w:rFonts w:hint="eastAsia" w:asciiTheme="minorEastAsia" w:hAnsiTheme="minorEastAsia" w:cstheme="minorEastAsia"/>
                <w:color w:val="000000"/>
                <w:kern w:val="0"/>
                <w:sz w:val="13"/>
                <w:szCs w:val="13"/>
                <w:lang w:bidi="ar"/>
              </w:rPr>
            </w:pPr>
          </w:p>
        </w:tc>
        <w:tc>
          <w:tcPr>
            <w:tcW w:w="612" w:type="pct"/>
            <w:noWrap/>
            <w:vAlign w:val="bottom"/>
          </w:tcPr>
          <w:p>
            <w:pPr>
              <w:widowControl/>
              <w:snapToGrid w:val="0"/>
              <w:jc w:val="center"/>
              <w:textAlignment w:val="center"/>
              <w:rPr>
                <w:rFonts w:hint="eastAsia" w:asciiTheme="minorEastAsia" w:hAnsiTheme="minorEastAsia" w:cstheme="minorEastAsia"/>
                <w:color w:val="000000"/>
                <w:kern w:val="0"/>
                <w:sz w:val="13"/>
                <w:szCs w:val="13"/>
                <w:lang w:bidi="ar"/>
              </w:rPr>
            </w:pPr>
          </w:p>
        </w:tc>
        <w:tc>
          <w:tcPr>
            <w:tcW w:w="1235" w:type="pct"/>
            <w:gridSpan w:val="2"/>
            <w:noWrap/>
            <w:vAlign w:val="center"/>
          </w:tcPr>
          <w:p>
            <w:pPr>
              <w:widowControl/>
              <w:snapToGrid w:val="0"/>
              <w:jc w:val="right"/>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21"/>
                <w:szCs w:val="21"/>
                <w:lang w:bidi="ar"/>
              </w:rPr>
              <w:t>单位：万元</w:t>
            </w:r>
          </w:p>
        </w:tc>
      </w:tr>
      <w:tr>
        <w:tblPrEx>
          <w:tblCellMar>
            <w:top w:w="0" w:type="dxa"/>
            <w:left w:w="108" w:type="dxa"/>
            <w:bottom w:w="0" w:type="dxa"/>
            <w:right w:w="108" w:type="dxa"/>
          </w:tblCellMar>
        </w:tblPrEx>
        <w:trPr>
          <w:cantSplit/>
          <w:trHeight w:val="283" w:hRule="atLeast"/>
          <w:tblHeader/>
        </w:trPr>
        <w:tc>
          <w:tcPr>
            <w:tcW w:w="1626" w:type="pct"/>
            <w:gridSpan w:val="2"/>
            <w:tcBorders>
              <w:top w:val="single" w:color="000000" w:sz="4" w:space="0"/>
              <w:left w:val="single" w:color="000000" w:sz="4" w:space="0"/>
              <w:bottom w:val="single" w:color="000000" w:sz="4" w:space="0"/>
              <w:right w:val="nil"/>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收      入</w:t>
            </w:r>
          </w:p>
        </w:tc>
        <w:tc>
          <w:tcPr>
            <w:tcW w:w="3373" w:type="pct"/>
            <w:gridSpan w:val="5"/>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支</w:t>
            </w:r>
            <w:r>
              <w:rPr>
                <w:rFonts w:hint="eastAsia" w:asciiTheme="minorEastAsia" w:hAnsiTheme="minorEastAsia" w:cstheme="minorEastAsia"/>
                <w:color w:val="000000"/>
                <w:kern w:val="0"/>
                <w:sz w:val="21"/>
                <w:szCs w:val="21"/>
                <w:lang w:val="en-US" w:eastAsia="zh-CN" w:bidi="ar"/>
              </w:rPr>
              <w:t xml:space="preserve">      </w:t>
            </w:r>
            <w:r>
              <w:rPr>
                <w:rFonts w:hint="eastAsia" w:asciiTheme="minorEastAsia" w:hAnsiTheme="minorEastAsia" w:eastAsiaTheme="minorEastAsia" w:cstheme="minorEastAsia"/>
                <w:color w:val="000000"/>
                <w:kern w:val="0"/>
                <w:sz w:val="21"/>
                <w:szCs w:val="21"/>
                <w:lang w:bidi="ar"/>
              </w:rPr>
              <w:t xml:space="preserve">出 </w:t>
            </w:r>
          </w:p>
        </w:tc>
      </w:tr>
      <w:tr>
        <w:tblPrEx>
          <w:tblCellMar>
            <w:top w:w="0" w:type="dxa"/>
            <w:left w:w="108" w:type="dxa"/>
            <w:bottom w:w="0" w:type="dxa"/>
            <w:right w:w="108" w:type="dxa"/>
          </w:tblCellMar>
        </w:tblPrEx>
        <w:trPr>
          <w:cantSplit/>
          <w:trHeight w:val="283" w:hRule="atLeast"/>
          <w:tblHeader/>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项目</w:t>
            </w:r>
          </w:p>
        </w:tc>
        <w:tc>
          <w:tcPr>
            <w:tcW w:w="657" w:type="pct"/>
            <w:tcBorders>
              <w:top w:val="nil"/>
              <w:left w:val="nil"/>
              <w:bottom w:val="nil"/>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预算数</w:t>
            </w: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项目(按功能科目)</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合计</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一般公共预算支出</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政府性基金预算支出</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国有资本经营预算支出</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一、</w:t>
            </w:r>
            <w:r>
              <w:rPr>
                <w:rFonts w:hint="eastAsia" w:asciiTheme="minorEastAsia" w:hAnsiTheme="minorEastAsia" w:cstheme="minorEastAsia"/>
                <w:color w:val="000000"/>
                <w:kern w:val="0"/>
                <w:sz w:val="21"/>
                <w:szCs w:val="21"/>
                <w:lang w:val="en-US" w:eastAsia="zh-CN" w:bidi="ar"/>
              </w:rPr>
              <w:t>本年</w:t>
            </w:r>
            <w:r>
              <w:rPr>
                <w:rFonts w:hint="eastAsia" w:asciiTheme="minorEastAsia" w:hAnsiTheme="minorEastAsia" w:cstheme="minorEastAsia"/>
                <w:color w:val="000000"/>
                <w:kern w:val="0"/>
                <w:sz w:val="21"/>
                <w:szCs w:val="21"/>
                <w:lang w:bidi="ar"/>
              </w:rPr>
              <w:t>收入</w:t>
            </w:r>
          </w:p>
        </w:tc>
        <w:tc>
          <w:tcPr>
            <w:tcW w:w="657"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3,296.48</w:t>
            </w: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科学技术支出</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rPr>
                <w:rFonts w:hint="eastAsia" w:asciiTheme="minorEastAsia" w:hAnsiTheme="minorEastAsia" w:cstheme="minorEastAsia"/>
                <w:color w:val="000000"/>
                <w:kern w:val="0"/>
                <w:sz w:val="21"/>
                <w:szCs w:val="21"/>
                <w:lang w:val="en-US" w:eastAsia="zh-CN" w:bidi="ar"/>
              </w:rPr>
              <w:t>2.41</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2.41</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0.00</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0.00</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 xml:space="preserve">  一般公共预算拨款收入</w:t>
            </w:r>
          </w:p>
        </w:tc>
        <w:tc>
          <w:tcPr>
            <w:tcW w:w="657" w:type="pct"/>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2,458.95</w:t>
            </w:r>
          </w:p>
        </w:tc>
        <w:tc>
          <w:tcPr>
            <w:tcW w:w="94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t>社会保障和就业支出</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241.22</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241.22</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 xml:space="preserve">  政府性基金预算拨款收入</w:t>
            </w:r>
          </w:p>
        </w:tc>
        <w:tc>
          <w:tcPr>
            <w:tcW w:w="657"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837.53</w:t>
            </w: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t>卫生健康支出</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59.87</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59.87</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 xml:space="preserve">  国有资本经营预算收入</w:t>
            </w: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0.00　</w:t>
            </w: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t>节能环保支出</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110.00</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110.00</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城乡社区支出</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1,908.37</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1,908.37</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农林水支出</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6,212.49</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6,212.49</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资源勘探工业信息等支出</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0.01</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0.01</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自然资源海洋气象等支出</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265.72</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265.72</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住房保障支出</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109.81</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109.81</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粮油物资储备支出</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395.94</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395.94</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其他支出</w:t>
            </w: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3,345.73</w:t>
            </w: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3,345.73</w:t>
            </w: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t>0.00</w:t>
            </w: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　</w:t>
            </w:r>
          </w:p>
        </w:tc>
        <w:tc>
          <w:tcPr>
            <w:tcW w:w="657" w:type="pct"/>
            <w:tcBorders>
              <w:top w:val="single" w:color="000000" w:sz="4" w:space="0"/>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　</w:t>
            </w: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　</w:t>
            </w: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　</w:t>
            </w: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657"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94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000000" w:sz="4" w:space="0"/>
              <w:right w:val="single" w:color="000000" w:sz="4" w:space="0"/>
            </w:tcBorders>
            <w:noWrap/>
            <w:vAlign w:val="center"/>
          </w:tcPr>
          <w:p>
            <w:pPr>
              <w:widowControl/>
              <w:snapToGrid w:val="0"/>
              <w:jc w:val="left"/>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二、上年结转</w:t>
            </w:r>
          </w:p>
        </w:tc>
        <w:tc>
          <w:tcPr>
            <w:tcW w:w="657" w:type="pct"/>
            <w:tcBorders>
              <w:top w:val="nil"/>
              <w:left w:val="nil"/>
              <w:bottom w:val="single" w:color="auto"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9,355.09　</w:t>
            </w:r>
          </w:p>
        </w:tc>
        <w:tc>
          <w:tcPr>
            <w:tcW w:w="948" w:type="pct"/>
            <w:tcBorders>
              <w:top w:val="nil"/>
              <w:left w:val="nil"/>
              <w:bottom w:val="single" w:color="auto"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eastAsia="zh-CN" w:bidi="ar"/>
              </w:rPr>
            </w:pPr>
          </w:p>
        </w:tc>
        <w:tc>
          <w:tcPr>
            <w:tcW w:w="57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nil"/>
              <w:left w:val="single" w:color="000000" w:sz="4" w:space="0"/>
              <w:bottom w:val="single" w:color="auto" w:sz="4" w:space="0"/>
              <w:right w:val="single" w:color="auto" w:sz="4" w:space="0"/>
            </w:tcBorders>
            <w:noWrap/>
            <w:vAlign w:val="center"/>
          </w:tcPr>
          <w:p>
            <w:pPr>
              <w:widowControl/>
              <w:snapToGrid w:val="0"/>
              <w:ind w:firstLine="210" w:firstLineChars="100"/>
              <w:jc w:val="left"/>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一般公共预算拨款结转</w:t>
            </w:r>
          </w:p>
        </w:tc>
        <w:tc>
          <w:tcPr>
            <w:tcW w:w="657" w:type="pct"/>
            <w:tcBorders>
              <w:top w:val="single" w:color="auto" w:sz="4" w:space="0"/>
              <w:left w:val="single" w:color="auto" w:sz="4" w:space="0"/>
              <w:bottom w:val="single" w:color="auto" w:sz="4" w:space="0"/>
              <w:right w:val="single" w:color="auto" w:sz="4" w:space="0"/>
            </w:tcBorders>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4,938.53　</w:t>
            </w:r>
          </w:p>
        </w:tc>
        <w:tc>
          <w:tcPr>
            <w:tcW w:w="948"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　</w:t>
            </w:r>
          </w:p>
        </w:tc>
        <w:tc>
          <w:tcPr>
            <w:tcW w:w="577" w:type="pct"/>
            <w:tcBorders>
              <w:top w:val="nil"/>
              <w:left w:val="single" w:color="auto" w:sz="4" w:space="0"/>
              <w:bottom w:val="single" w:color="auto"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nil"/>
              <w:left w:val="nil"/>
              <w:bottom w:val="single" w:color="auto"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nil"/>
              <w:left w:val="nil"/>
              <w:bottom w:val="single" w:color="auto"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nil"/>
              <w:left w:val="nil"/>
              <w:bottom w:val="single" w:color="auto"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single" w:color="auto" w:sz="4" w:space="0"/>
              <w:left w:val="single" w:color="auto" w:sz="4" w:space="0"/>
              <w:bottom w:val="single" w:color="auto" w:sz="4" w:space="0"/>
              <w:right w:val="single" w:color="auto" w:sz="4" w:space="0"/>
            </w:tcBorders>
            <w:noWrap/>
            <w:vAlign w:val="center"/>
          </w:tcPr>
          <w:p>
            <w:pPr>
              <w:widowControl/>
              <w:snapToGrid w:val="0"/>
              <w:jc w:val="left"/>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 xml:space="preserve">  政府性基金预算拨款结转</w:t>
            </w:r>
          </w:p>
        </w:tc>
        <w:tc>
          <w:tcPr>
            <w:tcW w:w="657"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4,416.57</w:t>
            </w:r>
          </w:p>
        </w:tc>
        <w:tc>
          <w:tcPr>
            <w:tcW w:w="948"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　</w:t>
            </w:r>
          </w:p>
        </w:tc>
        <w:tc>
          <w:tcPr>
            <w:tcW w:w="577"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12"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02"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p>
        </w:tc>
        <w:tc>
          <w:tcPr>
            <w:tcW w:w="632"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default" w:asciiTheme="minorEastAsia" w:hAnsiTheme="minorEastAsia" w:cstheme="minorEastAsia"/>
                <w:color w:val="000000"/>
                <w:kern w:val="0"/>
                <w:sz w:val="21"/>
                <w:szCs w:val="21"/>
                <w:lang w:val="en-US" w:eastAsia="zh-CN" w:bidi="ar"/>
              </w:rPr>
            </w:pPr>
          </w:p>
        </w:tc>
      </w:tr>
      <w:tr>
        <w:tblPrEx>
          <w:tblCellMar>
            <w:top w:w="0" w:type="dxa"/>
            <w:left w:w="108" w:type="dxa"/>
            <w:bottom w:w="0" w:type="dxa"/>
            <w:right w:w="108" w:type="dxa"/>
          </w:tblCellMar>
        </w:tblPrEx>
        <w:trPr>
          <w:cantSplit/>
          <w:trHeight w:val="283" w:hRule="atLeast"/>
        </w:trPr>
        <w:tc>
          <w:tcPr>
            <w:tcW w:w="968"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收入总计</w:t>
            </w:r>
          </w:p>
        </w:tc>
        <w:tc>
          <w:tcPr>
            <w:tcW w:w="657"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12,651.57</w:t>
            </w:r>
          </w:p>
        </w:tc>
        <w:tc>
          <w:tcPr>
            <w:tcW w:w="948"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bidi="ar"/>
              </w:rPr>
            </w:pPr>
            <w:r>
              <w:rPr>
                <w:rFonts w:hint="eastAsia" w:asciiTheme="minorEastAsia" w:hAnsiTheme="minorEastAsia" w:cstheme="minorEastAsia"/>
                <w:color w:val="000000"/>
                <w:kern w:val="0"/>
                <w:sz w:val="21"/>
                <w:szCs w:val="21"/>
                <w:lang w:bidi="ar"/>
              </w:rPr>
              <w:t>支出总计</w:t>
            </w:r>
          </w:p>
        </w:tc>
        <w:tc>
          <w:tcPr>
            <w:tcW w:w="577"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rPr>
                <w:rFonts w:hint="eastAsia" w:asciiTheme="minorEastAsia" w:hAnsiTheme="minorEastAsia" w:cstheme="minorEastAsia"/>
                <w:color w:val="000000"/>
                <w:kern w:val="0"/>
                <w:sz w:val="21"/>
                <w:szCs w:val="21"/>
                <w:lang w:val="en-US" w:eastAsia="zh-CN" w:bidi="ar"/>
              </w:rPr>
              <w:t>12,651.57</w:t>
            </w:r>
          </w:p>
        </w:tc>
        <w:tc>
          <w:tcPr>
            <w:tcW w:w="612"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rPr>
                <w:rFonts w:hint="eastAsia" w:asciiTheme="minorEastAsia" w:hAnsiTheme="minorEastAsia" w:cstheme="minorEastAsia"/>
                <w:color w:val="000000"/>
                <w:kern w:val="0"/>
                <w:sz w:val="21"/>
                <w:szCs w:val="21"/>
                <w:lang w:val="en-US" w:eastAsia="zh-CN" w:bidi="ar"/>
              </w:rPr>
              <w:t>7,397.48</w:t>
            </w:r>
          </w:p>
        </w:tc>
        <w:tc>
          <w:tcPr>
            <w:tcW w:w="602"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rPr>
                <w:rFonts w:hint="eastAsia" w:asciiTheme="minorEastAsia" w:hAnsiTheme="minorEastAsia" w:cstheme="minorEastAsia"/>
                <w:color w:val="000000"/>
                <w:kern w:val="0"/>
                <w:sz w:val="21"/>
                <w:szCs w:val="21"/>
                <w:lang w:val="en-US" w:eastAsia="zh-CN" w:bidi="ar"/>
              </w:rPr>
              <w:t>5,254.10</w:t>
            </w:r>
          </w:p>
        </w:tc>
        <w:tc>
          <w:tcPr>
            <w:tcW w:w="632" w:type="pct"/>
            <w:tcBorders>
              <w:top w:val="single" w:color="auto" w:sz="4" w:space="0"/>
              <w:left w:val="single" w:color="auto" w:sz="4" w:space="0"/>
              <w:bottom w:val="single" w:color="auto" w:sz="4" w:space="0"/>
              <w:right w:val="single" w:color="auto" w:sz="4" w:space="0"/>
            </w:tcBorders>
            <w:noWrap/>
            <w:vAlign w:val="center"/>
          </w:tcPr>
          <w:p>
            <w:pPr>
              <w:widowControl/>
              <w:snapToGrid w:val="0"/>
              <w:jc w:val="center"/>
              <w:textAlignment w:val="center"/>
              <w:rPr>
                <w:rFonts w:hint="eastAsia" w:asciiTheme="minorEastAsia" w:hAnsiTheme="minorEastAsia" w:cstheme="minorEastAsia"/>
                <w:color w:val="000000"/>
                <w:kern w:val="0"/>
                <w:sz w:val="21"/>
                <w:szCs w:val="21"/>
                <w:lang w:val="en-US" w:eastAsia="zh-CN" w:bidi="ar"/>
              </w:rPr>
            </w:pPr>
            <w:r>
              <w:rPr>
                <w:rFonts w:hint="eastAsia" w:asciiTheme="minorEastAsia" w:hAnsiTheme="minorEastAsia" w:cstheme="minorEastAsia"/>
                <w:color w:val="000000"/>
                <w:kern w:val="0"/>
                <w:sz w:val="21"/>
                <w:szCs w:val="21"/>
                <w:lang w:val="en-US" w:eastAsia="zh-CN" w:bidi="ar"/>
              </w:rPr>
              <w:t>0.00</w:t>
            </w:r>
          </w:p>
        </w:tc>
      </w:tr>
    </w:tbl>
    <w:p>
      <w:pPr>
        <w:widowControl/>
        <w:jc w:val="left"/>
        <w:rPr>
          <w:rStyle w:val="12"/>
          <w:rFonts w:ascii="仿宋" w:hAnsi="仿宋" w:eastAsia="仿宋"/>
          <w:bCs/>
          <w:sz w:val="32"/>
          <w:szCs w:val="32"/>
        </w:rPr>
        <w:sectPr>
          <w:pgSz w:w="11906" w:h="16838"/>
          <w:pgMar w:top="720" w:right="720" w:bottom="720" w:left="720" w:header="851" w:footer="992" w:gutter="0"/>
          <w:cols w:space="720" w:num="1"/>
          <w:docGrid w:type="lines" w:linePitch="312" w:charSpace="0"/>
        </w:sectPr>
      </w:pPr>
    </w:p>
    <w:tbl>
      <w:tblPr>
        <w:tblStyle w:val="6"/>
        <w:tblW w:w="5000" w:type="pct"/>
        <w:tblInd w:w="0" w:type="dxa"/>
        <w:tblLayout w:type="fixed"/>
        <w:tblCellMar>
          <w:top w:w="0" w:type="dxa"/>
          <w:left w:w="108" w:type="dxa"/>
          <w:bottom w:w="0" w:type="dxa"/>
          <w:right w:w="108" w:type="dxa"/>
        </w:tblCellMar>
      </w:tblPr>
      <w:tblGrid>
        <w:gridCol w:w="1823"/>
        <w:gridCol w:w="3375"/>
        <w:gridCol w:w="2256"/>
        <w:gridCol w:w="1462"/>
        <w:gridCol w:w="1767"/>
      </w:tblGrid>
      <w:tr>
        <w:tblPrEx>
          <w:tblCellMar>
            <w:top w:w="0" w:type="dxa"/>
            <w:left w:w="108" w:type="dxa"/>
            <w:bottom w:w="0" w:type="dxa"/>
            <w:right w:w="108" w:type="dxa"/>
          </w:tblCellMar>
        </w:tblPrEx>
        <w:trPr>
          <w:trHeight w:val="585" w:hRule="atLeast"/>
          <w:tblHeader/>
        </w:trPr>
        <w:tc>
          <w:tcPr>
            <w:tcW w:w="5000" w:type="pct"/>
            <w:gridSpan w:val="5"/>
            <w:noWrap/>
            <w:vAlign w:val="center"/>
          </w:tcPr>
          <w:p>
            <w:pPr>
              <w:widowControl/>
              <w:jc w:val="center"/>
              <w:rPr>
                <w:rFonts w:hint="eastAsia" w:ascii="宋体" w:hAnsi="宋体" w:eastAsia="宋体" w:cs="Arial"/>
                <w:b/>
                <w:bCs/>
                <w:color w:val="000000"/>
                <w:kern w:val="0"/>
                <w:sz w:val="44"/>
                <w:szCs w:val="44"/>
              </w:rPr>
            </w:pPr>
            <w:r>
              <w:rPr>
                <w:rFonts w:hint="eastAsia" w:asciiTheme="minorEastAsia" w:hAnsiTheme="minorEastAsia" w:eastAsiaTheme="minorEastAsia" w:cstheme="minorEastAsia"/>
                <w:b/>
                <w:bCs/>
                <w:color w:val="000000"/>
                <w:kern w:val="0"/>
                <w:sz w:val="24"/>
                <w:szCs w:val="24"/>
                <w:lang w:bidi="ar"/>
              </w:rPr>
              <w:br w:type="page"/>
            </w:r>
            <w:r>
              <w:rPr>
                <w:rFonts w:hint="eastAsia" w:asciiTheme="minorEastAsia" w:hAnsiTheme="minorEastAsia" w:eastAsiaTheme="minorEastAsia" w:cstheme="minorEastAsia"/>
                <w:b/>
                <w:bCs/>
                <w:color w:val="000000"/>
                <w:kern w:val="0"/>
                <w:sz w:val="24"/>
                <w:szCs w:val="24"/>
                <w:lang w:bidi="ar"/>
              </w:rPr>
              <w:t>一般公共预算支出表</w:t>
            </w:r>
          </w:p>
        </w:tc>
      </w:tr>
      <w:tr>
        <w:tblPrEx>
          <w:tblCellMar>
            <w:top w:w="0" w:type="dxa"/>
            <w:left w:w="108" w:type="dxa"/>
            <w:bottom w:w="0" w:type="dxa"/>
            <w:right w:w="108" w:type="dxa"/>
          </w:tblCellMar>
        </w:tblPrEx>
        <w:trPr>
          <w:trHeight w:val="420" w:hRule="atLeast"/>
          <w:tblHeader/>
        </w:trPr>
        <w:tc>
          <w:tcPr>
            <w:tcW w:w="2433" w:type="pct"/>
            <w:gridSpan w:val="2"/>
            <w:noWrap/>
            <w:vAlign w:val="center"/>
          </w:tcPr>
          <w:p>
            <w:pPr>
              <w:widowControl/>
              <w:snapToGrid w:val="0"/>
              <w:jc w:val="left"/>
              <w:textAlignment w:val="center"/>
              <w:rPr>
                <w:rFonts w:hint="eastAsia" w:asciiTheme="minorEastAsia" w:hAnsiTheme="minorEastAsia" w:cstheme="minorEastAsia"/>
                <w:color w:val="000000"/>
                <w:kern w:val="0"/>
                <w:sz w:val="13"/>
                <w:szCs w:val="13"/>
                <w:lang w:eastAsia="zh-CN" w:bidi="ar"/>
              </w:rPr>
            </w:pPr>
            <w:r>
              <w:rPr>
                <w:rFonts w:hint="eastAsia" w:asciiTheme="minorEastAsia" w:hAnsiTheme="minorEastAsia" w:cstheme="minorEastAsia"/>
                <w:color w:val="000000"/>
                <w:kern w:val="0"/>
                <w:sz w:val="18"/>
                <w:szCs w:val="18"/>
                <w:lang w:bidi="ar"/>
              </w:rPr>
              <w:t>填报单位:201浮梁县农业农村局</w:t>
            </w:r>
          </w:p>
        </w:tc>
        <w:tc>
          <w:tcPr>
            <w:tcW w:w="1056" w:type="pct"/>
            <w:noWrap/>
            <w:vAlign w:val="bottom"/>
          </w:tcPr>
          <w:p>
            <w:pPr>
              <w:widowControl/>
              <w:snapToGrid w:val="0"/>
              <w:jc w:val="center"/>
              <w:textAlignment w:val="center"/>
              <w:rPr>
                <w:rFonts w:hint="eastAsia" w:asciiTheme="minorEastAsia" w:hAnsiTheme="minorEastAsia" w:cstheme="minorEastAsia"/>
                <w:color w:val="000000"/>
                <w:kern w:val="0"/>
                <w:sz w:val="13"/>
                <w:szCs w:val="13"/>
                <w:lang w:bidi="ar"/>
              </w:rPr>
            </w:pPr>
          </w:p>
        </w:tc>
        <w:tc>
          <w:tcPr>
            <w:tcW w:w="684" w:type="pct"/>
            <w:noWrap/>
            <w:vAlign w:val="bottom"/>
          </w:tcPr>
          <w:p>
            <w:pPr>
              <w:widowControl/>
              <w:snapToGrid w:val="0"/>
              <w:jc w:val="center"/>
              <w:textAlignment w:val="center"/>
              <w:rPr>
                <w:rFonts w:hint="eastAsia" w:asciiTheme="minorEastAsia" w:hAnsiTheme="minorEastAsia" w:cstheme="minorEastAsia"/>
                <w:color w:val="000000"/>
                <w:kern w:val="0"/>
                <w:sz w:val="13"/>
                <w:szCs w:val="13"/>
                <w:lang w:bidi="ar"/>
              </w:rPr>
            </w:pPr>
          </w:p>
        </w:tc>
        <w:tc>
          <w:tcPr>
            <w:tcW w:w="825" w:type="pct"/>
            <w:noWrap/>
            <w:vAlign w:val="center"/>
          </w:tcPr>
          <w:p>
            <w:pPr>
              <w:widowControl/>
              <w:snapToGrid w:val="0"/>
              <w:jc w:val="right"/>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8"/>
                <w:szCs w:val="18"/>
                <w:lang w:bidi="ar"/>
              </w:rPr>
              <w:t>单位：万元</w:t>
            </w:r>
          </w:p>
        </w:tc>
      </w:tr>
      <w:tr>
        <w:tblPrEx>
          <w:tblCellMar>
            <w:top w:w="0" w:type="dxa"/>
            <w:left w:w="108" w:type="dxa"/>
            <w:bottom w:w="0" w:type="dxa"/>
            <w:right w:w="108" w:type="dxa"/>
          </w:tblCellMar>
        </w:tblPrEx>
        <w:trPr>
          <w:cantSplit/>
          <w:trHeight w:val="283" w:hRule="atLeast"/>
          <w:tblHeader/>
        </w:trPr>
        <w:tc>
          <w:tcPr>
            <w:tcW w:w="2433" w:type="pct"/>
            <w:gridSpan w:val="2"/>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支出功能分类科目</w:t>
            </w:r>
          </w:p>
        </w:tc>
        <w:tc>
          <w:tcPr>
            <w:tcW w:w="2566" w:type="pct"/>
            <w:gridSpan w:val="3"/>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eastAsia="zh-CN" w:bidi="ar"/>
              </w:rPr>
              <w:t>2026</w:t>
            </w:r>
            <w:r>
              <w:rPr>
                <w:rFonts w:hint="eastAsia" w:asciiTheme="minorEastAsia" w:hAnsiTheme="minorEastAsia" w:cstheme="minorEastAsia"/>
                <w:color w:val="000000"/>
                <w:kern w:val="0"/>
                <w:sz w:val="18"/>
                <w:szCs w:val="18"/>
                <w:lang w:bidi="ar"/>
              </w:rPr>
              <w:t>年预算数</w:t>
            </w:r>
          </w:p>
        </w:tc>
      </w:tr>
      <w:tr>
        <w:tblPrEx>
          <w:tblCellMar>
            <w:top w:w="0" w:type="dxa"/>
            <w:left w:w="108" w:type="dxa"/>
            <w:bottom w:w="0" w:type="dxa"/>
            <w:right w:w="108" w:type="dxa"/>
          </w:tblCellMar>
        </w:tblPrEx>
        <w:trPr>
          <w:cantSplit/>
          <w:trHeight w:val="283" w:hRule="atLeast"/>
          <w:tblHeader/>
        </w:trPr>
        <w:tc>
          <w:tcPr>
            <w:tcW w:w="853"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科目编码</w:t>
            </w:r>
          </w:p>
        </w:tc>
        <w:tc>
          <w:tcPr>
            <w:tcW w:w="157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 xml:space="preserve">科目名称 </w:t>
            </w:r>
          </w:p>
        </w:tc>
        <w:tc>
          <w:tcPr>
            <w:tcW w:w="1056"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合计</w:t>
            </w:r>
          </w:p>
        </w:tc>
        <w:tc>
          <w:tcPr>
            <w:tcW w:w="684"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基本支出</w:t>
            </w:r>
          </w:p>
        </w:tc>
        <w:tc>
          <w:tcPr>
            <w:tcW w:w="82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项目支出</w:t>
            </w:r>
          </w:p>
        </w:tc>
      </w:tr>
      <w:tr>
        <w:tblPrEx>
          <w:tblCellMar>
            <w:top w:w="0" w:type="dxa"/>
            <w:left w:w="108" w:type="dxa"/>
            <w:bottom w:w="0" w:type="dxa"/>
            <w:right w:w="108" w:type="dxa"/>
          </w:tblCellMar>
        </w:tblPrEx>
        <w:trPr>
          <w:cantSplit/>
          <w:trHeight w:val="283" w:hRule="atLeast"/>
          <w:tblHeader/>
        </w:trPr>
        <w:tc>
          <w:tcPr>
            <w:tcW w:w="853" w:type="pct"/>
            <w:tcBorders>
              <w:top w:val="nil"/>
              <w:left w:val="single" w:color="000000" w:sz="4" w:space="0"/>
              <w:bottom w:val="nil"/>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w:t>
            </w:r>
          </w:p>
        </w:tc>
        <w:tc>
          <w:tcPr>
            <w:tcW w:w="1579" w:type="pct"/>
            <w:tcBorders>
              <w:top w:val="nil"/>
              <w:left w:val="nil"/>
              <w:bottom w:val="nil"/>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w:t>
            </w:r>
          </w:p>
        </w:tc>
        <w:tc>
          <w:tcPr>
            <w:tcW w:w="1056" w:type="pct"/>
            <w:tcBorders>
              <w:top w:val="nil"/>
              <w:left w:val="nil"/>
              <w:bottom w:val="nil"/>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1</w:t>
            </w:r>
          </w:p>
        </w:tc>
        <w:tc>
          <w:tcPr>
            <w:tcW w:w="684" w:type="pct"/>
            <w:tcBorders>
              <w:top w:val="nil"/>
              <w:left w:val="nil"/>
              <w:bottom w:val="nil"/>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w:t>
            </w:r>
          </w:p>
        </w:tc>
        <w:tc>
          <w:tcPr>
            <w:tcW w:w="825" w:type="pct"/>
            <w:tcBorders>
              <w:top w:val="nil"/>
              <w:left w:val="nil"/>
              <w:bottom w:val="nil"/>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合计</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2,458.95</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1,801.33</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657.62</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208</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社会保障和就业支出</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241.22</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241.22</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20805</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行政事业单位养老支出</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241.22</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241.22</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2080505</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机关事业单位基本养老保险缴费支出</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132.81</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132.81</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2080506</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机关事业单位职业年金缴费支出</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108.41</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108.41</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210</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卫生健康支出</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59.87</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59.87</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21011</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行政事业单位医疗</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59.87</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59.87</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2101101</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行政单位医疗</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20.67</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20.67</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2101102</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事业单位医疗</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37.53</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37.53</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2101199</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其他行政事业单位医疗支出</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1.66</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1.66</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213</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农林水支出</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2,048.05</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1,390.43</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657.62</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21301</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农业农村</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2,048.05</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1,390.43</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657.62</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2130101</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行政运行</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593.29</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593.29</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2130102</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一般行政管理事务</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22.00</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22.00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2130104</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事业运行</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873.64</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797.14</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76.50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2130108</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病虫害控制</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51.20</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51.20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2130122</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农业生产发展</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44.50</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44.50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2130135</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农业生态资源保护</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13.00</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13.00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2130153</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耕地建设与利用</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160.28</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160.28</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2130199</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其他农业农村支出</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290.14</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290.14</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221</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住房保障支出</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109.81</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109.81</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22102</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住房改革支出</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109.81</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109.81</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r>
      <w:tr>
        <w:tblPrEx>
          <w:tblCellMar>
            <w:top w:w="0" w:type="dxa"/>
            <w:left w:w="108" w:type="dxa"/>
            <w:bottom w:w="0" w:type="dxa"/>
            <w:right w:w="108" w:type="dxa"/>
          </w:tblCellMar>
        </w:tblPrEx>
        <w:trPr>
          <w:cantSplit/>
          <w:trHeight w:val="283" w:hRule="atLeast"/>
        </w:trPr>
        <w:tc>
          <w:tcPr>
            <w:tcW w:w="85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2210201</w:t>
            </w:r>
          </w:p>
        </w:tc>
        <w:tc>
          <w:tcPr>
            <w:tcW w:w="1579"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住房公积金</w:t>
            </w:r>
          </w:p>
        </w:tc>
        <w:tc>
          <w:tcPr>
            <w:tcW w:w="1056"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109.81</w:t>
            </w:r>
          </w:p>
        </w:tc>
        <w:tc>
          <w:tcPr>
            <w:tcW w:w="684"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109.81</w:t>
            </w:r>
          </w:p>
        </w:tc>
        <w:tc>
          <w:tcPr>
            <w:tcW w:w="825"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r>
    </w:tbl>
    <w:p>
      <w:pPr>
        <w:jc w:val="left"/>
        <w:rPr>
          <w:rStyle w:val="12"/>
          <w:rFonts w:hint="eastAsia" w:ascii="仿宋" w:hAnsi="仿宋" w:eastAsia="仿宋"/>
          <w:bCs/>
          <w:sz w:val="32"/>
          <w:szCs w:val="32"/>
        </w:rPr>
      </w:pPr>
      <w:r>
        <w:rPr>
          <w:rStyle w:val="12"/>
          <w:rFonts w:hint="eastAsia" w:ascii="仿宋" w:hAnsi="仿宋" w:eastAsia="仿宋"/>
          <w:bCs/>
          <w:sz w:val="32"/>
          <w:szCs w:val="32"/>
        </w:rPr>
        <w:br w:type="page"/>
      </w:r>
    </w:p>
    <w:tbl>
      <w:tblPr>
        <w:tblStyle w:val="6"/>
        <w:tblW w:w="5000" w:type="pct"/>
        <w:tblInd w:w="0" w:type="dxa"/>
        <w:tblLayout w:type="fixed"/>
        <w:tblCellMar>
          <w:top w:w="0" w:type="dxa"/>
          <w:left w:w="108" w:type="dxa"/>
          <w:bottom w:w="0" w:type="dxa"/>
          <w:right w:w="108" w:type="dxa"/>
        </w:tblCellMar>
      </w:tblPr>
      <w:tblGrid>
        <w:gridCol w:w="2005"/>
        <w:gridCol w:w="3119"/>
        <w:gridCol w:w="1903"/>
        <w:gridCol w:w="1798"/>
        <w:gridCol w:w="1857"/>
      </w:tblGrid>
      <w:tr>
        <w:trPr>
          <w:trHeight w:val="585" w:hRule="atLeast"/>
        </w:trPr>
        <w:tc>
          <w:tcPr>
            <w:tcW w:w="5000" w:type="pct"/>
            <w:gridSpan w:val="5"/>
            <w:noWrap/>
            <w:vAlign w:val="center"/>
          </w:tcPr>
          <w:p>
            <w:pPr>
              <w:widowControl/>
              <w:jc w:val="center"/>
              <w:rPr>
                <w:rFonts w:hint="eastAsia" w:ascii="宋体" w:hAnsi="宋体" w:eastAsia="宋体" w:cs="Arial"/>
                <w:b/>
                <w:color w:val="000000"/>
                <w:kern w:val="0"/>
                <w:sz w:val="44"/>
                <w:szCs w:val="44"/>
              </w:rPr>
            </w:pPr>
            <w:r>
              <w:rPr>
                <w:rFonts w:hint="eastAsia" w:asciiTheme="minorEastAsia" w:hAnsiTheme="minorEastAsia" w:eastAsiaTheme="minorEastAsia" w:cstheme="minorEastAsia"/>
                <w:b/>
                <w:bCs/>
                <w:color w:val="000000"/>
                <w:kern w:val="0"/>
                <w:sz w:val="24"/>
                <w:szCs w:val="24"/>
                <w:lang w:bidi="ar"/>
              </w:rPr>
              <w:t>一般公共预算基本支出表</w:t>
            </w:r>
          </w:p>
        </w:tc>
      </w:tr>
      <w:tr>
        <w:tblPrEx>
          <w:tblCellMar>
            <w:top w:w="0" w:type="dxa"/>
            <w:left w:w="108" w:type="dxa"/>
            <w:bottom w:w="0" w:type="dxa"/>
            <w:right w:w="108" w:type="dxa"/>
          </w:tblCellMar>
        </w:tblPrEx>
        <w:trPr>
          <w:trHeight w:val="420" w:hRule="atLeast"/>
        </w:trPr>
        <w:tc>
          <w:tcPr>
            <w:tcW w:w="2398" w:type="pct"/>
            <w:gridSpan w:val="2"/>
            <w:noWrap/>
            <w:vAlign w:val="center"/>
          </w:tcPr>
          <w:p>
            <w:pPr>
              <w:widowControl/>
              <w:snapToGrid w:val="0"/>
              <w:jc w:val="left"/>
              <w:textAlignment w:val="center"/>
              <w:rPr>
                <w:rFonts w:hint="eastAsia" w:asciiTheme="minorEastAsia" w:hAnsiTheme="minorEastAsia" w:cstheme="minorEastAsia"/>
                <w:color w:val="000000"/>
                <w:kern w:val="0"/>
                <w:sz w:val="13"/>
                <w:szCs w:val="13"/>
                <w:lang w:eastAsia="zh-CN" w:bidi="ar"/>
              </w:rPr>
            </w:pPr>
            <w:r>
              <w:rPr>
                <w:rFonts w:hint="eastAsia" w:asciiTheme="minorEastAsia" w:hAnsiTheme="minorEastAsia" w:cstheme="minorEastAsia"/>
                <w:color w:val="000000"/>
                <w:kern w:val="0"/>
                <w:sz w:val="18"/>
                <w:szCs w:val="18"/>
                <w:lang w:bidi="ar"/>
              </w:rPr>
              <w:t>填报单位:201浮梁县农业农村局</w:t>
            </w:r>
          </w:p>
        </w:tc>
        <w:tc>
          <w:tcPr>
            <w:tcW w:w="891" w:type="pct"/>
            <w:noWrap/>
            <w:vAlign w:val="bottom"/>
          </w:tcPr>
          <w:p>
            <w:pPr>
              <w:widowControl/>
              <w:snapToGrid w:val="0"/>
              <w:jc w:val="center"/>
              <w:textAlignment w:val="center"/>
              <w:rPr>
                <w:rFonts w:hint="eastAsia" w:asciiTheme="minorEastAsia" w:hAnsiTheme="minorEastAsia" w:cstheme="minorEastAsia"/>
                <w:color w:val="000000"/>
                <w:kern w:val="0"/>
                <w:sz w:val="13"/>
                <w:szCs w:val="13"/>
                <w:lang w:bidi="ar"/>
              </w:rPr>
            </w:pPr>
          </w:p>
        </w:tc>
        <w:tc>
          <w:tcPr>
            <w:tcW w:w="842" w:type="pct"/>
            <w:noWrap/>
            <w:vAlign w:val="bottom"/>
          </w:tcPr>
          <w:p>
            <w:pPr>
              <w:widowControl/>
              <w:snapToGrid w:val="0"/>
              <w:jc w:val="center"/>
              <w:textAlignment w:val="center"/>
              <w:rPr>
                <w:rFonts w:hint="eastAsia" w:asciiTheme="minorEastAsia" w:hAnsiTheme="minorEastAsia" w:cstheme="minorEastAsia"/>
                <w:color w:val="000000"/>
                <w:kern w:val="0"/>
                <w:sz w:val="13"/>
                <w:szCs w:val="13"/>
                <w:lang w:bidi="ar"/>
              </w:rPr>
            </w:pPr>
          </w:p>
        </w:tc>
        <w:tc>
          <w:tcPr>
            <w:tcW w:w="867" w:type="pct"/>
            <w:noWrap/>
            <w:vAlign w:val="center"/>
          </w:tcPr>
          <w:p>
            <w:pPr>
              <w:widowControl/>
              <w:snapToGrid w:val="0"/>
              <w:jc w:val="right"/>
              <w:textAlignment w:val="center"/>
              <w:rPr>
                <w:rFonts w:hint="eastAsia" w:asciiTheme="minorEastAsia" w:hAnsiTheme="minorEastAsia" w:cstheme="minorEastAsia"/>
                <w:color w:val="000000"/>
                <w:kern w:val="0"/>
                <w:sz w:val="13"/>
                <w:szCs w:val="13"/>
                <w:lang w:bidi="ar"/>
              </w:rPr>
            </w:pPr>
            <w:r>
              <w:rPr>
                <w:rFonts w:hint="eastAsia" w:asciiTheme="minorEastAsia" w:hAnsiTheme="minorEastAsia" w:cstheme="minorEastAsia"/>
                <w:color w:val="000000"/>
                <w:kern w:val="0"/>
                <w:sz w:val="18"/>
                <w:szCs w:val="18"/>
                <w:lang w:bidi="ar"/>
              </w:rPr>
              <w:t>单位：万元</w:t>
            </w:r>
          </w:p>
        </w:tc>
      </w:tr>
      <w:tr>
        <w:tblPrEx>
          <w:tblCellMar>
            <w:top w:w="0" w:type="dxa"/>
            <w:left w:w="108" w:type="dxa"/>
            <w:bottom w:w="0" w:type="dxa"/>
            <w:right w:w="108" w:type="dxa"/>
          </w:tblCellMar>
        </w:tblPrEx>
        <w:trPr>
          <w:cantSplit/>
          <w:trHeight w:val="283" w:hRule="atLeast"/>
        </w:trPr>
        <w:tc>
          <w:tcPr>
            <w:tcW w:w="2398" w:type="pct"/>
            <w:gridSpan w:val="2"/>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支出经济分类科目</w:t>
            </w:r>
          </w:p>
        </w:tc>
        <w:tc>
          <w:tcPr>
            <w:tcW w:w="2601" w:type="pct"/>
            <w:gridSpan w:val="3"/>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eastAsia="zh-CN" w:bidi="ar"/>
              </w:rPr>
              <w:t>2026</w:t>
            </w:r>
            <w:r>
              <w:rPr>
                <w:rFonts w:hint="eastAsia" w:asciiTheme="minorEastAsia" w:hAnsiTheme="minorEastAsia" w:cstheme="minorEastAsia"/>
                <w:color w:val="000000"/>
                <w:kern w:val="0"/>
                <w:sz w:val="18"/>
                <w:szCs w:val="18"/>
                <w:lang w:bidi="ar"/>
              </w:rPr>
              <w:t>年基本支出</w:t>
            </w:r>
          </w:p>
        </w:tc>
      </w:tr>
      <w:tr>
        <w:tblPrEx>
          <w:tblCellMar>
            <w:top w:w="0" w:type="dxa"/>
            <w:left w:w="108" w:type="dxa"/>
            <w:bottom w:w="0" w:type="dxa"/>
            <w:right w:w="108" w:type="dxa"/>
          </w:tblCellMar>
        </w:tblPrEx>
        <w:trPr>
          <w:cantSplit/>
          <w:trHeight w:val="283" w:hRule="atLeast"/>
        </w:trPr>
        <w:tc>
          <w:tcPr>
            <w:tcW w:w="938"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科目编码</w:t>
            </w:r>
          </w:p>
        </w:tc>
        <w:tc>
          <w:tcPr>
            <w:tcW w:w="1460" w:type="pct"/>
            <w:tcBorders>
              <w:top w:val="nil"/>
              <w:left w:val="nil"/>
              <w:bottom w:val="single" w:color="000000" w:sz="4" w:space="0"/>
              <w:right w:val="nil"/>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 xml:space="preserve">科目名称 </w:t>
            </w:r>
          </w:p>
        </w:tc>
        <w:tc>
          <w:tcPr>
            <w:tcW w:w="891"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合计</w:t>
            </w:r>
          </w:p>
        </w:tc>
        <w:tc>
          <w:tcPr>
            <w:tcW w:w="84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人员经费</w:t>
            </w:r>
          </w:p>
        </w:tc>
        <w:tc>
          <w:tcPr>
            <w:tcW w:w="867"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公用经费</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1</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2</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3</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合计</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1,801.33</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1,720.91</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80.42</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301</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工资福利支出</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1,710.56</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1,710.56</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30101</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基本工资</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440.90</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440.90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30102</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津贴补贴</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66.17</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66.17</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30103</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奖金</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192.45</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192.45</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30107</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绩效工资</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354.02</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354.02</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30108</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机关事业单位基本养老保险缴费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132.81</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132.81</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30109</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职业年金缴费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108.41</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108.41</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30110</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职工基本医疗保险缴费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58.21</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58.21</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30112</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其他社会保障缴费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1.66</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1.66</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30113</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住房公积金</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109.81</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109.81</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30199</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其他工资福利支出</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246.12</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246.12</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302</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商品和服务支出</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80.42</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80.42</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30201</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办公费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15.20</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15.20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30202</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印刷费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5.10</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5.10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30205</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水费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0.80</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0.80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30206</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电费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8.66</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8.66</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30207</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邮电费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1.00</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30208</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取暖费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1.00</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30211</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差旅费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3.00</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3.00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30213</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维修（护）费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0.50</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0.50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30216</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培训费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0.50</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0.50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30217</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公务接待费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6.30</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6.30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30231</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公务用车运行维护费</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7.77</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7.77</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30239</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其他交通费用</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16.88</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16.88</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30299</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其他商品和服务支出</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13.71</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13.71</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303</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对个人和家庭的补助</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10.35</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10.35</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color w:val="000000"/>
                <w:kern w:val="0"/>
                <w:sz w:val="18"/>
                <w:szCs w:val="18"/>
                <w:lang w:val="en-US" w:eastAsia="zh-CN" w:bidi="ar"/>
              </w:rPr>
              <w:t>0.00</w:t>
            </w:r>
          </w:p>
        </w:tc>
      </w:tr>
      <w:tr>
        <w:tblPrEx>
          <w:tblCellMar>
            <w:top w:w="0" w:type="dxa"/>
            <w:left w:w="108" w:type="dxa"/>
            <w:bottom w:w="0" w:type="dxa"/>
            <w:right w:w="108" w:type="dxa"/>
          </w:tblCellMar>
        </w:tblPrEx>
        <w:trPr>
          <w:cantSplit/>
          <w:trHeight w:val="283" w:hRule="atLeast"/>
        </w:trPr>
        <w:tc>
          <w:tcPr>
            <w:tcW w:w="93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30305</w:t>
            </w:r>
          </w:p>
        </w:tc>
        <w:tc>
          <w:tcPr>
            <w:tcW w:w="14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生活补助</w:t>
            </w:r>
          </w:p>
        </w:tc>
        <w:tc>
          <w:tcPr>
            <w:tcW w:w="891"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10.35</w:t>
            </w:r>
          </w:p>
        </w:tc>
        <w:tc>
          <w:tcPr>
            <w:tcW w:w="84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10.35</w:t>
            </w:r>
          </w:p>
        </w:tc>
        <w:tc>
          <w:tcPr>
            <w:tcW w:w="867"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default"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val="en-US" w:eastAsia="zh-CN" w:bidi="ar"/>
              </w:rPr>
              <w:t>0.00</w:t>
            </w:r>
          </w:p>
        </w:tc>
      </w:tr>
    </w:tbl>
    <w:p>
      <w:pPr>
        <w:widowControl/>
        <w:jc w:val="left"/>
        <w:rPr>
          <w:rStyle w:val="12"/>
          <w:rFonts w:ascii="仿宋" w:hAnsi="仿宋" w:eastAsia="仿宋"/>
          <w:bCs/>
          <w:sz w:val="32"/>
          <w:szCs w:val="32"/>
        </w:rPr>
        <w:sectPr>
          <w:pgSz w:w="11906" w:h="16838"/>
          <w:pgMar w:top="720" w:right="720" w:bottom="720" w:left="720" w:header="851" w:footer="992" w:gutter="0"/>
          <w:cols w:space="720" w:num="1"/>
          <w:docGrid w:type="lines" w:linePitch="312" w:charSpace="0"/>
        </w:sectPr>
      </w:pPr>
    </w:p>
    <w:tbl>
      <w:tblPr>
        <w:tblStyle w:val="6"/>
        <w:tblW w:w="5001" w:type="pct"/>
        <w:tblInd w:w="0" w:type="dxa"/>
        <w:tblLayout w:type="fixed"/>
        <w:tblCellMar>
          <w:top w:w="0" w:type="dxa"/>
          <w:left w:w="108" w:type="dxa"/>
          <w:bottom w:w="0" w:type="dxa"/>
          <w:right w:w="108" w:type="dxa"/>
        </w:tblCellMar>
      </w:tblPr>
      <w:tblGrid>
        <w:gridCol w:w="1361"/>
        <w:gridCol w:w="649"/>
        <w:gridCol w:w="1462"/>
        <w:gridCol w:w="1151"/>
        <w:gridCol w:w="1585"/>
        <w:gridCol w:w="1012"/>
        <w:gridCol w:w="1274"/>
        <w:gridCol w:w="1160"/>
        <w:gridCol w:w="1030"/>
      </w:tblGrid>
      <w:tr>
        <w:tblPrEx>
          <w:tblCellMar>
            <w:top w:w="0" w:type="dxa"/>
            <w:left w:w="108" w:type="dxa"/>
            <w:bottom w:w="0" w:type="dxa"/>
            <w:right w:w="108" w:type="dxa"/>
          </w:tblCellMar>
        </w:tblPrEx>
        <w:trPr>
          <w:trHeight w:val="450" w:hRule="atLeast"/>
          <w:tblHeader/>
        </w:trPr>
        <w:tc>
          <w:tcPr>
            <w:tcW w:w="636" w:type="pct"/>
            <w:noWrap/>
            <w:vAlign w:val="bottom"/>
          </w:tcPr>
          <w:p>
            <w:pPr>
              <w:widowControl/>
              <w:jc w:val="left"/>
              <w:rPr>
                <w:rFonts w:hint="eastAsia" w:ascii="宋体" w:hAnsi="宋体" w:eastAsia="宋体" w:cs="宋体"/>
                <w:kern w:val="0"/>
                <w:sz w:val="24"/>
                <w:szCs w:val="24"/>
              </w:rPr>
            </w:pPr>
            <w:r>
              <w:rPr>
                <w:rFonts w:ascii="Times New Roman" w:hAnsi="Times New Roman" w:eastAsia="宋体"/>
                <w:kern w:val="0"/>
                <w:sz w:val="20"/>
                <w:szCs w:val="20"/>
              </w:rPr>
              <w:br w:type="page"/>
            </w:r>
          </w:p>
        </w:tc>
        <w:tc>
          <w:tcPr>
            <w:tcW w:w="303" w:type="pct"/>
            <w:noWrap/>
            <w:vAlign w:val="bottom"/>
          </w:tcPr>
          <w:p>
            <w:pPr>
              <w:widowControl/>
              <w:jc w:val="left"/>
              <w:rPr>
                <w:rFonts w:ascii="Times New Roman" w:hAnsi="Times New Roman" w:eastAsia="宋体"/>
                <w:kern w:val="0"/>
                <w:sz w:val="20"/>
                <w:szCs w:val="20"/>
              </w:rPr>
            </w:pPr>
          </w:p>
        </w:tc>
        <w:tc>
          <w:tcPr>
            <w:tcW w:w="684" w:type="pct"/>
            <w:noWrap/>
            <w:vAlign w:val="bottom"/>
          </w:tcPr>
          <w:p>
            <w:pPr>
              <w:widowControl/>
              <w:jc w:val="left"/>
              <w:rPr>
                <w:rFonts w:ascii="Times New Roman" w:hAnsi="Times New Roman" w:eastAsia="宋体"/>
                <w:kern w:val="0"/>
                <w:sz w:val="20"/>
                <w:szCs w:val="20"/>
              </w:rPr>
            </w:pPr>
          </w:p>
        </w:tc>
        <w:tc>
          <w:tcPr>
            <w:tcW w:w="538" w:type="pct"/>
            <w:noWrap/>
            <w:vAlign w:val="bottom"/>
          </w:tcPr>
          <w:p>
            <w:pPr>
              <w:widowControl/>
              <w:jc w:val="left"/>
              <w:rPr>
                <w:rFonts w:ascii="Times New Roman" w:hAnsi="Times New Roman" w:eastAsia="宋体"/>
                <w:kern w:val="0"/>
                <w:sz w:val="20"/>
                <w:szCs w:val="20"/>
              </w:rPr>
            </w:pPr>
          </w:p>
        </w:tc>
        <w:tc>
          <w:tcPr>
            <w:tcW w:w="2836" w:type="pct"/>
            <w:gridSpan w:val="5"/>
            <w:noWrap/>
            <w:vAlign w:val="center"/>
          </w:tcPr>
          <w:p>
            <w:pPr>
              <w:widowControl/>
              <w:snapToGrid w:val="0"/>
              <w:jc w:val="right"/>
              <w:textAlignment w:val="center"/>
              <w:rPr>
                <w:rFonts w:hint="eastAsia" w:asciiTheme="minorEastAsia" w:hAnsiTheme="minorEastAsia" w:cstheme="minorEastAsia"/>
                <w:color w:val="000000"/>
                <w:kern w:val="0"/>
                <w:sz w:val="13"/>
                <w:szCs w:val="13"/>
                <w:lang w:eastAsia="zh-CN" w:bidi="ar"/>
              </w:rPr>
            </w:pPr>
          </w:p>
        </w:tc>
      </w:tr>
      <w:tr>
        <w:tblPrEx>
          <w:tblCellMar>
            <w:top w:w="0" w:type="dxa"/>
            <w:left w:w="108" w:type="dxa"/>
            <w:bottom w:w="0" w:type="dxa"/>
            <w:right w:w="108" w:type="dxa"/>
          </w:tblCellMar>
        </w:tblPrEx>
        <w:trPr>
          <w:trHeight w:val="485" w:hRule="atLeast"/>
          <w:tblHeader/>
        </w:trPr>
        <w:tc>
          <w:tcPr>
            <w:tcW w:w="5000" w:type="pct"/>
            <w:gridSpan w:val="9"/>
            <w:noWrap/>
            <w:vAlign w:val="center"/>
          </w:tcPr>
          <w:p>
            <w:pPr>
              <w:widowControl/>
              <w:snapToGrid w:val="0"/>
              <w:jc w:val="center"/>
              <w:textAlignment w:val="center"/>
              <w:rPr>
                <w:rFonts w:hint="default" w:eastAsia="仿宋_GB2312" w:asciiTheme="minorEastAsia" w:hAnsiTheme="minorEastAsia" w:cstheme="minorEastAsia"/>
                <w:color w:val="000000"/>
                <w:kern w:val="0"/>
                <w:sz w:val="13"/>
                <w:szCs w:val="13"/>
                <w:lang w:val="en-US" w:eastAsia="zh-CN" w:bidi="ar"/>
              </w:rPr>
            </w:pPr>
            <w:r>
              <w:rPr>
                <w:rFonts w:hint="eastAsia" w:asciiTheme="minorEastAsia" w:hAnsiTheme="minorEastAsia" w:eastAsiaTheme="minorEastAsia" w:cstheme="minorEastAsia"/>
                <w:b/>
                <w:bCs/>
                <w:color w:val="000000"/>
                <w:kern w:val="0"/>
                <w:sz w:val="24"/>
                <w:szCs w:val="24"/>
                <w:lang w:val="en-US" w:eastAsia="zh-CN" w:bidi="ar"/>
              </w:rPr>
              <w:t>财政拨款</w:t>
            </w:r>
            <w:r>
              <w:rPr>
                <w:rFonts w:hint="eastAsia" w:asciiTheme="minorEastAsia" w:hAnsiTheme="minorEastAsia" w:eastAsiaTheme="minorEastAsia" w:cstheme="minorEastAsia"/>
                <w:b/>
                <w:bCs/>
                <w:color w:val="000000"/>
                <w:kern w:val="0"/>
                <w:sz w:val="24"/>
                <w:szCs w:val="24"/>
                <w:lang w:bidi="ar"/>
              </w:rPr>
              <w:t>“三公”经费</w:t>
            </w:r>
            <w:r>
              <w:rPr>
                <w:rFonts w:hint="eastAsia" w:asciiTheme="minorEastAsia" w:hAnsiTheme="minorEastAsia" w:eastAsiaTheme="minorEastAsia" w:cstheme="minorEastAsia"/>
                <w:b/>
                <w:bCs/>
                <w:color w:val="000000"/>
                <w:kern w:val="0"/>
                <w:sz w:val="24"/>
                <w:szCs w:val="24"/>
                <w:lang w:val="en-US" w:eastAsia="zh-CN" w:bidi="ar"/>
              </w:rPr>
              <w:t>支出表</w:t>
            </w:r>
          </w:p>
        </w:tc>
      </w:tr>
      <w:tr>
        <w:tblPrEx>
          <w:tblCellMar>
            <w:top w:w="0" w:type="dxa"/>
            <w:left w:w="108" w:type="dxa"/>
            <w:bottom w:w="0" w:type="dxa"/>
            <w:right w:w="108" w:type="dxa"/>
          </w:tblCellMar>
        </w:tblPrEx>
        <w:trPr>
          <w:trHeight w:val="340" w:hRule="atLeast"/>
          <w:tblHeader/>
        </w:trPr>
        <w:tc>
          <w:tcPr>
            <w:tcW w:w="2163" w:type="pct"/>
            <w:gridSpan w:val="4"/>
            <w:noWrap/>
            <w:vAlign w:val="center"/>
          </w:tcPr>
          <w:p>
            <w:pPr>
              <w:widowControl/>
              <w:jc w:val="left"/>
              <w:rPr>
                <w:rFonts w:ascii="Times New Roman" w:hAnsi="Times New Roman" w:eastAsia="宋体"/>
                <w:kern w:val="0"/>
                <w:sz w:val="20"/>
                <w:szCs w:val="20"/>
              </w:rPr>
            </w:pPr>
            <w:r>
              <w:rPr>
                <w:rFonts w:hint="eastAsia" w:asciiTheme="minorEastAsia" w:hAnsiTheme="minorEastAsia" w:cstheme="minorEastAsia"/>
                <w:color w:val="000000"/>
                <w:kern w:val="0"/>
                <w:sz w:val="18"/>
                <w:szCs w:val="18"/>
                <w:lang w:bidi="ar"/>
              </w:rPr>
              <w:t>填报单位:201浮梁县农业农村局</w:t>
            </w:r>
          </w:p>
        </w:tc>
        <w:tc>
          <w:tcPr>
            <w:tcW w:w="742" w:type="pct"/>
            <w:noWrap/>
            <w:vAlign w:val="bottom"/>
          </w:tcPr>
          <w:p>
            <w:pPr>
              <w:widowControl/>
              <w:jc w:val="left"/>
              <w:rPr>
                <w:rFonts w:ascii="Times New Roman" w:hAnsi="Times New Roman" w:eastAsia="宋体"/>
                <w:kern w:val="0"/>
                <w:sz w:val="20"/>
                <w:szCs w:val="20"/>
              </w:rPr>
            </w:pPr>
          </w:p>
        </w:tc>
        <w:tc>
          <w:tcPr>
            <w:tcW w:w="474" w:type="pct"/>
            <w:noWrap/>
            <w:vAlign w:val="bottom"/>
          </w:tcPr>
          <w:p>
            <w:pPr>
              <w:widowControl/>
              <w:jc w:val="left"/>
              <w:rPr>
                <w:rFonts w:ascii="Times New Roman" w:hAnsi="Times New Roman" w:eastAsia="宋体"/>
                <w:kern w:val="0"/>
                <w:sz w:val="20"/>
                <w:szCs w:val="20"/>
              </w:rPr>
            </w:pPr>
          </w:p>
        </w:tc>
        <w:tc>
          <w:tcPr>
            <w:tcW w:w="596" w:type="pct"/>
            <w:noWrap/>
            <w:vAlign w:val="bottom"/>
          </w:tcPr>
          <w:p>
            <w:pPr>
              <w:widowControl/>
              <w:jc w:val="left"/>
              <w:rPr>
                <w:rFonts w:ascii="Times New Roman" w:hAnsi="Times New Roman" w:eastAsia="宋体"/>
                <w:kern w:val="0"/>
                <w:sz w:val="20"/>
                <w:szCs w:val="20"/>
              </w:rPr>
            </w:pPr>
          </w:p>
        </w:tc>
        <w:tc>
          <w:tcPr>
            <w:tcW w:w="1023" w:type="pct"/>
            <w:gridSpan w:val="2"/>
            <w:noWrap/>
            <w:vAlign w:val="bottom"/>
          </w:tcPr>
          <w:p>
            <w:pPr>
              <w:widowControl/>
              <w:snapToGrid w:val="0"/>
              <w:jc w:val="right"/>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单位：万元</w:t>
            </w:r>
          </w:p>
        </w:tc>
      </w:tr>
      <w:tr>
        <w:tblPrEx>
          <w:tblCellMar>
            <w:top w:w="0" w:type="dxa"/>
            <w:left w:w="108" w:type="dxa"/>
            <w:bottom w:w="0" w:type="dxa"/>
            <w:right w:w="108" w:type="dxa"/>
          </w:tblCellMar>
        </w:tblPrEx>
        <w:trPr>
          <w:cantSplit/>
          <w:trHeight w:val="283" w:hRule="atLeast"/>
          <w:tblHeader/>
        </w:trPr>
        <w:tc>
          <w:tcPr>
            <w:tcW w:w="940" w:type="pct"/>
            <w:gridSpan w:val="2"/>
            <w:vMerge w:val="restart"/>
            <w:tcBorders>
              <w:top w:val="single" w:color="000000" w:sz="4" w:space="0"/>
              <w:left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合计</w:t>
            </w:r>
          </w:p>
        </w:tc>
        <w:tc>
          <w:tcPr>
            <w:tcW w:w="1965" w:type="pct"/>
            <w:gridSpan w:val="3"/>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因公出国(境)费</w:t>
            </w:r>
          </w:p>
        </w:tc>
        <w:tc>
          <w:tcPr>
            <w:tcW w:w="474" w:type="pct"/>
            <w:vMerge w:val="restar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公务接待费</w:t>
            </w:r>
          </w:p>
        </w:tc>
        <w:tc>
          <w:tcPr>
            <w:tcW w:w="1620" w:type="pct"/>
            <w:gridSpan w:val="3"/>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公务用车购置及运行维护费</w:t>
            </w:r>
          </w:p>
        </w:tc>
      </w:tr>
      <w:tr>
        <w:tblPrEx>
          <w:tblCellMar>
            <w:top w:w="0" w:type="dxa"/>
            <w:left w:w="108" w:type="dxa"/>
            <w:bottom w:w="0" w:type="dxa"/>
            <w:right w:w="108" w:type="dxa"/>
          </w:tblCellMar>
        </w:tblPrEx>
        <w:trPr>
          <w:cantSplit/>
          <w:trHeight w:val="512" w:hRule="atLeast"/>
          <w:tblHeader/>
        </w:trPr>
        <w:tc>
          <w:tcPr>
            <w:tcW w:w="940" w:type="pct"/>
            <w:gridSpan w:val="2"/>
            <w:vMerge w:val="continue"/>
            <w:tcBorders>
              <w:left w:val="single" w:color="000000" w:sz="4" w:space="0"/>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p>
        </w:tc>
        <w:tc>
          <w:tcPr>
            <w:tcW w:w="684"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小计</w:t>
            </w:r>
          </w:p>
        </w:tc>
        <w:tc>
          <w:tcPr>
            <w:tcW w:w="538"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一般公务出国（境）费</w:t>
            </w:r>
          </w:p>
        </w:tc>
        <w:tc>
          <w:tcPr>
            <w:tcW w:w="742"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高等院校和科研院所学术交流合作出国（境）费</w:t>
            </w:r>
          </w:p>
        </w:tc>
        <w:tc>
          <w:tcPr>
            <w:tcW w:w="474" w:type="pct"/>
            <w:vMerge w:val="continue"/>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p>
        </w:tc>
        <w:tc>
          <w:tcPr>
            <w:tcW w:w="596"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小计</w:t>
            </w:r>
          </w:p>
        </w:tc>
        <w:tc>
          <w:tcPr>
            <w:tcW w:w="543" w:type="pct"/>
            <w:tcBorders>
              <w:top w:val="nil"/>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公务用车运行维护费</w:t>
            </w:r>
          </w:p>
        </w:tc>
        <w:tc>
          <w:tcPr>
            <w:tcW w:w="47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公务用车购置</w:t>
            </w:r>
          </w:p>
        </w:tc>
      </w:tr>
      <w:tr>
        <w:tblPrEx>
          <w:tblCellMar>
            <w:top w:w="0" w:type="dxa"/>
            <w:left w:w="108" w:type="dxa"/>
            <w:bottom w:w="0" w:type="dxa"/>
            <w:right w:w="108" w:type="dxa"/>
          </w:tblCellMar>
        </w:tblPrEx>
        <w:trPr>
          <w:cantSplit/>
          <w:trHeight w:val="283" w:hRule="atLeast"/>
          <w:tblHeader/>
        </w:trPr>
        <w:tc>
          <w:tcPr>
            <w:tcW w:w="940" w:type="pct"/>
            <w:gridSpan w:val="2"/>
            <w:tcBorders>
              <w:top w:val="nil"/>
              <w:left w:val="single" w:color="000000" w:sz="4" w:space="0"/>
              <w:bottom w:val="nil"/>
              <w:right w:val="nil"/>
            </w:tcBorders>
            <w:vAlign w:val="center"/>
          </w:tcPr>
          <w:p>
            <w:pPr>
              <w:widowControl/>
              <w:snapToGrid w:val="0"/>
              <w:jc w:val="center"/>
              <w:textAlignment w:val="center"/>
              <w:rPr>
                <w:rFonts w:hint="eastAsia" w:asciiTheme="minorEastAsia" w:hAnsiTheme="minorEastAsia" w:eastAsiaTheme="minorEastAsia" w:cstheme="minorEastAsia"/>
                <w:color w:val="000000"/>
                <w:kern w:val="0"/>
                <w:sz w:val="18"/>
                <w:szCs w:val="18"/>
                <w:lang w:eastAsia="zh-CN" w:bidi="ar"/>
              </w:rPr>
            </w:pPr>
            <w:r>
              <w:rPr>
                <w:rFonts w:hint="eastAsia" w:asciiTheme="minorEastAsia" w:hAnsiTheme="minorEastAsia" w:cstheme="minorEastAsia"/>
                <w:color w:val="000000"/>
                <w:kern w:val="0"/>
                <w:sz w:val="18"/>
                <w:szCs w:val="18"/>
                <w:lang w:val="en-US" w:eastAsia="zh-CN" w:bidi="ar"/>
              </w:rPr>
              <w:t>1</w:t>
            </w:r>
          </w:p>
        </w:tc>
        <w:tc>
          <w:tcPr>
            <w:tcW w:w="684" w:type="pct"/>
            <w:tcBorders>
              <w:top w:val="nil"/>
              <w:left w:val="single" w:color="000000" w:sz="4" w:space="0"/>
              <w:bottom w:val="nil"/>
              <w:right w:val="nil"/>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2</w:t>
            </w:r>
          </w:p>
        </w:tc>
        <w:tc>
          <w:tcPr>
            <w:tcW w:w="538" w:type="pct"/>
            <w:tcBorders>
              <w:top w:val="nil"/>
              <w:left w:val="single" w:color="000000" w:sz="4" w:space="0"/>
              <w:bottom w:val="nil"/>
              <w:right w:val="nil"/>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3</w:t>
            </w:r>
          </w:p>
        </w:tc>
        <w:tc>
          <w:tcPr>
            <w:tcW w:w="742" w:type="pct"/>
            <w:tcBorders>
              <w:top w:val="nil"/>
              <w:left w:val="single" w:color="000000" w:sz="4" w:space="0"/>
              <w:bottom w:val="nil"/>
              <w:right w:val="nil"/>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4</w:t>
            </w:r>
          </w:p>
        </w:tc>
        <w:tc>
          <w:tcPr>
            <w:tcW w:w="474" w:type="pct"/>
            <w:tcBorders>
              <w:top w:val="nil"/>
              <w:left w:val="single" w:color="000000" w:sz="4" w:space="0"/>
              <w:bottom w:val="nil"/>
              <w:right w:val="nil"/>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5</w:t>
            </w:r>
          </w:p>
        </w:tc>
        <w:tc>
          <w:tcPr>
            <w:tcW w:w="596" w:type="pct"/>
            <w:tcBorders>
              <w:top w:val="nil"/>
              <w:left w:val="single" w:color="000000" w:sz="4" w:space="0"/>
              <w:bottom w:val="nil"/>
              <w:right w:val="nil"/>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6</w:t>
            </w:r>
          </w:p>
        </w:tc>
        <w:tc>
          <w:tcPr>
            <w:tcW w:w="543" w:type="pct"/>
            <w:tcBorders>
              <w:top w:val="nil"/>
              <w:left w:val="single" w:color="000000" w:sz="4" w:space="0"/>
              <w:bottom w:val="nil"/>
              <w:right w:val="nil"/>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7</w:t>
            </w:r>
          </w:p>
        </w:tc>
        <w:tc>
          <w:tcPr>
            <w:tcW w:w="479" w:type="pct"/>
            <w:tcBorders>
              <w:top w:val="nil"/>
              <w:left w:val="single" w:color="000000" w:sz="4" w:space="0"/>
              <w:bottom w:val="nil"/>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8</w:t>
            </w:r>
          </w:p>
        </w:tc>
      </w:tr>
      <w:tr>
        <w:tblPrEx>
          <w:tblCellMar>
            <w:top w:w="0" w:type="dxa"/>
            <w:left w:w="108" w:type="dxa"/>
            <w:bottom w:w="0" w:type="dxa"/>
            <w:right w:w="108" w:type="dxa"/>
          </w:tblCellMar>
        </w:tblPrEx>
        <w:trPr>
          <w:cantSplit/>
          <w:trHeight w:val="717" w:hRule="atLeast"/>
        </w:trPr>
        <w:tc>
          <w:tcPr>
            <w:tcW w:w="940" w:type="pct"/>
            <w:gridSpan w:val="2"/>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14.07</w:t>
            </w:r>
          </w:p>
        </w:tc>
        <w:tc>
          <w:tcPr>
            <w:tcW w:w="684" w:type="pct"/>
            <w:tcBorders>
              <w:top w:val="single" w:color="000000" w:sz="4" w:space="0"/>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538" w:type="pct"/>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742" w:type="pct"/>
            <w:tcBorders>
              <w:top w:val="single" w:color="000000" w:sz="4" w:space="0"/>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474" w:type="pct"/>
            <w:tcBorders>
              <w:top w:val="single" w:color="000000" w:sz="4" w:space="0"/>
              <w:left w:val="nil"/>
              <w:bottom w:val="single" w:color="000000" w:sz="4" w:space="0"/>
              <w:right w:val="nil"/>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6.30</w:t>
            </w:r>
          </w:p>
        </w:tc>
        <w:tc>
          <w:tcPr>
            <w:tcW w:w="596" w:type="pct"/>
            <w:tcBorders>
              <w:top w:val="single" w:color="000000" w:sz="4" w:space="0"/>
              <w:left w:val="single" w:color="000000" w:sz="4" w:space="0"/>
              <w:bottom w:val="single" w:color="000000" w:sz="4" w:space="0"/>
              <w:right w:val="nil"/>
            </w:tcBorders>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7.77</w:t>
            </w:r>
          </w:p>
        </w:tc>
        <w:tc>
          <w:tcPr>
            <w:tcW w:w="543" w:type="pct"/>
            <w:tcBorders>
              <w:top w:val="single" w:color="000000" w:sz="4" w:space="0"/>
              <w:left w:val="single" w:color="000000" w:sz="4" w:space="0"/>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bidi="ar"/>
              </w:rPr>
              <w:t>7.77</w:t>
            </w:r>
          </w:p>
        </w:tc>
        <w:tc>
          <w:tcPr>
            <w:tcW w:w="479" w:type="pct"/>
            <w:tcBorders>
              <w:top w:val="single" w:color="000000" w:sz="4" w:space="0"/>
              <w:left w:val="nil"/>
              <w:bottom w:val="single" w:color="000000" w:sz="4" w:space="0"/>
              <w:right w:val="single" w:color="000000" w:sz="4" w:space="0"/>
            </w:tcBorders>
            <w:vAlign w:val="center"/>
          </w:tcPr>
          <w:p>
            <w:pPr>
              <w:widowControl/>
              <w:snapToGrid w:val="0"/>
              <w:jc w:val="center"/>
              <w:textAlignment w:val="center"/>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b w:val="0"/>
                <w:color w:val="000000"/>
                <w:kern w:val="0"/>
                <w:sz w:val="18"/>
                <w:szCs w:val="18"/>
                <w:lang w:bidi="ar"/>
              </w:rPr>
              <w:t>0.00</w:t>
            </w:r>
          </w:p>
        </w:tc>
      </w:tr>
    </w:tbl>
    <w:p>
      <w:pPr>
        <w:widowControl/>
        <w:jc w:val="left"/>
        <w:rPr>
          <w:rStyle w:val="12"/>
          <w:rFonts w:hint="eastAsia" w:ascii="仿宋" w:hAnsi="仿宋" w:eastAsia="仿宋"/>
          <w:bCs/>
          <w:sz w:val="32"/>
          <w:szCs w:val="32"/>
          <w:lang w:eastAsia="zh-CN"/>
        </w:rPr>
        <w:sectPr>
          <w:pgSz w:w="11906" w:h="16838"/>
          <w:pgMar w:top="720" w:right="720" w:bottom="720" w:left="720" w:header="851" w:footer="992" w:gutter="0"/>
          <w:cols w:space="720" w:num="1"/>
          <w:docGrid w:type="lines" w:linePitch="312" w:charSpace="0"/>
        </w:sectPr>
      </w:pPr>
    </w:p>
    <w:tbl>
      <w:tblPr>
        <w:tblStyle w:val="6"/>
        <w:tblW w:w="5002" w:type="pct"/>
        <w:tblInd w:w="10" w:type="dxa"/>
        <w:tblLayout w:type="fixed"/>
        <w:tblCellMar>
          <w:top w:w="0" w:type="dxa"/>
          <w:left w:w="108" w:type="dxa"/>
          <w:bottom w:w="0" w:type="dxa"/>
          <w:right w:w="108" w:type="dxa"/>
        </w:tblCellMar>
      </w:tblPr>
      <w:tblGrid>
        <w:gridCol w:w="2086"/>
        <w:gridCol w:w="2612"/>
        <w:gridCol w:w="2348"/>
        <w:gridCol w:w="1637"/>
        <w:gridCol w:w="2002"/>
      </w:tblGrid>
      <w:tr>
        <w:tblPrEx>
          <w:tblCellMar>
            <w:top w:w="0" w:type="dxa"/>
            <w:left w:w="108" w:type="dxa"/>
            <w:bottom w:w="0" w:type="dxa"/>
            <w:right w:w="108" w:type="dxa"/>
          </w:tblCellMar>
        </w:tblPrEx>
        <w:trPr>
          <w:trHeight w:val="507" w:hRule="atLeast"/>
          <w:tblHeader/>
        </w:trPr>
        <w:tc>
          <w:tcPr>
            <w:tcW w:w="976" w:type="pct"/>
            <w:noWrap/>
            <w:vAlign w:val="bottom"/>
          </w:tcPr>
          <w:p>
            <w:pPr>
              <w:widowControl/>
              <w:jc w:val="left"/>
              <w:rPr>
                <w:rFonts w:hint="eastAsia" w:ascii="宋体" w:hAnsi="宋体" w:eastAsia="宋体" w:cs="宋体"/>
                <w:kern w:val="0"/>
                <w:sz w:val="24"/>
                <w:szCs w:val="24"/>
              </w:rPr>
            </w:pPr>
            <w:r>
              <w:rPr>
                <w:rFonts w:ascii="Times New Roman" w:hAnsi="Times New Roman" w:eastAsia="宋体"/>
                <w:kern w:val="0"/>
                <w:sz w:val="20"/>
                <w:szCs w:val="20"/>
              </w:rPr>
              <w:br w:type="page"/>
            </w:r>
          </w:p>
        </w:tc>
        <w:tc>
          <w:tcPr>
            <w:tcW w:w="1221" w:type="pct"/>
            <w:noWrap/>
            <w:vAlign w:val="bottom"/>
          </w:tcPr>
          <w:p>
            <w:pPr>
              <w:widowControl/>
              <w:jc w:val="left"/>
              <w:rPr>
                <w:rFonts w:ascii="Times New Roman" w:hAnsi="Times New Roman" w:eastAsia="宋体"/>
                <w:kern w:val="0"/>
                <w:sz w:val="20"/>
                <w:szCs w:val="20"/>
              </w:rPr>
            </w:pPr>
          </w:p>
        </w:tc>
        <w:tc>
          <w:tcPr>
            <w:tcW w:w="2801" w:type="pct"/>
            <w:gridSpan w:val="3"/>
            <w:noWrap/>
            <w:vAlign w:val="center"/>
          </w:tcPr>
          <w:p>
            <w:pPr>
              <w:widowControl/>
              <w:snapToGrid w:val="0"/>
              <w:jc w:val="right"/>
              <w:textAlignment w:val="center"/>
              <w:rPr>
                <w:rFonts w:hint="eastAsia" w:asciiTheme="minorEastAsia" w:hAnsiTheme="minorEastAsia" w:cstheme="minorEastAsia"/>
                <w:color w:val="000000"/>
                <w:kern w:val="0"/>
                <w:sz w:val="13"/>
                <w:szCs w:val="13"/>
                <w:lang w:eastAsia="zh-CN" w:bidi="ar"/>
              </w:rPr>
            </w:pPr>
          </w:p>
        </w:tc>
      </w:tr>
      <w:tr>
        <w:tblPrEx>
          <w:tblCellMar>
            <w:top w:w="0" w:type="dxa"/>
            <w:left w:w="108" w:type="dxa"/>
            <w:bottom w:w="0" w:type="dxa"/>
            <w:right w:w="108" w:type="dxa"/>
          </w:tblCellMar>
        </w:tblPrEx>
        <w:trPr>
          <w:trHeight w:val="564" w:hRule="atLeast"/>
          <w:tblHeader/>
        </w:trPr>
        <w:tc>
          <w:tcPr>
            <w:tcW w:w="5000" w:type="pct"/>
            <w:gridSpan w:val="5"/>
            <w:noWrap/>
            <w:vAlign w:val="center"/>
          </w:tcPr>
          <w:p>
            <w:pPr>
              <w:widowControl/>
              <w:jc w:val="center"/>
              <w:rPr>
                <w:rFonts w:hint="eastAsia" w:ascii="宋体" w:hAnsi="宋体" w:eastAsia="宋体" w:cs="Arial"/>
                <w:b/>
                <w:bCs/>
                <w:color w:val="000000"/>
                <w:kern w:val="0"/>
                <w:sz w:val="44"/>
                <w:szCs w:val="44"/>
              </w:rPr>
            </w:pPr>
            <w:r>
              <w:rPr>
                <w:rFonts w:hint="eastAsia" w:asciiTheme="minorEastAsia" w:hAnsiTheme="minorEastAsia" w:eastAsiaTheme="minorEastAsia" w:cstheme="minorEastAsia"/>
                <w:b/>
                <w:bCs/>
                <w:color w:val="000000"/>
                <w:kern w:val="0"/>
                <w:sz w:val="24"/>
                <w:szCs w:val="24"/>
                <w:lang w:bidi="ar"/>
              </w:rPr>
              <w:t>政府性基金预算支出表</w:t>
            </w:r>
          </w:p>
        </w:tc>
      </w:tr>
      <w:tr>
        <w:tblPrEx>
          <w:tblCellMar>
            <w:top w:w="0" w:type="dxa"/>
            <w:left w:w="108" w:type="dxa"/>
            <w:bottom w:w="0" w:type="dxa"/>
            <w:right w:w="108" w:type="dxa"/>
          </w:tblCellMar>
        </w:tblPrEx>
        <w:trPr>
          <w:trHeight w:val="405" w:hRule="atLeast"/>
          <w:tblHeader/>
        </w:trPr>
        <w:tc>
          <w:tcPr>
            <w:tcW w:w="2198" w:type="pct"/>
            <w:gridSpan w:val="2"/>
            <w:noWrap/>
            <w:vAlign w:val="center"/>
          </w:tcPr>
          <w:p>
            <w:pPr>
              <w:widowControl/>
              <w:jc w:val="both"/>
              <w:rPr>
                <w:rFonts w:hint="eastAsia" w:ascii="宋体" w:hAnsi="宋体" w:eastAsia="宋体" w:cs="Arial"/>
                <w:color w:val="000000"/>
                <w:kern w:val="0"/>
                <w:sz w:val="24"/>
                <w:szCs w:val="24"/>
                <w:lang w:eastAsia="zh-CN"/>
              </w:rPr>
            </w:pPr>
            <w:r>
              <w:rPr>
                <w:rFonts w:hint="eastAsia" w:asciiTheme="minorEastAsia" w:hAnsiTheme="minorEastAsia" w:cstheme="minorEastAsia"/>
                <w:color w:val="000000"/>
                <w:kern w:val="0"/>
                <w:sz w:val="18"/>
                <w:szCs w:val="18"/>
                <w:lang w:bidi="ar"/>
              </w:rPr>
              <w:t>填报单位:201浮梁县农业农村局</w:t>
            </w:r>
          </w:p>
        </w:tc>
        <w:tc>
          <w:tcPr>
            <w:tcW w:w="1099" w:type="pct"/>
            <w:noWrap/>
            <w:vAlign w:val="bottom"/>
          </w:tcPr>
          <w:p>
            <w:pPr>
              <w:rPr>
                <w:rFonts w:hint="eastAsia" w:ascii="宋体" w:hAnsi="宋体" w:eastAsia="宋体" w:cs="Arial"/>
                <w:color w:val="000000"/>
                <w:kern w:val="0"/>
                <w:sz w:val="24"/>
                <w:szCs w:val="24"/>
              </w:rPr>
            </w:pPr>
          </w:p>
        </w:tc>
        <w:tc>
          <w:tcPr>
            <w:tcW w:w="766" w:type="pct"/>
            <w:noWrap/>
            <w:vAlign w:val="bottom"/>
          </w:tcPr>
          <w:p>
            <w:pPr>
              <w:widowControl/>
              <w:jc w:val="left"/>
              <w:rPr>
                <w:rFonts w:ascii="Times New Roman" w:hAnsi="Times New Roman" w:eastAsia="宋体"/>
                <w:kern w:val="0"/>
                <w:sz w:val="20"/>
                <w:szCs w:val="20"/>
              </w:rPr>
            </w:pPr>
          </w:p>
        </w:tc>
        <w:tc>
          <w:tcPr>
            <w:tcW w:w="935" w:type="pct"/>
            <w:noWrap/>
            <w:vAlign w:val="center"/>
          </w:tcPr>
          <w:p>
            <w:pPr>
              <w:widowControl/>
              <w:jc w:val="right"/>
              <w:rPr>
                <w:rFonts w:ascii="宋体" w:hAnsi="宋体" w:eastAsia="宋体" w:cs="Arial"/>
                <w:color w:val="000000"/>
                <w:kern w:val="0"/>
                <w:sz w:val="24"/>
                <w:szCs w:val="24"/>
              </w:rPr>
            </w:pPr>
            <w:r>
              <w:rPr>
                <w:rFonts w:hint="eastAsia" w:asciiTheme="minorEastAsia" w:hAnsiTheme="minorEastAsia" w:cstheme="minorEastAsia"/>
                <w:color w:val="000000"/>
                <w:kern w:val="0"/>
                <w:sz w:val="18"/>
                <w:szCs w:val="18"/>
                <w:lang w:bidi="ar"/>
              </w:rPr>
              <w:t>单位：万元</w:t>
            </w:r>
          </w:p>
        </w:tc>
      </w:tr>
      <w:tr>
        <w:tblPrEx>
          <w:tblCellMar>
            <w:top w:w="0" w:type="dxa"/>
            <w:left w:w="108" w:type="dxa"/>
            <w:bottom w:w="0" w:type="dxa"/>
            <w:right w:w="108" w:type="dxa"/>
          </w:tblCellMar>
        </w:tblPrEx>
        <w:trPr>
          <w:cantSplit/>
          <w:trHeight w:val="283" w:hRule="atLeast"/>
          <w:tblHeader/>
        </w:trPr>
        <w:tc>
          <w:tcPr>
            <w:tcW w:w="2198" w:type="pct"/>
            <w:gridSpan w:val="2"/>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支出功能分类科目</w:t>
            </w:r>
          </w:p>
        </w:tc>
        <w:tc>
          <w:tcPr>
            <w:tcW w:w="2801" w:type="pct"/>
            <w:gridSpan w:val="3"/>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eastAsia="zh-CN" w:bidi="ar"/>
              </w:rPr>
              <w:t>2026</w:t>
            </w:r>
            <w:r>
              <w:rPr>
                <w:rFonts w:hint="eastAsia" w:asciiTheme="minorEastAsia" w:hAnsiTheme="minorEastAsia" w:cstheme="minorEastAsia"/>
                <w:color w:val="000000"/>
                <w:kern w:val="0"/>
                <w:sz w:val="18"/>
                <w:szCs w:val="18"/>
                <w:lang w:bidi="ar"/>
              </w:rPr>
              <w:t>年预算数</w:t>
            </w:r>
          </w:p>
        </w:tc>
      </w:tr>
      <w:tr>
        <w:tblPrEx>
          <w:tblCellMar>
            <w:top w:w="0" w:type="dxa"/>
            <w:left w:w="108" w:type="dxa"/>
            <w:bottom w:w="0" w:type="dxa"/>
            <w:right w:w="108" w:type="dxa"/>
          </w:tblCellMar>
        </w:tblPrEx>
        <w:trPr>
          <w:cantSplit/>
          <w:trHeight w:val="283" w:hRule="atLeast"/>
          <w:tblHeader/>
        </w:trPr>
        <w:tc>
          <w:tcPr>
            <w:tcW w:w="976"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科目编码</w:t>
            </w:r>
          </w:p>
        </w:tc>
        <w:tc>
          <w:tcPr>
            <w:tcW w:w="1221"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 xml:space="preserve">科目名称 </w:t>
            </w:r>
          </w:p>
        </w:tc>
        <w:tc>
          <w:tcPr>
            <w:tcW w:w="109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合计</w:t>
            </w:r>
          </w:p>
        </w:tc>
        <w:tc>
          <w:tcPr>
            <w:tcW w:w="766"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基本支出</w:t>
            </w:r>
          </w:p>
        </w:tc>
        <w:tc>
          <w:tcPr>
            <w:tcW w:w="93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项目支出</w:t>
            </w:r>
          </w:p>
        </w:tc>
      </w:tr>
      <w:tr>
        <w:tblPrEx>
          <w:tblCellMar>
            <w:top w:w="0" w:type="dxa"/>
            <w:left w:w="108" w:type="dxa"/>
            <w:bottom w:w="0" w:type="dxa"/>
            <w:right w:w="108" w:type="dxa"/>
          </w:tblCellMar>
        </w:tblPrEx>
        <w:trPr>
          <w:cantSplit/>
          <w:trHeight w:val="283" w:hRule="atLeast"/>
          <w:tblHeader/>
        </w:trPr>
        <w:tc>
          <w:tcPr>
            <w:tcW w:w="976"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w:t>
            </w:r>
          </w:p>
        </w:tc>
        <w:tc>
          <w:tcPr>
            <w:tcW w:w="1221"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w:t>
            </w:r>
          </w:p>
        </w:tc>
        <w:tc>
          <w:tcPr>
            <w:tcW w:w="109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1</w:t>
            </w:r>
          </w:p>
        </w:tc>
        <w:tc>
          <w:tcPr>
            <w:tcW w:w="766"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w:t>
            </w:r>
          </w:p>
        </w:tc>
        <w:tc>
          <w:tcPr>
            <w:tcW w:w="93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w:t>
            </w:r>
          </w:p>
        </w:tc>
      </w:tr>
      <w:tr>
        <w:tblPrEx>
          <w:tblCellMar>
            <w:top w:w="0" w:type="dxa"/>
            <w:left w:w="108" w:type="dxa"/>
            <w:bottom w:w="0" w:type="dxa"/>
            <w:right w:w="108" w:type="dxa"/>
          </w:tblCellMar>
        </w:tblPrEx>
        <w:trPr>
          <w:cantSplit/>
          <w:trHeight w:val="345" w:hRule="atLeast"/>
        </w:trPr>
        <w:tc>
          <w:tcPr>
            <w:tcW w:w="976"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p>
        </w:tc>
        <w:tc>
          <w:tcPr>
            <w:tcW w:w="1221"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合计</w:t>
            </w:r>
          </w:p>
        </w:tc>
        <w:tc>
          <w:tcPr>
            <w:tcW w:w="109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837.53</w:t>
            </w:r>
          </w:p>
        </w:tc>
        <w:tc>
          <w:tcPr>
            <w:tcW w:w="766"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93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837.53</w:t>
            </w:r>
          </w:p>
        </w:tc>
      </w:tr>
      <w:tr>
        <w:tblPrEx>
          <w:tblCellMar>
            <w:top w:w="0" w:type="dxa"/>
            <w:left w:w="108" w:type="dxa"/>
            <w:bottom w:w="0" w:type="dxa"/>
            <w:right w:w="108" w:type="dxa"/>
          </w:tblCellMar>
        </w:tblPrEx>
        <w:trPr>
          <w:cantSplit/>
          <w:trHeight w:val="345" w:hRule="atLeast"/>
        </w:trPr>
        <w:tc>
          <w:tcPr>
            <w:tcW w:w="976"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212</w:t>
            </w:r>
          </w:p>
        </w:tc>
        <w:tc>
          <w:tcPr>
            <w:tcW w:w="1221"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城乡社区支出</w:t>
            </w:r>
          </w:p>
        </w:tc>
        <w:tc>
          <w:tcPr>
            <w:tcW w:w="109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837.53</w:t>
            </w:r>
          </w:p>
        </w:tc>
        <w:tc>
          <w:tcPr>
            <w:tcW w:w="766"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93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837.53</w:t>
            </w:r>
          </w:p>
        </w:tc>
      </w:tr>
      <w:tr>
        <w:tblPrEx>
          <w:tblCellMar>
            <w:top w:w="0" w:type="dxa"/>
            <w:left w:w="108" w:type="dxa"/>
            <w:bottom w:w="0" w:type="dxa"/>
            <w:right w:w="108" w:type="dxa"/>
          </w:tblCellMar>
        </w:tblPrEx>
        <w:trPr>
          <w:cantSplit/>
          <w:trHeight w:val="345" w:hRule="atLeast"/>
        </w:trPr>
        <w:tc>
          <w:tcPr>
            <w:tcW w:w="976"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21208</w:t>
            </w:r>
          </w:p>
        </w:tc>
        <w:tc>
          <w:tcPr>
            <w:tcW w:w="1221"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国有土地使用权出让收入安排的支出</w:t>
            </w:r>
          </w:p>
        </w:tc>
        <w:tc>
          <w:tcPr>
            <w:tcW w:w="109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837.53</w:t>
            </w:r>
          </w:p>
        </w:tc>
        <w:tc>
          <w:tcPr>
            <w:tcW w:w="766"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0.00</w:t>
            </w:r>
          </w:p>
        </w:tc>
        <w:tc>
          <w:tcPr>
            <w:tcW w:w="93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color w:val="000000"/>
                <w:kern w:val="0"/>
                <w:sz w:val="18"/>
                <w:szCs w:val="18"/>
                <w:lang w:bidi="ar"/>
              </w:rPr>
              <w:t>837.53</w:t>
            </w:r>
          </w:p>
        </w:tc>
      </w:tr>
      <w:tr>
        <w:tblPrEx>
          <w:tblCellMar>
            <w:top w:w="0" w:type="dxa"/>
            <w:left w:w="108" w:type="dxa"/>
            <w:bottom w:w="0" w:type="dxa"/>
            <w:right w:w="108" w:type="dxa"/>
          </w:tblCellMar>
        </w:tblPrEx>
        <w:trPr>
          <w:cantSplit/>
          <w:trHeight w:val="345" w:hRule="atLeast"/>
        </w:trPr>
        <w:tc>
          <w:tcPr>
            <w:tcW w:w="976"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2120804</w:t>
            </w:r>
          </w:p>
        </w:tc>
        <w:tc>
          <w:tcPr>
            <w:tcW w:w="1221"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农村基础设施建设支出</w:t>
            </w:r>
          </w:p>
        </w:tc>
        <w:tc>
          <w:tcPr>
            <w:tcW w:w="109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521.83</w:t>
            </w:r>
          </w:p>
        </w:tc>
        <w:tc>
          <w:tcPr>
            <w:tcW w:w="766"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93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521.83</w:t>
            </w:r>
          </w:p>
        </w:tc>
      </w:tr>
      <w:tr>
        <w:tblPrEx>
          <w:tblCellMar>
            <w:top w:w="0" w:type="dxa"/>
            <w:left w:w="108" w:type="dxa"/>
            <w:bottom w:w="0" w:type="dxa"/>
            <w:right w:w="108" w:type="dxa"/>
          </w:tblCellMar>
        </w:tblPrEx>
        <w:trPr>
          <w:cantSplit/>
          <w:trHeight w:val="345" w:hRule="atLeast"/>
        </w:trPr>
        <w:tc>
          <w:tcPr>
            <w:tcW w:w="976"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2120814</w:t>
            </w:r>
          </w:p>
        </w:tc>
        <w:tc>
          <w:tcPr>
            <w:tcW w:w="1221"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农业生产发展支出</w:t>
            </w:r>
          </w:p>
        </w:tc>
        <w:tc>
          <w:tcPr>
            <w:tcW w:w="109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39.24</w:t>
            </w:r>
          </w:p>
        </w:tc>
        <w:tc>
          <w:tcPr>
            <w:tcW w:w="766"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93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39.24</w:t>
            </w:r>
          </w:p>
        </w:tc>
      </w:tr>
      <w:tr>
        <w:tblPrEx>
          <w:tblCellMar>
            <w:top w:w="0" w:type="dxa"/>
            <w:left w:w="108" w:type="dxa"/>
            <w:bottom w:w="0" w:type="dxa"/>
            <w:right w:w="108" w:type="dxa"/>
          </w:tblCellMar>
        </w:tblPrEx>
        <w:trPr>
          <w:cantSplit/>
          <w:trHeight w:val="345" w:hRule="atLeast"/>
        </w:trPr>
        <w:tc>
          <w:tcPr>
            <w:tcW w:w="976"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2120899</w:t>
            </w:r>
          </w:p>
        </w:tc>
        <w:tc>
          <w:tcPr>
            <w:tcW w:w="1221"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其他国有土地使用权出让收入安排的支出</w:t>
            </w:r>
          </w:p>
        </w:tc>
        <w:tc>
          <w:tcPr>
            <w:tcW w:w="1099"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276.47</w:t>
            </w:r>
          </w:p>
        </w:tc>
        <w:tc>
          <w:tcPr>
            <w:tcW w:w="766"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0.00</w:t>
            </w:r>
          </w:p>
        </w:tc>
        <w:tc>
          <w:tcPr>
            <w:tcW w:w="935"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b w:val="0"/>
                <w:color w:val="000000"/>
                <w:kern w:val="0"/>
                <w:sz w:val="18"/>
                <w:szCs w:val="18"/>
                <w:lang w:bidi="ar"/>
              </w:rPr>
              <w:t>276.47</w:t>
            </w:r>
          </w:p>
        </w:tc>
      </w:tr>
    </w:tbl>
    <w:p>
      <w:pPr>
        <w:jc w:val="left"/>
        <w:rPr>
          <w:rStyle w:val="12"/>
          <w:rFonts w:hint="eastAsia" w:ascii="仿宋" w:hAnsi="仿宋" w:eastAsia="仿宋"/>
          <w:bCs/>
          <w:sz w:val="32"/>
          <w:szCs w:val="32"/>
        </w:rPr>
      </w:pPr>
      <w:r>
        <w:rPr>
          <w:rStyle w:val="12"/>
          <w:rFonts w:hint="eastAsia" w:ascii="仿宋" w:hAnsi="仿宋" w:eastAsia="仿宋"/>
          <w:bCs/>
          <w:sz w:val="32"/>
          <w:szCs w:val="32"/>
        </w:rPr>
        <w:br w:type="page"/>
      </w:r>
    </w:p>
    <w:tbl>
      <w:tblPr>
        <w:tblStyle w:val="6"/>
        <w:tblW w:w="5026" w:type="pct"/>
        <w:tblInd w:w="10" w:type="dxa"/>
        <w:tblLayout w:type="fixed"/>
        <w:tblCellMar>
          <w:top w:w="0" w:type="dxa"/>
          <w:left w:w="108" w:type="dxa"/>
          <w:bottom w:w="0" w:type="dxa"/>
          <w:right w:w="108" w:type="dxa"/>
        </w:tblCellMar>
      </w:tblPr>
      <w:tblGrid>
        <w:gridCol w:w="2063"/>
        <w:gridCol w:w="2650"/>
        <w:gridCol w:w="2336"/>
        <w:gridCol w:w="1636"/>
        <w:gridCol w:w="2053"/>
      </w:tblGrid>
      <w:tr>
        <w:trPr>
          <w:trHeight w:val="619" w:hRule="atLeast"/>
          <w:tblHeader/>
        </w:trPr>
        <w:tc>
          <w:tcPr>
            <w:tcW w:w="960" w:type="pct"/>
            <w:noWrap/>
            <w:vAlign w:val="bottom"/>
          </w:tcPr>
          <w:p>
            <w:pPr>
              <w:rPr>
                <w:rStyle w:val="12"/>
                <w:rFonts w:hint="eastAsia" w:ascii="仿宋" w:hAnsi="仿宋" w:eastAsia="仿宋"/>
                <w:bCs/>
                <w:sz w:val="32"/>
                <w:szCs w:val="32"/>
              </w:rPr>
            </w:pPr>
          </w:p>
        </w:tc>
        <w:tc>
          <w:tcPr>
            <w:tcW w:w="1233" w:type="pct"/>
            <w:noWrap/>
            <w:vAlign w:val="bottom"/>
          </w:tcPr>
          <w:p>
            <w:pPr>
              <w:widowControl/>
              <w:jc w:val="left"/>
              <w:rPr>
                <w:rFonts w:ascii="Times New Roman" w:hAnsi="Times New Roman" w:eastAsia="宋体"/>
                <w:kern w:val="0"/>
                <w:sz w:val="20"/>
                <w:szCs w:val="20"/>
              </w:rPr>
            </w:pPr>
          </w:p>
        </w:tc>
        <w:tc>
          <w:tcPr>
            <w:tcW w:w="2805" w:type="pct"/>
            <w:gridSpan w:val="3"/>
            <w:noWrap/>
            <w:vAlign w:val="center"/>
          </w:tcPr>
          <w:p>
            <w:pPr>
              <w:widowControl/>
              <w:jc w:val="right"/>
              <w:rPr>
                <w:rFonts w:ascii="宋体" w:hAnsi="宋体" w:eastAsia="宋体" w:cs="Arial"/>
                <w:color w:val="000000"/>
                <w:kern w:val="0"/>
                <w:sz w:val="24"/>
                <w:szCs w:val="24"/>
              </w:rPr>
            </w:pPr>
            <w:r>
              <w:rPr>
                <w:rFonts w:hint="eastAsia" w:ascii="宋体" w:hAnsi="宋体" w:eastAsia="宋体" w:cs="Arial"/>
                <w:color w:val="000000"/>
                <w:kern w:val="0"/>
                <w:sz w:val="18"/>
                <w:szCs w:val="18"/>
              </w:rPr>
              <w:t>注：若为空表，则为该部门（单位）无国有资本经营预算支出</w:t>
            </w:r>
          </w:p>
        </w:tc>
      </w:tr>
      <w:tr>
        <w:tblPrEx>
          <w:tblCellMar>
            <w:top w:w="0" w:type="dxa"/>
            <w:left w:w="108" w:type="dxa"/>
            <w:bottom w:w="0" w:type="dxa"/>
            <w:right w:w="108" w:type="dxa"/>
          </w:tblCellMar>
        </w:tblPrEx>
        <w:trPr>
          <w:trHeight w:val="613" w:hRule="atLeast"/>
          <w:tblHeader/>
        </w:trPr>
        <w:tc>
          <w:tcPr>
            <w:tcW w:w="5000" w:type="pct"/>
            <w:gridSpan w:val="5"/>
            <w:noWrap/>
            <w:vAlign w:val="center"/>
          </w:tcPr>
          <w:p>
            <w:pPr>
              <w:widowControl/>
              <w:jc w:val="center"/>
              <w:rPr>
                <w:rFonts w:hint="eastAsia" w:ascii="宋体" w:hAnsi="宋体" w:eastAsia="宋体" w:cs="Arial"/>
                <w:b/>
                <w:bCs/>
                <w:color w:val="000000"/>
                <w:kern w:val="0"/>
                <w:sz w:val="44"/>
                <w:szCs w:val="44"/>
              </w:rPr>
            </w:pPr>
            <w:r>
              <w:rPr>
                <w:rFonts w:hint="eastAsia" w:asciiTheme="minorEastAsia" w:hAnsiTheme="minorEastAsia" w:eastAsiaTheme="minorEastAsia" w:cstheme="minorEastAsia"/>
                <w:b/>
                <w:bCs/>
                <w:color w:val="000000"/>
                <w:kern w:val="0"/>
                <w:sz w:val="24"/>
                <w:szCs w:val="24"/>
                <w:lang w:bidi="ar"/>
              </w:rPr>
              <w:t>国有资本经营预算支出表</w:t>
            </w:r>
          </w:p>
        </w:tc>
      </w:tr>
      <w:tr>
        <w:tblPrEx>
          <w:tblCellMar>
            <w:top w:w="0" w:type="dxa"/>
            <w:left w:w="108" w:type="dxa"/>
            <w:bottom w:w="0" w:type="dxa"/>
            <w:right w:w="108" w:type="dxa"/>
          </w:tblCellMar>
        </w:tblPrEx>
        <w:trPr>
          <w:trHeight w:val="413" w:hRule="atLeast"/>
          <w:tblHeader/>
        </w:trPr>
        <w:tc>
          <w:tcPr>
            <w:tcW w:w="3282" w:type="pct"/>
            <w:gridSpan w:val="3"/>
            <w:noWrap/>
            <w:vAlign w:val="center"/>
          </w:tcPr>
          <w:p>
            <w:pPr>
              <w:jc w:val="left"/>
              <w:rPr>
                <w:rFonts w:hint="eastAsia" w:ascii="宋体" w:hAnsi="宋体" w:eastAsia="宋体" w:cs="Arial"/>
                <w:color w:val="000000"/>
                <w:kern w:val="0"/>
                <w:sz w:val="24"/>
                <w:szCs w:val="24"/>
              </w:rPr>
            </w:pPr>
            <w:r>
              <w:rPr>
                <w:rFonts w:hint="eastAsia" w:asciiTheme="minorEastAsia" w:hAnsiTheme="minorEastAsia" w:cstheme="minorEastAsia"/>
                <w:color w:val="000000"/>
                <w:kern w:val="0"/>
                <w:sz w:val="18"/>
                <w:szCs w:val="18"/>
                <w:lang w:bidi="ar"/>
              </w:rPr>
              <w:t>填报单位:201浮梁县农业农村局</w:t>
            </w:r>
          </w:p>
        </w:tc>
        <w:tc>
          <w:tcPr>
            <w:tcW w:w="762" w:type="pct"/>
            <w:noWrap/>
            <w:vAlign w:val="bottom"/>
          </w:tcPr>
          <w:p>
            <w:pPr>
              <w:widowControl/>
              <w:jc w:val="left"/>
              <w:rPr>
                <w:rFonts w:ascii="Times New Roman" w:hAnsi="Times New Roman" w:eastAsia="宋体"/>
                <w:kern w:val="0"/>
                <w:sz w:val="20"/>
                <w:szCs w:val="20"/>
              </w:rPr>
            </w:pPr>
          </w:p>
        </w:tc>
        <w:tc>
          <w:tcPr>
            <w:tcW w:w="954" w:type="pct"/>
            <w:noWrap/>
            <w:vAlign w:val="center"/>
          </w:tcPr>
          <w:p>
            <w:pPr>
              <w:widowControl/>
              <w:jc w:val="right"/>
              <w:rPr>
                <w:rFonts w:ascii="宋体" w:hAnsi="宋体" w:eastAsia="宋体" w:cs="Arial"/>
                <w:color w:val="000000"/>
                <w:kern w:val="0"/>
                <w:sz w:val="24"/>
                <w:szCs w:val="24"/>
              </w:rPr>
            </w:pPr>
            <w:r>
              <w:rPr>
                <w:rFonts w:hint="eastAsia" w:asciiTheme="minorEastAsia" w:hAnsiTheme="minorEastAsia" w:cstheme="minorEastAsia"/>
                <w:color w:val="000000"/>
                <w:kern w:val="0"/>
                <w:sz w:val="18"/>
                <w:szCs w:val="18"/>
                <w:lang w:bidi="ar"/>
              </w:rPr>
              <w:t>单位：万元</w:t>
            </w:r>
          </w:p>
        </w:tc>
      </w:tr>
      <w:tr>
        <w:tblPrEx>
          <w:tblCellMar>
            <w:top w:w="0" w:type="dxa"/>
            <w:left w:w="108" w:type="dxa"/>
            <w:bottom w:w="0" w:type="dxa"/>
            <w:right w:w="108" w:type="dxa"/>
          </w:tblCellMar>
        </w:tblPrEx>
        <w:trPr>
          <w:cantSplit/>
          <w:trHeight w:val="291" w:hRule="atLeast"/>
          <w:tblHeader/>
        </w:trPr>
        <w:tc>
          <w:tcPr>
            <w:tcW w:w="2194" w:type="pct"/>
            <w:gridSpan w:val="2"/>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支出功能分类科目</w:t>
            </w:r>
          </w:p>
        </w:tc>
        <w:tc>
          <w:tcPr>
            <w:tcW w:w="2805" w:type="pct"/>
            <w:gridSpan w:val="3"/>
            <w:tcBorders>
              <w:top w:val="single" w:color="000000" w:sz="4" w:space="0"/>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eastAsia="zh-CN" w:bidi="ar"/>
              </w:rPr>
              <w:t>2026</w:t>
            </w:r>
            <w:r>
              <w:rPr>
                <w:rFonts w:hint="eastAsia" w:asciiTheme="minorEastAsia" w:hAnsiTheme="minorEastAsia" w:cstheme="minorEastAsia"/>
                <w:color w:val="000000"/>
                <w:kern w:val="0"/>
                <w:sz w:val="18"/>
                <w:szCs w:val="18"/>
                <w:lang w:bidi="ar"/>
              </w:rPr>
              <w:t>年预算数</w:t>
            </w:r>
          </w:p>
        </w:tc>
      </w:tr>
      <w:tr>
        <w:tblPrEx>
          <w:tblCellMar>
            <w:top w:w="0" w:type="dxa"/>
            <w:left w:w="108" w:type="dxa"/>
            <w:bottom w:w="0" w:type="dxa"/>
            <w:right w:w="108" w:type="dxa"/>
          </w:tblCellMar>
        </w:tblPrEx>
        <w:trPr>
          <w:cantSplit/>
          <w:trHeight w:val="291" w:hRule="atLeast"/>
          <w:tblHeader/>
        </w:trPr>
        <w:tc>
          <w:tcPr>
            <w:tcW w:w="960" w:type="pct"/>
            <w:tcBorders>
              <w:top w:val="nil"/>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科目编码</w:t>
            </w:r>
          </w:p>
        </w:tc>
        <w:tc>
          <w:tcPr>
            <w:tcW w:w="1233"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 xml:space="preserve">科目名称 </w:t>
            </w:r>
          </w:p>
        </w:tc>
        <w:tc>
          <w:tcPr>
            <w:tcW w:w="1088"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合计</w:t>
            </w:r>
          </w:p>
        </w:tc>
        <w:tc>
          <w:tcPr>
            <w:tcW w:w="762"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基本支出</w:t>
            </w:r>
          </w:p>
        </w:tc>
        <w:tc>
          <w:tcPr>
            <w:tcW w:w="954" w:type="pct"/>
            <w:tcBorders>
              <w:top w:val="nil"/>
              <w:left w:val="nil"/>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项目支出</w:t>
            </w:r>
          </w:p>
        </w:tc>
      </w:tr>
      <w:tr>
        <w:tblPrEx>
          <w:tblCellMar>
            <w:top w:w="0" w:type="dxa"/>
            <w:left w:w="108" w:type="dxa"/>
            <w:bottom w:w="0" w:type="dxa"/>
            <w:right w:w="108" w:type="dxa"/>
          </w:tblCellMar>
        </w:tblPrEx>
        <w:trPr>
          <w:cantSplit/>
          <w:trHeight w:val="291" w:hRule="atLeast"/>
          <w:tblHeader/>
        </w:trPr>
        <w:tc>
          <w:tcPr>
            <w:tcW w:w="960"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w:t>
            </w:r>
          </w:p>
        </w:tc>
        <w:tc>
          <w:tcPr>
            <w:tcW w:w="1233"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w:t>
            </w:r>
          </w:p>
        </w:tc>
        <w:tc>
          <w:tcPr>
            <w:tcW w:w="1088"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bidi="ar"/>
              </w:rPr>
            </w:pPr>
            <w:r>
              <w:rPr>
                <w:rFonts w:hint="eastAsia" w:asciiTheme="minorEastAsia" w:hAnsiTheme="minorEastAsia" w:cstheme="minorEastAsia"/>
                <w:color w:val="000000"/>
                <w:kern w:val="0"/>
                <w:sz w:val="18"/>
                <w:szCs w:val="18"/>
                <w:lang w:bidi="ar"/>
              </w:rPr>
              <w:t>1</w:t>
            </w:r>
          </w:p>
        </w:tc>
        <w:tc>
          <w:tcPr>
            <w:tcW w:w="762"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2</w:t>
            </w:r>
          </w:p>
        </w:tc>
        <w:tc>
          <w:tcPr>
            <w:tcW w:w="954" w:type="pct"/>
            <w:tcBorders>
              <w:top w:val="single" w:color="000000" w:sz="4" w:space="0"/>
              <w:left w:val="single" w:color="000000" w:sz="4" w:space="0"/>
              <w:bottom w:val="single" w:color="000000" w:sz="4" w:space="0"/>
              <w:right w:val="single" w:color="000000" w:sz="4" w:space="0"/>
            </w:tcBorders>
            <w:noWrap/>
            <w:vAlign w:val="center"/>
          </w:tcPr>
          <w:p>
            <w:pPr>
              <w:widowControl/>
              <w:snapToGrid w:val="0"/>
              <w:jc w:val="center"/>
              <w:textAlignment w:val="center"/>
              <w:rPr>
                <w:rFonts w:hint="eastAsia" w:asciiTheme="minorEastAsia" w:hAnsiTheme="minorEastAsia" w:cstheme="minorEastAsia"/>
                <w:color w:val="000000"/>
                <w:kern w:val="0"/>
                <w:sz w:val="18"/>
                <w:szCs w:val="18"/>
                <w:lang w:val="en-US" w:eastAsia="zh-CN" w:bidi="ar"/>
              </w:rPr>
            </w:pPr>
            <w:r>
              <w:rPr>
                <w:rFonts w:hint="eastAsia" w:asciiTheme="minorEastAsia" w:hAnsiTheme="minorEastAsia" w:cstheme="minorEastAsia"/>
                <w:color w:val="000000"/>
                <w:kern w:val="0"/>
                <w:sz w:val="18"/>
                <w:szCs w:val="18"/>
                <w:lang w:val="en-US" w:eastAsia="zh-CN" w:bidi="ar"/>
              </w:rPr>
              <w:t>3</w:t>
            </w:r>
          </w:p>
        </w:tc>
      </w:tr>
    </w:tbl>
    <w:p>
      <w:pPr>
        <w:jc w:val="left"/>
        <w:rPr>
          <w:rStyle w:val="12"/>
          <w:rFonts w:hint="eastAsia" w:ascii="仿宋" w:hAnsi="仿宋" w:eastAsia="仿宋"/>
          <w:bCs/>
          <w:sz w:val="32"/>
          <w:szCs w:val="32"/>
        </w:rPr>
      </w:pPr>
      <w:r>
        <w:rPr>
          <w:rStyle w:val="12"/>
          <w:rFonts w:hint="eastAsia" w:ascii="仿宋" w:hAnsi="仿宋" w:eastAsia="仿宋"/>
          <w:bCs/>
          <w:sz w:val="32"/>
          <w:szCs w:val="32"/>
        </w:rPr>
        <w:br w:type="page"/>
      </w:r>
    </w:p>
    <w:tbl>
      <w:tblPr>
        <w:tblStyle w:val="6"/>
        <w:tblW w:w="10825" w:type="dxa"/>
        <w:tblInd w:w="-7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12"/>
        <w:gridCol w:w="1313"/>
        <w:gridCol w:w="2825"/>
        <w:gridCol w:w="1500"/>
        <w:gridCol w:w="912"/>
        <w:gridCol w:w="338"/>
        <w:gridCol w:w="1412"/>
        <w:gridCol w:w="10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5" w:hRule="exact"/>
        </w:trPr>
        <w:tc>
          <w:tcPr>
            <w:tcW w:w="10825" w:type="dxa"/>
            <w:gridSpan w:val="8"/>
            <w:tcBorders>
              <w:top w:val="nil"/>
              <w:left w:val="nil"/>
              <w:bottom w:val="single" w:color="000000" w:sz="4" w:space="0"/>
              <w:right w:val="nil"/>
            </w:tcBorders>
            <w:shd w:val="clear" w:color="auto" w:fill="FFFFFF"/>
            <w:noWrap/>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b w:val="0"/>
                <w:bCs/>
                <w:i w:val="0"/>
                <w:iCs w:val="0"/>
                <w:color w:val="000000"/>
                <w:kern w:val="0"/>
                <w:sz w:val="24"/>
                <w:szCs w:val="24"/>
                <w:u w:val="none"/>
                <w:lang w:val="en-US" w:eastAsia="zh-CN" w:bidi="ar"/>
              </w:rPr>
            </w:pPr>
            <w:r>
              <w:rPr>
                <w:rFonts w:hint="eastAsia" w:asciiTheme="minorEastAsia" w:hAnsiTheme="minorEastAsia" w:eastAsiaTheme="minorEastAsia" w:cstheme="minorEastAsia"/>
                <w:b/>
                <w:bCs w:val="0"/>
                <w:i w:val="0"/>
                <w:iCs w:val="0"/>
                <w:color w:val="000000"/>
                <w:kern w:val="0"/>
                <w:sz w:val="24"/>
                <w:szCs w:val="24"/>
                <w:u w:val="none"/>
                <w:lang w:val="en-US" w:eastAsia="zh-CN" w:bidi="ar"/>
              </w:rPr>
              <w:t>部门整体绩效目标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exact"/>
        </w:trPr>
        <w:tc>
          <w:tcPr>
            <w:tcW w:w="2825" w:type="dxa"/>
            <w:gridSpan w:val="2"/>
            <w:tcBorders>
              <w:top w:val="single" w:color="000000" w:sz="4" w:space="0"/>
              <w:left w:val="single" w:color="000000" w:sz="4" w:space="0"/>
              <w:bottom w:val="single" w:color="000000" w:sz="4" w:space="0"/>
              <w:right w:val="single" w:color="000000" w:sz="4" w:space="0"/>
            </w:tcBorders>
            <w:shd w:val="clear" w:color="auto" w:fill="F1F1F1" w:themeFill="background1" w:themeFillShade="F2"/>
            <w:noWrap/>
            <w:vAlign w:val="center"/>
          </w:tcPr>
          <w:p>
            <w:pPr>
              <w:keepNext w:val="0"/>
              <w:keepLines w:val="0"/>
              <w:widowControl/>
              <w:suppressLineNumbers w:val="0"/>
              <w:spacing w:line="240" w:lineRule="auto"/>
              <w:jc w:val="center"/>
              <w:textAlignment w:val="center"/>
              <w:rPr>
                <w:rFonts w:hint="default" w:asciiTheme="minorEastAsia" w:hAnsiTheme="minorEastAsia" w:eastAsiaTheme="minorEastAsia" w:cstheme="minorEastAsia"/>
                <w:b/>
                <w:bCs w:val="0"/>
                <w:i w:val="0"/>
                <w:iCs w:val="0"/>
                <w:color w:val="000000"/>
                <w:kern w:val="0"/>
                <w:sz w:val="18"/>
                <w:szCs w:val="18"/>
                <w:u w:val="none"/>
                <w:lang w:val="en-US" w:eastAsia="zh-CN" w:bidi="ar"/>
              </w:rPr>
            </w:pPr>
            <w:r>
              <w:rPr>
                <w:rFonts w:hint="eastAsia" w:asciiTheme="minorEastAsia" w:hAnsiTheme="minorEastAsia" w:cstheme="minorEastAsia"/>
                <w:b/>
                <w:bCs w:val="0"/>
                <w:i w:val="0"/>
                <w:iCs w:val="0"/>
                <w:color w:val="000000"/>
                <w:kern w:val="0"/>
                <w:sz w:val="18"/>
                <w:szCs w:val="18"/>
                <w:u w:val="none"/>
                <w:lang w:val="en-US" w:eastAsia="zh-CN" w:bidi="ar"/>
              </w:rPr>
              <w:t>部门编码</w:t>
            </w:r>
          </w:p>
        </w:tc>
        <w:tc>
          <w:tcPr>
            <w:tcW w:w="28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b/>
                <w:bCs w:val="0"/>
                <w:i w:val="0"/>
                <w:iCs w:val="0"/>
                <w:color w:val="000000"/>
                <w:kern w:val="0"/>
                <w:sz w:val="18"/>
                <w:szCs w:val="18"/>
                <w:u w:val="none"/>
                <w:lang w:val="en-US" w:eastAsia="zh-CN" w:bidi="ar"/>
              </w:rPr>
            </w:pPr>
            <w:r>
              <w:rPr>
                <w:rFonts w:hint="eastAsia" w:asciiTheme="minorEastAsia" w:hAnsiTheme="minorEastAsia" w:eastAsiaTheme="minorEastAsia" w:cstheme="minorEastAsia"/>
                <w:b w:val="0"/>
                <w:bCs/>
                <w:i w:val="0"/>
                <w:iCs w:val="0"/>
                <w:color w:val="000000"/>
                <w:kern w:val="0"/>
                <w:sz w:val="18"/>
                <w:szCs w:val="18"/>
                <w:u w:val="none"/>
                <w:lang w:val="en-US" w:eastAsia="zh-CN" w:bidi="ar"/>
              </w:rPr>
              <w:t>201</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1F1F1" w:themeFill="background1" w:themeFillShade="F2"/>
            <w:noWrap/>
            <w:vAlign w:val="center"/>
          </w:tcPr>
          <w:p>
            <w:pPr>
              <w:keepNext w:val="0"/>
              <w:keepLines w:val="0"/>
              <w:widowControl/>
              <w:suppressLineNumbers w:val="0"/>
              <w:spacing w:line="240" w:lineRule="auto"/>
              <w:jc w:val="center"/>
              <w:textAlignment w:val="center"/>
              <w:rPr>
                <w:rFonts w:hint="default" w:asciiTheme="minorEastAsia" w:hAnsiTheme="minorEastAsia" w:eastAsiaTheme="minorEastAsia" w:cstheme="minorEastAsia"/>
                <w:b/>
                <w:bCs w:val="0"/>
                <w:i w:val="0"/>
                <w:iCs w:val="0"/>
                <w:color w:val="000000"/>
                <w:kern w:val="0"/>
                <w:sz w:val="18"/>
                <w:szCs w:val="18"/>
                <w:u w:val="none"/>
                <w:lang w:val="en-US" w:eastAsia="zh-CN" w:bidi="ar"/>
              </w:rPr>
            </w:pPr>
            <w:r>
              <w:rPr>
                <w:rFonts w:hint="eastAsia" w:asciiTheme="minorEastAsia" w:hAnsiTheme="minorEastAsia" w:cstheme="minorEastAsia"/>
                <w:b/>
                <w:bCs w:val="0"/>
                <w:i w:val="0"/>
                <w:iCs w:val="0"/>
                <w:color w:val="000000"/>
                <w:kern w:val="0"/>
                <w:sz w:val="18"/>
                <w:szCs w:val="18"/>
                <w:u w:val="none"/>
                <w:lang w:val="en-US" w:eastAsia="zh-CN" w:bidi="ar"/>
              </w:rPr>
              <w:t>部门名称</w:t>
            </w:r>
          </w:p>
        </w:tc>
        <w:tc>
          <w:tcPr>
            <w:tcW w:w="2763"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line="240" w:lineRule="auto"/>
              <w:jc w:val="center"/>
              <w:textAlignment w:val="center"/>
              <w:rPr>
                <w:rFonts w:hint="eastAsia" w:asciiTheme="minorEastAsia" w:hAnsiTheme="minorEastAsia" w:eastAsiaTheme="minorEastAsia" w:cstheme="minorEastAsia"/>
                <w:b/>
                <w:bCs w:val="0"/>
                <w:i w:val="0"/>
                <w:iCs w:val="0"/>
                <w:color w:val="000000"/>
                <w:kern w:val="0"/>
                <w:sz w:val="18"/>
                <w:szCs w:val="18"/>
                <w:u w:val="none"/>
                <w:lang w:val="en-US" w:eastAsia="zh-CN" w:bidi="ar"/>
              </w:rPr>
            </w:pPr>
            <w:r>
              <w:rPr>
                <w:rFonts w:hint="eastAsia" w:asciiTheme="minorEastAsia" w:hAnsiTheme="minorEastAsia" w:eastAsiaTheme="minorEastAsia" w:cstheme="minorEastAsia"/>
                <w:b w:val="0"/>
                <w:bCs/>
                <w:i w:val="0"/>
                <w:iCs w:val="0"/>
                <w:color w:val="000000"/>
                <w:kern w:val="0"/>
                <w:sz w:val="18"/>
                <w:szCs w:val="18"/>
                <w:u w:val="none"/>
                <w:lang w:val="en-US" w:eastAsia="zh-CN" w:bidi="ar"/>
              </w:rPr>
              <w:t>浮梁县农业农村局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exact"/>
        </w:trPr>
        <w:tc>
          <w:tcPr>
            <w:tcW w:w="1512" w:type="dxa"/>
            <w:vMerge w:val="restart"/>
            <w:tcBorders>
              <w:top w:val="single" w:color="000000" w:sz="4" w:space="0"/>
              <w:left w:val="single" w:color="000000" w:sz="4" w:space="0"/>
              <w:bottom w:val="single" w:color="000000" w:sz="4" w:space="0"/>
              <w:right w:val="single" w:color="000000" w:sz="4" w:space="0"/>
            </w:tcBorders>
            <w:shd w:val="clear" w:color="auto" w:fill="F1F1F1" w:themeFill="background1" w:themeFillShade="F2"/>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Style w:val="15"/>
                <w:rFonts w:hint="eastAsia" w:asciiTheme="minorEastAsia" w:hAnsiTheme="minorEastAsia" w:eastAsiaTheme="minorEastAsia" w:cstheme="minorEastAsia"/>
                <w:b/>
                <w:bCs/>
                <w:color w:val="000000"/>
                <w:sz w:val="18"/>
                <w:szCs w:val="18"/>
                <w:lang w:val="en-US" w:eastAsia="zh-CN" w:bidi="ar"/>
              </w:rPr>
              <w:t>年度绩效总目标</w:t>
            </w:r>
          </w:p>
        </w:tc>
        <w:tc>
          <w:tcPr>
            <w:tcW w:w="9313" w:type="dxa"/>
            <w:gridSpan w:val="7"/>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浮梁县农业农村局紧扣全面建成小康社会的目标任务，统筹推进农业发展工作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1F1F1" w:themeFill="background1" w:themeFillShade="F2"/>
            <w:noWrap/>
            <w:vAlign w:val="center"/>
          </w:tcPr>
          <w:p>
            <w:pPr>
              <w:jc w:val="center"/>
              <w:rPr>
                <w:rFonts w:hint="eastAsia" w:asciiTheme="minorEastAsia" w:hAnsiTheme="minorEastAsia" w:eastAsiaTheme="minorEastAsia" w:cstheme="minorEastAsia"/>
                <w:b w:val="0"/>
                <w:i w:val="0"/>
                <w:iCs w:val="0"/>
                <w:color w:val="000000"/>
                <w:sz w:val="18"/>
                <w:szCs w:val="18"/>
                <w:u w:val="none"/>
              </w:rPr>
            </w:pPr>
          </w:p>
        </w:tc>
        <w:tc>
          <w:tcPr>
            <w:tcW w:w="9313"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Theme="minorEastAsia" w:hAnsiTheme="minorEastAsia" w:eastAsiaTheme="minorEastAsia" w:cstheme="minorEastAsia"/>
                <w:b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1F1F1" w:themeFill="background1" w:themeFillShade="F2"/>
            <w:noWrap/>
            <w:vAlign w:val="center"/>
          </w:tcPr>
          <w:p>
            <w:pPr>
              <w:jc w:val="center"/>
              <w:rPr>
                <w:rFonts w:hint="eastAsia" w:asciiTheme="minorEastAsia" w:hAnsiTheme="minorEastAsia" w:eastAsiaTheme="minorEastAsia" w:cstheme="minorEastAsia"/>
                <w:b w:val="0"/>
                <w:i w:val="0"/>
                <w:iCs w:val="0"/>
                <w:color w:val="000000"/>
                <w:sz w:val="18"/>
                <w:szCs w:val="18"/>
                <w:u w:val="none"/>
              </w:rPr>
            </w:pPr>
          </w:p>
        </w:tc>
        <w:tc>
          <w:tcPr>
            <w:tcW w:w="9313" w:type="dxa"/>
            <w:gridSpan w:val="7"/>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Theme="minorEastAsia" w:hAnsiTheme="minorEastAsia" w:eastAsiaTheme="minorEastAsia" w:cstheme="minorEastAsia"/>
                <w:b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512"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18"/>
                <w:szCs w:val="18"/>
                <w:u w:val="none"/>
              </w:rPr>
            </w:pPr>
            <w:r>
              <w:rPr>
                <w:rFonts w:hint="eastAsia" w:asciiTheme="minorEastAsia" w:hAnsiTheme="minorEastAsia" w:eastAsiaTheme="minorEastAsia" w:cstheme="minorEastAsia"/>
                <w:b/>
                <w:bCs/>
                <w:i w:val="0"/>
                <w:iCs w:val="0"/>
                <w:color w:val="000000"/>
                <w:kern w:val="0"/>
                <w:sz w:val="18"/>
                <w:szCs w:val="18"/>
                <w:u w:val="none"/>
                <w:lang w:val="en-US" w:eastAsia="zh-CN" w:bidi="ar"/>
              </w:rPr>
              <w:t>一级指标</w:t>
            </w:r>
          </w:p>
        </w:tc>
        <w:tc>
          <w:tcPr>
            <w:tcW w:w="1313"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18"/>
                <w:szCs w:val="18"/>
                <w:u w:val="none"/>
              </w:rPr>
            </w:pPr>
            <w:r>
              <w:rPr>
                <w:rFonts w:hint="eastAsia" w:asciiTheme="minorEastAsia" w:hAnsiTheme="minorEastAsia" w:eastAsiaTheme="minorEastAsia" w:cstheme="minorEastAsia"/>
                <w:b/>
                <w:bCs/>
                <w:i w:val="0"/>
                <w:iCs w:val="0"/>
                <w:color w:val="000000"/>
                <w:kern w:val="0"/>
                <w:sz w:val="18"/>
                <w:szCs w:val="18"/>
                <w:u w:val="none"/>
                <w:lang w:val="en-US" w:eastAsia="zh-CN" w:bidi="ar"/>
              </w:rPr>
              <w:t>二级指标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1F1F1" w:themeFill="background1" w:themeFillShade="F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18"/>
                <w:szCs w:val="18"/>
                <w:u w:val="none"/>
              </w:rPr>
            </w:pPr>
            <w:r>
              <w:rPr>
                <w:rFonts w:hint="eastAsia" w:asciiTheme="minorEastAsia" w:hAnsiTheme="minorEastAsia" w:eastAsiaTheme="minorEastAsia" w:cstheme="minorEastAsia"/>
                <w:b/>
                <w:bCs/>
                <w:i w:val="0"/>
                <w:iCs w:val="0"/>
                <w:color w:val="000000"/>
                <w:kern w:val="0"/>
                <w:sz w:val="18"/>
                <w:szCs w:val="18"/>
                <w:u w:val="none"/>
                <w:lang w:val="en-US" w:eastAsia="zh-CN" w:bidi="ar"/>
              </w:rPr>
              <w:t>三级指标</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1F1F1" w:themeFill="background1" w:themeFillShade="F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18"/>
                <w:szCs w:val="18"/>
                <w:u w:val="none"/>
              </w:rPr>
            </w:pPr>
            <w:r>
              <w:rPr>
                <w:rFonts w:hint="eastAsia" w:asciiTheme="minorEastAsia" w:hAnsiTheme="minorEastAsia" w:eastAsiaTheme="minorEastAsia" w:cstheme="minorEastAsia"/>
                <w:b/>
                <w:bCs/>
                <w:i w:val="0"/>
                <w:iCs w:val="0"/>
                <w:color w:val="000000"/>
                <w:kern w:val="0"/>
                <w:sz w:val="18"/>
                <w:szCs w:val="18"/>
                <w:u w:val="none"/>
                <w:lang w:val="en-US" w:eastAsia="zh-CN" w:bidi="ar"/>
              </w:rPr>
              <w:t>计算符号</w:t>
            </w:r>
          </w:p>
        </w:tc>
        <w:tc>
          <w:tcPr>
            <w:tcW w:w="1412"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18"/>
                <w:szCs w:val="18"/>
                <w:u w:val="none"/>
              </w:rPr>
            </w:pPr>
            <w:r>
              <w:rPr>
                <w:rFonts w:hint="eastAsia" w:asciiTheme="minorEastAsia" w:hAnsiTheme="minorEastAsia" w:eastAsiaTheme="minorEastAsia" w:cstheme="minorEastAsia"/>
                <w:b/>
                <w:bCs/>
                <w:i w:val="0"/>
                <w:iCs w:val="0"/>
                <w:color w:val="000000"/>
                <w:kern w:val="0"/>
                <w:sz w:val="18"/>
                <w:szCs w:val="18"/>
                <w:u w:val="none"/>
                <w:lang w:val="en-US" w:eastAsia="zh-CN" w:bidi="ar"/>
              </w:rPr>
              <w:t>目标值</w:t>
            </w:r>
          </w:p>
        </w:tc>
        <w:tc>
          <w:tcPr>
            <w:tcW w:w="1013" w:type="dxa"/>
            <w:tcBorders>
              <w:top w:val="single" w:color="000000" w:sz="4" w:space="0"/>
              <w:left w:val="single" w:color="000000" w:sz="4" w:space="0"/>
              <w:bottom w:val="single" w:color="000000" w:sz="4" w:space="0"/>
              <w:right w:val="single" w:color="000000" w:sz="4" w:space="0"/>
            </w:tcBorders>
            <w:shd w:val="clear" w:color="auto" w:fill="F1F1F1" w:themeFill="background1" w:themeFillShade="F2"/>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18"/>
                <w:szCs w:val="18"/>
                <w:u w:val="none"/>
              </w:rPr>
            </w:pPr>
            <w:r>
              <w:rPr>
                <w:rFonts w:hint="eastAsia" w:asciiTheme="minorEastAsia" w:hAnsiTheme="minorEastAsia" w:eastAsiaTheme="minorEastAsia" w:cstheme="minorEastAsia"/>
                <w:b/>
                <w:bCs/>
                <w:i w:val="0"/>
                <w:iCs w:val="0"/>
                <w:color w:val="000000"/>
                <w:kern w:val="0"/>
                <w:sz w:val="18"/>
                <w:szCs w:val="18"/>
                <w:u w:val="none"/>
                <w:lang w:val="en-US" w:eastAsia="zh-CN" w:bidi="ar"/>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6" w:hRule="atLeast"/>
        </w:trPr>
        <w:tc>
          <w:tcPr>
            <w:tcW w:w="151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数量指标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文件发放次数</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180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数量指标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全年召开会议次数</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60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数量指标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年度政府采购合格采购数量</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150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数量指标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高素质农民培育人次</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&gt;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200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数量指标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农业技术推广服务次数</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&gt;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50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数量指标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惠农补贴发放户数</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&gt;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20000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数量指标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补贴农机具台套数</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&gt;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500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质量指标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单位运行经费使用合格率</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时效指标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各项目资金及时拨付率</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成本指标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在职人员控制率</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成本指标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公用经费控制率</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成本指标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三公经费控制率</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产出指标</w:t>
            </w:r>
          </w:p>
        </w:tc>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成本指标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预算支出标准执行率</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95</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6" w:hRule="atLeast"/>
        </w:trPr>
        <w:tc>
          <w:tcPr>
            <w:tcW w:w="1512"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效益指标</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经济效益指标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服务地方经济发展能力</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60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效益指标</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生态效益指标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促进绿色农业生态发展</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80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6" w:hRule="atLeast"/>
        </w:trPr>
        <w:tc>
          <w:tcPr>
            <w:tcW w:w="1512"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效益指标</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可持续影响指标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全面促进农业可持续发展</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80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36" w:hRule="atLeast"/>
        </w:trPr>
        <w:tc>
          <w:tcPr>
            <w:tcW w:w="15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满意度指标</w:t>
            </w:r>
          </w:p>
        </w:tc>
        <w:tc>
          <w:tcPr>
            <w:tcW w:w="13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服务对象满意度指标</w:t>
            </w:r>
          </w:p>
        </w:tc>
        <w:tc>
          <w:tcPr>
            <w:tcW w:w="43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社会公众满意度</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c>
          <w:tcPr>
            <w:tcW w:w="14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90</w:t>
            </w:r>
          </w:p>
        </w:tc>
        <w:tc>
          <w:tcPr>
            <w:tcW w:w="101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b w:val="0"/>
                <w:i w:val="0"/>
                <w:iCs w:val="0"/>
                <w:color w:val="000000"/>
                <w:sz w:val="18"/>
                <w:szCs w:val="18"/>
                <w:u w:val="none"/>
              </w:rPr>
            </w:pPr>
            <w:r>
              <w:rPr>
                <w:rFonts w:hint="eastAsia" w:asciiTheme="minorEastAsia" w:hAnsiTheme="minorEastAsia" w:eastAsiaTheme="minorEastAsia" w:cstheme="minorEastAsia"/>
                <w:b w:val="0"/>
                <w:i w:val="0"/>
                <w:iCs w:val="0"/>
                <w:color w:val="000000"/>
                <w:kern w:val="0"/>
                <w:sz w:val="18"/>
                <w:szCs w:val="18"/>
                <w:u w:val="none"/>
                <w:lang w:val="en-US" w:eastAsia="zh-CN" w:bidi="ar"/>
              </w:rPr>
              <w:t>%</w:t>
            </w:r>
          </w:p>
        </w:tc>
      </w:tr>
    </w:tbl>
    <w:p>
      <w:pPr>
        <w:rPr>
          <w:rFonts w:hint="eastAsia"/>
          <w:lang w:eastAsia="zh-CN"/>
        </w:rPr>
        <w:sectPr>
          <w:pgSz w:w="11906" w:h="16838"/>
          <w:pgMar w:top="720" w:right="720" w:bottom="720" w:left="720" w:header="851" w:footer="992" w:gutter="0"/>
          <w:cols w:space="425" w:num="1"/>
          <w:docGrid w:type="lines" w:linePitch="312" w:charSpace="0"/>
        </w:sectPr>
      </w:pPr>
    </w:p>
    <w:p>
      <w:pPr>
        <w:pStyle w:val="17"/>
        <w:numPr>
          <w:ilvl w:val="0"/>
          <w:numId w:val="0"/>
        </w:numPr>
        <w:bidi w:val="0"/>
        <w:ind w:left="420" w:leftChars="200"/>
        <w:jc w:val="center"/>
        <w:rPr>
          <w:rFonts w:hint="eastAsia"/>
          <w:lang w:eastAsia="zh-CN"/>
        </w:rPr>
      </w:pPr>
      <w:r>
        <w:rPr>
          <w:rFonts w:hint="eastAsia"/>
          <w:lang w:val="en-US" w:eastAsia="zh-CN"/>
        </w:rPr>
        <w:t>第三部分  浮梁县农业农村局2026年部门预算情况说明</w:t>
      </w:r>
    </w:p>
    <w:p>
      <w:pPr>
        <w:widowControl/>
        <w:spacing w:line="580" w:lineRule="exact"/>
        <w:jc w:val="center"/>
        <w:rPr>
          <w:rFonts w:ascii="仿宋_GB2312" w:eastAsia="仿宋_GB2312"/>
          <w:b/>
          <w:sz w:val="32"/>
          <w:szCs w:val="30"/>
        </w:rPr>
      </w:pPr>
    </w:p>
    <w:p>
      <w:pPr>
        <w:pStyle w:val="17"/>
        <w:numPr>
          <w:ilvl w:val="0"/>
          <w:numId w:val="0"/>
        </w:numPr>
        <w:bidi w:val="0"/>
        <w:ind w:left="420" w:leftChars="200" w:firstLine="321" w:firstLineChars="100"/>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2026</w:t>
      </w:r>
      <w:r>
        <w:rPr>
          <w:rFonts w:hint="eastAsia" w:ascii="楷体_GB2312" w:eastAsia="楷体_GB2312"/>
          <w:b/>
          <w:sz w:val="32"/>
          <w:szCs w:val="30"/>
        </w:rPr>
        <w:t>年部门预算收支情况说明</w:t>
      </w:r>
    </w:p>
    <w:p>
      <w:pPr>
        <w:pStyle w:val="19"/>
        <w:numPr>
          <w:ilvl w:val="0"/>
          <w:numId w:val="0"/>
        </w:numPr>
        <w:bidi w:val="0"/>
        <w:ind w:left="420" w:leftChars="200"/>
        <w:rPr>
          <w:rFonts w:hint="eastAsia"/>
        </w:rPr>
      </w:pPr>
      <w:r>
        <w:rPr>
          <w:rFonts w:hint="eastAsia"/>
        </w:rPr>
        <w:t xml:space="preserve"> (一)收入预算情况</w:t>
      </w:r>
    </w:p>
    <w:p>
      <w:pPr>
        <w:pStyle w:val="18"/>
        <w:bidi w:val="0"/>
        <w:rPr>
          <w:rFonts w:hint="eastAsia"/>
        </w:rPr>
      </w:pPr>
      <w:r>
        <w:rPr>
          <w:rFonts w:hint="eastAsia"/>
          <w:lang w:eastAsia="zh-CN"/>
        </w:rPr>
        <w:t>2026</w:t>
      </w:r>
      <w:r>
        <w:rPr>
          <w:rFonts w:hint="eastAsia"/>
        </w:rPr>
        <w:t>年</w:t>
      </w:r>
      <w:r>
        <w:rPr>
          <w:rFonts w:hint="eastAsia"/>
          <w:lang w:eastAsia="zh-CN"/>
        </w:rPr>
        <w:t>浮梁县农业农村局</w:t>
      </w:r>
      <w:r>
        <w:rPr>
          <w:rFonts w:hint="eastAsia"/>
        </w:rPr>
        <w:t>收入预算总额为15061.57万元</w:t>
      </w:r>
      <w:r>
        <w:rPr>
          <w:rFonts w:hint="eastAsia"/>
          <w:lang w:eastAsia="zh-CN"/>
        </w:rPr>
        <w:t>，</w:t>
      </w:r>
      <w:r>
        <w:rPr>
          <w:rFonts w:hint="eastAsia"/>
        </w:rPr>
        <w:t>较上年预算安排增加</w:t>
      </w:r>
      <w:r>
        <w:rPr>
          <w:rFonts w:hint="eastAsia"/>
          <w:lang w:val="en-US" w:eastAsia="zh-CN"/>
        </w:rPr>
        <w:t>4387.09</w:t>
      </w:r>
      <w:r>
        <w:rPr>
          <w:rFonts w:hint="eastAsia"/>
        </w:rPr>
        <w:t>万元</w:t>
      </w:r>
      <w:r>
        <w:rPr>
          <w:rFonts w:hint="eastAsia"/>
          <w:lang w:eastAsia="zh-CN"/>
        </w:rPr>
        <w:t>；本年收入合计5706.48万元，较上年预算安排增加</w:t>
      </w:r>
      <w:r>
        <w:rPr>
          <w:rFonts w:hint="eastAsia"/>
          <w:lang w:val="en-US" w:eastAsia="zh-CN"/>
        </w:rPr>
        <w:t>968.48</w:t>
      </w:r>
      <w:r>
        <w:rPr>
          <w:rFonts w:hint="eastAsia"/>
          <w:lang w:eastAsia="zh-CN"/>
        </w:rPr>
        <w:t>万元；包括：财政拨款收入3296.48万元，较上年预算安排增加</w:t>
      </w:r>
      <w:r>
        <w:rPr>
          <w:rFonts w:hint="eastAsia"/>
          <w:lang w:val="en-US" w:eastAsia="zh-CN"/>
        </w:rPr>
        <w:t>996.48</w:t>
      </w:r>
      <w:r>
        <w:rPr>
          <w:rFonts w:hint="eastAsia"/>
          <w:lang w:eastAsia="zh-CN"/>
        </w:rPr>
        <w:t>万元；其他收入2410.00万元，较上年预算安排减少</w:t>
      </w:r>
      <w:r>
        <w:rPr>
          <w:rFonts w:hint="eastAsia"/>
          <w:lang w:val="en-US" w:eastAsia="zh-CN"/>
        </w:rPr>
        <w:t>28</w:t>
      </w:r>
      <w:r>
        <w:rPr>
          <w:rFonts w:hint="eastAsia"/>
          <w:lang w:eastAsia="zh-CN"/>
        </w:rPr>
        <w:t>万元。上年结转9355.09万元，较上年预算安排增加</w:t>
      </w:r>
      <w:r>
        <w:rPr>
          <w:rFonts w:hint="eastAsia"/>
          <w:lang w:val="en-US" w:eastAsia="zh-CN"/>
        </w:rPr>
        <w:t>3418.81</w:t>
      </w:r>
      <w:r>
        <w:rPr>
          <w:rFonts w:hint="eastAsia"/>
          <w:lang w:eastAsia="zh-CN"/>
        </w:rPr>
        <w:t>万元。</w:t>
      </w:r>
    </w:p>
    <w:p>
      <w:pPr>
        <w:pStyle w:val="19"/>
        <w:numPr>
          <w:ilvl w:val="0"/>
          <w:numId w:val="0"/>
        </w:numPr>
        <w:bidi w:val="0"/>
        <w:ind w:left="420" w:leftChars="200"/>
        <w:rPr>
          <w:rFonts w:hint="eastAsia"/>
        </w:rPr>
      </w:pPr>
      <w:r>
        <w:rPr>
          <w:rFonts w:hint="eastAsia"/>
        </w:rPr>
        <w:t xml:space="preserve"> </w:t>
      </w:r>
      <w:r>
        <w:rPr>
          <w:rFonts w:hint="eastAsia"/>
          <w:lang w:val="en-US" w:eastAsia="zh-CN"/>
        </w:rPr>
        <w:t>(二)支出预算情况</w:t>
      </w:r>
    </w:p>
    <w:p>
      <w:pPr>
        <w:pStyle w:val="18"/>
        <w:bidi w:val="0"/>
        <w:rPr>
          <w:rFonts w:hint="eastAsia"/>
        </w:rPr>
      </w:pPr>
      <w:r>
        <w:rPr>
          <w:rFonts w:hint="eastAsia"/>
          <w:lang w:eastAsia="zh-CN"/>
        </w:rPr>
        <w:t>2026</w:t>
      </w:r>
      <w:r>
        <w:rPr>
          <w:rFonts w:hint="eastAsia"/>
        </w:rPr>
        <w:t>年</w:t>
      </w:r>
      <w:r>
        <w:rPr>
          <w:rFonts w:hint="eastAsia"/>
          <w:lang w:eastAsia="zh-CN"/>
        </w:rPr>
        <w:t>浮梁县农业农村局</w:t>
      </w:r>
      <w:r>
        <w:rPr>
          <w:rFonts w:hint="eastAsia"/>
        </w:rPr>
        <w:t>支出预算总额为15061.57万元</w:t>
      </w:r>
      <w:r>
        <w:rPr>
          <w:rFonts w:hint="eastAsia"/>
          <w:lang w:eastAsia="zh-CN"/>
        </w:rPr>
        <w:t>，</w:t>
      </w:r>
      <w:r>
        <w:rPr>
          <w:rFonts w:hint="eastAsia"/>
        </w:rPr>
        <w:t>较上年预算安排增加</w:t>
      </w:r>
      <w:r>
        <w:rPr>
          <w:rFonts w:hint="eastAsia"/>
          <w:lang w:val="en-US" w:eastAsia="zh-CN"/>
        </w:rPr>
        <w:t>4387.09</w:t>
      </w:r>
      <w:r>
        <w:rPr>
          <w:rFonts w:hint="eastAsia"/>
        </w:rPr>
        <w:t xml:space="preserve">万元。 </w:t>
      </w:r>
    </w:p>
    <w:p>
      <w:pPr>
        <w:pStyle w:val="18"/>
        <w:bidi w:val="0"/>
        <w:rPr>
          <w:rFonts w:hint="eastAsia"/>
        </w:rPr>
      </w:pPr>
      <w:r>
        <w:rPr>
          <w:rFonts w:hint="eastAsia"/>
        </w:rPr>
        <w:t>按支出项目类别划分：基本支出1881.33万元</w:t>
      </w:r>
      <w:r>
        <w:rPr>
          <w:rFonts w:hint="eastAsia"/>
          <w:lang w:eastAsia="zh-CN"/>
        </w:rPr>
        <w:t>，</w:t>
      </w:r>
      <w:r>
        <w:rPr>
          <w:rFonts w:hint="eastAsia"/>
        </w:rPr>
        <w:t>较上年预算安排增加</w:t>
      </w:r>
      <w:r>
        <w:rPr>
          <w:rFonts w:hint="eastAsia"/>
          <w:lang w:val="en-US" w:eastAsia="zh-CN"/>
        </w:rPr>
        <w:t>411.52</w:t>
      </w:r>
      <w:r>
        <w:rPr>
          <w:rFonts w:hint="eastAsia"/>
        </w:rPr>
        <w:t>万元</w:t>
      </w:r>
      <w:r>
        <w:rPr>
          <w:rFonts w:hint="eastAsia"/>
          <w:lang w:eastAsia="zh-CN"/>
        </w:rPr>
        <w:t>；</w:t>
      </w:r>
      <w:r>
        <w:rPr>
          <w:rFonts w:hint="eastAsia"/>
        </w:rPr>
        <w:t>项目支出13180.24万元</w:t>
      </w:r>
      <w:r>
        <w:rPr>
          <w:rFonts w:hint="eastAsia"/>
          <w:lang w:eastAsia="zh-CN"/>
        </w:rPr>
        <w:t>，</w:t>
      </w:r>
      <w:r>
        <w:rPr>
          <w:rFonts w:hint="eastAsia"/>
        </w:rPr>
        <w:t>较上年预算安排增加</w:t>
      </w:r>
      <w:r>
        <w:rPr>
          <w:rFonts w:hint="eastAsia"/>
          <w:lang w:val="en-US" w:eastAsia="zh-CN"/>
        </w:rPr>
        <w:t>3975.57</w:t>
      </w:r>
      <w:r>
        <w:rPr>
          <w:rFonts w:hint="eastAsia"/>
        </w:rPr>
        <w:t>万元。</w:t>
      </w:r>
    </w:p>
    <w:p>
      <w:pPr>
        <w:pStyle w:val="18"/>
        <w:bidi w:val="0"/>
        <w:rPr>
          <w:rFonts w:hint="eastAsia"/>
        </w:rPr>
      </w:pPr>
      <w:r>
        <w:rPr>
          <w:rFonts w:hint="eastAsia"/>
          <w:color w:val="000000" w:themeColor="text1"/>
          <w:highlight w:val="yellow"/>
          <w14:textFill>
            <w14:solidFill>
              <w14:schemeClr w14:val="tx1"/>
            </w14:solidFill>
          </w14:textFill>
        </w:rPr>
        <w:t>按支出功能科目划分</w:t>
      </w:r>
      <w:r>
        <w:rPr>
          <w:rFonts w:hint="eastAsia"/>
        </w:rPr>
        <w:t>：科学技术支出2.41万元，较上年预算安排增加</w:t>
      </w:r>
      <w:r>
        <w:rPr>
          <w:rFonts w:hint="eastAsia"/>
          <w:lang w:val="en-US" w:eastAsia="zh-CN"/>
        </w:rPr>
        <w:t>2.41</w:t>
      </w:r>
      <w:r>
        <w:rPr>
          <w:rFonts w:hint="eastAsia"/>
        </w:rPr>
        <w:t>万元；社会保障和就业支出241.22万元，较上年预算安排增加</w:t>
      </w:r>
      <w:r>
        <w:rPr>
          <w:rFonts w:hint="eastAsia"/>
          <w:lang w:val="en-US" w:eastAsia="zh-CN"/>
        </w:rPr>
        <w:t>59.54</w:t>
      </w:r>
      <w:r>
        <w:rPr>
          <w:rFonts w:hint="eastAsia"/>
        </w:rPr>
        <w:t>万元；卫生健康支出59.87万元，较上年预算安排增加</w:t>
      </w:r>
      <w:r>
        <w:rPr>
          <w:rFonts w:hint="eastAsia"/>
          <w:lang w:val="en-US" w:eastAsia="zh-CN"/>
        </w:rPr>
        <w:t>10.56</w:t>
      </w:r>
      <w:r>
        <w:rPr>
          <w:rFonts w:hint="eastAsia"/>
        </w:rPr>
        <w:t>万元；节能环保支出110.00万元，较上年预算安排增加</w:t>
      </w:r>
      <w:r>
        <w:rPr>
          <w:rFonts w:hint="eastAsia"/>
          <w:lang w:val="en-US" w:eastAsia="zh-CN"/>
        </w:rPr>
        <w:t>110.00</w:t>
      </w:r>
      <w:r>
        <w:rPr>
          <w:rFonts w:hint="eastAsia"/>
        </w:rPr>
        <w:t>万元；城乡社区支出1908.37万元，较上年预算安排增加</w:t>
      </w:r>
      <w:r>
        <w:rPr>
          <w:rFonts w:hint="eastAsia"/>
          <w:lang w:val="en-US" w:eastAsia="zh-CN"/>
        </w:rPr>
        <w:t>1908.37</w:t>
      </w:r>
      <w:r>
        <w:rPr>
          <w:rFonts w:hint="eastAsia"/>
        </w:rPr>
        <w:t>万元；农林水支出8622.49万元，较上年预算安排增加</w:t>
      </w:r>
      <w:r>
        <w:rPr>
          <w:rFonts w:hint="eastAsia"/>
          <w:lang w:val="en-US" w:eastAsia="zh-CN"/>
        </w:rPr>
        <w:t>3889.75</w:t>
      </w:r>
      <w:r>
        <w:rPr>
          <w:rFonts w:hint="eastAsia"/>
        </w:rPr>
        <w:t>万元；资源勘探工业信息等支出</w:t>
      </w:r>
      <w:r>
        <w:rPr>
          <w:rFonts w:hint="eastAsia"/>
          <w:lang w:val="en-US" w:eastAsia="zh-CN"/>
        </w:rPr>
        <w:t>0</w:t>
      </w:r>
      <w:r>
        <w:rPr>
          <w:rFonts w:hint="eastAsia"/>
        </w:rPr>
        <w:t>.01万元，较上年预算安排增加</w:t>
      </w:r>
      <w:r>
        <w:rPr>
          <w:rFonts w:hint="eastAsia"/>
          <w:lang w:val="en-US" w:eastAsia="zh-CN"/>
        </w:rPr>
        <w:t>0.01</w:t>
      </w:r>
      <w:r>
        <w:rPr>
          <w:rFonts w:hint="eastAsia"/>
        </w:rPr>
        <w:t>万元；自然资源海洋气象等支出265.73万元，较上年预算安排增加</w:t>
      </w:r>
      <w:r>
        <w:rPr>
          <w:rFonts w:hint="eastAsia"/>
          <w:lang w:val="en-US" w:eastAsia="zh-CN"/>
        </w:rPr>
        <w:t>265.73</w:t>
      </w:r>
      <w:r>
        <w:rPr>
          <w:rFonts w:hint="eastAsia"/>
        </w:rPr>
        <w:t>万元；住房保障支出109.81万元，较上年预算安排增加</w:t>
      </w:r>
      <w:r>
        <w:rPr>
          <w:rFonts w:hint="eastAsia"/>
          <w:lang w:val="en-US" w:eastAsia="zh-CN"/>
        </w:rPr>
        <w:t>19.12</w:t>
      </w:r>
      <w:r>
        <w:rPr>
          <w:rFonts w:hint="eastAsia"/>
        </w:rPr>
        <w:t>万元；粮油物资储备支出395.94万元，较上年预算安排增加</w:t>
      </w:r>
      <w:r>
        <w:rPr>
          <w:rFonts w:hint="eastAsia"/>
          <w:lang w:val="en-US" w:eastAsia="zh-CN"/>
        </w:rPr>
        <w:t>395.94</w:t>
      </w:r>
      <w:r>
        <w:rPr>
          <w:rFonts w:hint="eastAsia"/>
        </w:rPr>
        <w:t>万元；其他支出3345.73万元，较上年预算安排增加</w:t>
      </w:r>
      <w:r>
        <w:rPr>
          <w:rFonts w:hint="eastAsia"/>
          <w:lang w:val="en-US" w:eastAsia="zh-CN"/>
        </w:rPr>
        <w:t>3345.73</w:t>
      </w:r>
      <w:bookmarkStart w:id="0" w:name="_GoBack"/>
      <w:bookmarkEnd w:id="0"/>
      <w:r>
        <w:rPr>
          <w:rFonts w:hint="eastAsia"/>
        </w:rPr>
        <w:t>万元。</w:t>
      </w:r>
    </w:p>
    <w:p>
      <w:pPr>
        <w:pStyle w:val="18"/>
        <w:bidi w:val="0"/>
        <w:rPr>
          <w:rFonts w:hint="eastAsia"/>
        </w:rPr>
      </w:pPr>
      <w:r>
        <w:rPr>
          <w:rFonts w:hint="eastAsia"/>
        </w:rPr>
        <w:t>按支出经济分类划分：工资福利支出1711.56万元，较上年预算安排增加</w:t>
      </w:r>
      <w:r>
        <w:rPr>
          <w:rFonts w:hint="eastAsia"/>
          <w:lang w:val="en-US" w:eastAsia="zh-CN"/>
        </w:rPr>
        <w:t>340.51</w:t>
      </w:r>
      <w:r>
        <w:rPr>
          <w:rFonts w:hint="eastAsia"/>
        </w:rPr>
        <w:t>万元；商品和服务支出3125.75万元，较上年预算安排增加</w:t>
      </w:r>
      <w:r>
        <w:rPr>
          <w:rFonts w:hint="eastAsia"/>
          <w:lang w:val="en-US" w:eastAsia="zh-CN"/>
        </w:rPr>
        <w:t>3037.77</w:t>
      </w:r>
      <w:r>
        <w:rPr>
          <w:rFonts w:hint="eastAsia"/>
        </w:rPr>
        <w:t>万元；对个人和家庭的补助478.20万元，较上年预算安排增加</w:t>
      </w:r>
      <w:r>
        <w:rPr>
          <w:rFonts w:hint="eastAsia"/>
          <w:lang w:val="en-US" w:eastAsia="zh-CN"/>
        </w:rPr>
        <w:t>468.32</w:t>
      </w:r>
      <w:r>
        <w:rPr>
          <w:rFonts w:hint="eastAsia"/>
        </w:rPr>
        <w:t>万元；资本性支出（基本建设）3604.42万元，较上年预算安排增加</w:t>
      </w:r>
      <w:r>
        <w:rPr>
          <w:rFonts w:hint="eastAsia"/>
          <w:lang w:val="en-US" w:eastAsia="zh-CN"/>
        </w:rPr>
        <w:t>2969.75</w:t>
      </w:r>
      <w:r>
        <w:rPr>
          <w:rFonts w:hint="eastAsia"/>
        </w:rPr>
        <w:t>万元；资本性支出215.18万元，较上年预算安排增加</w:t>
      </w:r>
      <w:r>
        <w:rPr>
          <w:rFonts w:hint="eastAsia"/>
          <w:lang w:val="en-US" w:eastAsia="zh-CN"/>
        </w:rPr>
        <w:t>214.28</w:t>
      </w:r>
      <w:r>
        <w:rPr>
          <w:rFonts w:hint="eastAsia"/>
        </w:rPr>
        <w:t>万元；对企业补助110.00万元，较上年预算安排增加</w:t>
      </w:r>
      <w:r>
        <w:rPr>
          <w:rFonts w:hint="eastAsia"/>
          <w:lang w:val="en-US" w:eastAsia="zh-CN"/>
        </w:rPr>
        <w:t>110</w:t>
      </w:r>
      <w:r>
        <w:rPr>
          <w:rFonts w:hint="eastAsia"/>
        </w:rPr>
        <w:t>万元；其他支出5816.47万元，较上年预算安排增加</w:t>
      </w:r>
      <w:r>
        <w:rPr>
          <w:rFonts w:hint="eastAsia"/>
          <w:lang w:val="en-US" w:eastAsia="zh-CN"/>
        </w:rPr>
        <w:t>477.33</w:t>
      </w:r>
      <w:r>
        <w:rPr>
          <w:rFonts w:hint="eastAsia"/>
        </w:rPr>
        <w:t>万元。</w:t>
      </w:r>
    </w:p>
    <w:p>
      <w:pPr>
        <w:pStyle w:val="19"/>
        <w:numPr>
          <w:ilvl w:val="0"/>
          <w:numId w:val="0"/>
        </w:numPr>
        <w:bidi w:val="0"/>
        <w:ind w:left="420" w:leftChars="200"/>
        <w:rPr>
          <w:rFonts w:hint="eastAsia"/>
          <w:lang w:val="en-US" w:eastAsia="zh-CN"/>
        </w:rPr>
      </w:pPr>
      <w:r>
        <w:rPr>
          <w:rFonts w:hint="eastAsia"/>
          <w:lang w:val="en-US" w:eastAsia="zh-CN"/>
        </w:rPr>
        <w:t xml:space="preserve"> (三)财政拨款支出情况</w:t>
      </w:r>
    </w:p>
    <w:p>
      <w:pPr>
        <w:pStyle w:val="18"/>
        <w:bidi w:val="0"/>
        <w:rPr>
          <w:rFonts w:hint="eastAsia"/>
        </w:rPr>
      </w:pPr>
      <w:r>
        <w:rPr>
          <w:rFonts w:hint="eastAsia"/>
          <w:lang w:eastAsia="zh-CN"/>
        </w:rPr>
        <w:t>2026</w:t>
      </w:r>
      <w:r>
        <w:rPr>
          <w:rFonts w:hint="eastAsia"/>
        </w:rPr>
        <w:t>年</w:t>
      </w:r>
      <w:r>
        <w:rPr>
          <w:rFonts w:hint="eastAsia"/>
          <w:lang w:eastAsia="zh-CN"/>
        </w:rPr>
        <w:t>浮梁县农业农村局</w:t>
      </w:r>
      <w:r>
        <w:rPr>
          <w:rFonts w:hint="eastAsia"/>
        </w:rPr>
        <w:t>财政拨款支出预算总额12651.57万元,较上年预算安排增加</w:t>
      </w:r>
      <w:r>
        <w:rPr>
          <w:rFonts w:hint="eastAsia"/>
          <w:lang w:val="en-US" w:eastAsia="zh-CN"/>
        </w:rPr>
        <w:t>1977.09</w:t>
      </w:r>
      <w:r>
        <w:rPr>
          <w:rFonts w:hint="eastAsia"/>
        </w:rPr>
        <w:t>万元。</w:t>
      </w:r>
    </w:p>
    <w:p>
      <w:pPr>
        <w:pStyle w:val="18"/>
        <w:bidi w:val="0"/>
        <w:rPr>
          <w:rFonts w:hint="eastAsia"/>
        </w:rPr>
      </w:pPr>
      <w:r>
        <w:rPr>
          <w:rFonts w:hint="eastAsia"/>
        </w:rPr>
        <w:t>按支出功能科目划分：科学技术支出2.41万元，社会保障和就业支出241.22万元，卫生健康支出59.87万元，节能环保支出110.00万元，城乡社区支出1908.37万元，农林水支出6212.49万元，资源勘探工业信息等支出0.01万元，自然资源海洋气象等支出265.73万元，住房保障支出109.81万元，粮油物资储备支出395.94万元，其他支出3345.73万元。</w:t>
      </w:r>
    </w:p>
    <w:p>
      <w:pPr>
        <w:pStyle w:val="18"/>
        <w:bidi w:val="0"/>
        <w:rPr>
          <w:rFonts w:hint="eastAsia"/>
        </w:rPr>
      </w:pPr>
      <w:r>
        <w:rPr>
          <w:rFonts w:hint="eastAsia"/>
        </w:rPr>
        <w:t>按支出项目类别划分：基本支出1801.33万元,项目支出10850.24万元。</w:t>
      </w:r>
    </w:p>
    <w:p>
      <w:pPr>
        <w:pStyle w:val="18"/>
        <w:bidi w:val="0"/>
        <w:rPr>
          <w:rFonts w:hint="eastAsia"/>
        </w:rPr>
      </w:pPr>
      <w:r>
        <w:rPr>
          <w:rFonts w:hint="eastAsia"/>
        </w:rPr>
        <w:t>按支</w:t>
      </w:r>
      <w:r>
        <w:rPr>
          <w:rFonts w:hint="eastAsia"/>
          <w:lang w:val="en-US" w:eastAsia="zh-CN"/>
        </w:rPr>
        <w:t>出经济分类</w:t>
      </w:r>
      <w:r>
        <w:rPr>
          <w:rFonts w:hint="eastAsia"/>
        </w:rPr>
        <w:t>划分：工资福利支出1711.56万元，商品和服务支出717.75万元，对个人和家庭的补助478.20万元，资本性支出（基本建设）3604.42万元，资本性支出213.18万元，对企业补助110.00万元，其他支出5816.47万元。</w:t>
      </w:r>
    </w:p>
    <w:p>
      <w:pPr>
        <w:pStyle w:val="19"/>
        <w:numPr>
          <w:ilvl w:val="0"/>
          <w:numId w:val="0"/>
        </w:numPr>
        <w:bidi w:val="0"/>
        <w:ind w:firstLine="643" w:firstLineChars="200"/>
        <w:rPr>
          <w:rFonts w:hint="eastAsia"/>
          <w:lang w:val="en-US" w:eastAsia="zh-CN"/>
        </w:rPr>
      </w:pPr>
      <w:r>
        <w:rPr>
          <w:rFonts w:hint="eastAsia"/>
        </w:rPr>
        <w:t>(</w:t>
      </w:r>
      <w:r>
        <w:rPr>
          <w:rFonts w:hint="eastAsia"/>
          <w:lang w:val="en-US" w:eastAsia="zh-CN"/>
        </w:rPr>
        <w:t>四)政府性基金情况</w:t>
      </w:r>
    </w:p>
    <w:p>
      <w:pPr>
        <w:pStyle w:val="18"/>
        <w:bidi w:val="0"/>
        <w:rPr>
          <w:rFonts w:hint="eastAsia"/>
          <w:lang w:eastAsia="zh-CN"/>
        </w:rPr>
      </w:pPr>
      <w:r>
        <w:rPr>
          <w:rFonts w:hint="eastAsia"/>
          <w:lang w:eastAsia="zh-CN"/>
        </w:rPr>
        <w:t>2026</w:t>
      </w:r>
      <w:r>
        <w:rPr>
          <w:rFonts w:hint="eastAsia"/>
        </w:rPr>
        <w:t>年</w:t>
      </w:r>
      <w:r>
        <w:rPr>
          <w:rFonts w:hint="eastAsia"/>
          <w:lang w:eastAsia="zh-CN"/>
        </w:rPr>
        <w:t>浮梁县农业农村局政府性基金支出预算总额</w:t>
      </w:r>
      <w:r>
        <w:rPr>
          <w:rFonts w:hint="eastAsia"/>
          <w:u w:val="none"/>
          <w:lang w:eastAsia="zh-CN"/>
        </w:rPr>
        <w:t>837.53</w:t>
      </w:r>
      <w:r>
        <w:rPr>
          <w:rFonts w:hint="eastAsia"/>
          <w:lang w:eastAsia="zh-CN"/>
        </w:rPr>
        <w:t>万元,较上年预算安排增加</w:t>
      </w:r>
      <w:r>
        <w:rPr>
          <w:rFonts w:hint="eastAsia"/>
          <w:lang w:val="en-US" w:eastAsia="zh-CN"/>
        </w:rPr>
        <w:t>837.53</w:t>
      </w:r>
      <w:r>
        <w:rPr>
          <w:rFonts w:hint="eastAsia"/>
          <w:lang w:eastAsia="zh-CN"/>
        </w:rPr>
        <w:t>万元。</w:t>
      </w:r>
    </w:p>
    <w:p>
      <w:pPr>
        <w:pStyle w:val="18"/>
        <w:bidi w:val="0"/>
        <w:rPr>
          <w:rFonts w:hint="eastAsia"/>
        </w:rPr>
      </w:pPr>
      <w:r>
        <w:rPr>
          <w:rFonts w:hint="eastAsia"/>
        </w:rPr>
        <w:t>按支出项目类别划分：项目支出837.53万元。</w:t>
      </w:r>
    </w:p>
    <w:p>
      <w:pPr>
        <w:pStyle w:val="18"/>
        <w:bidi w:val="0"/>
        <w:rPr>
          <w:rFonts w:hint="eastAsia" w:eastAsia="仿宋_GB2312"/>
          <w:lang w:eastAsia="zh-CN"/>
        </w:rPr>
      </w:pPr>
      <w:r>
        <w:rPr>
          <w:rFonts w:hint="eastAsia"/>
        </w:rPr>
        <w:t>按支</w:t>
      </w:r>
      <w:r>
        <w:rPr>
          <w:rFonts w:hint="eastAsia"/>
          <w:lang w:val="en-US" w:eastAsia="zh-CN"/>
        </w:rPr>
        <w:t>出经济分类</w:t>
      </w:r>
      <w:r>
        <w:rPr>
          <w:rFonts w:hint="eastAsia"/>
        </w:rPr>
        <w:t>划分：其他支出837.53万元</w:t>
      </w:r>
      <w:r>
        <w:rPr>
          <w:rFonts w:hint="eastAsia"/>
          <w:lang w:eastAsia="zh-CN"/>
        </w:rPr>
        <w:t>。</w:t>
      </w:r>
    </w:p>
    <w:p>
      <w:pPr>
        <w:pStyle w:val="18"/>
        <w:bidi w:val="0"/>
        <w:rPr>
          <w:rFonts w:hint="eastAsia"/>
        </w:rPr>
      </w:pPr>
      <w:r>
        <w:rPr>
          <w:rFonts w:hint="eastAsia"/>
        </w:rPr>
        <w:t>(如无，则说明“本部门没有使用政府性基金预算拨款安排的支出”)</w:t>
      </w:r>
    </w:p>
    <w:p>
      <w:pPr>
        <w:pStyle w:val="19"/>
        <w:numPr>
          <w:ilvl w:val="0"/>
          <w:numId w:val="0"/>
        </w:numPr>
        <w:bidi w:val="0"/>
        <w:ind w:firstLine="643" w:firstLineChars="200"/>
        <w:rPr>
          <w:rFonts w:hint="eastAsia"/>
          <w:lang w:val="en-US" w:eastAsia="zh-CN"/>
        </w:rPr>
      </w:pPr>
      <w:r>
        <w:rPr>
          <w:rFonts w:hint="eastAsia"/>
          <w:lang w:val="en-US" w:eastAsia="zh-CN"/>
        </w:rPr>
        <w:t>(五)国有资本经营情况</w:t>
      </w:r>
    </w:p>
    <w:p>
      <w:pPr>
        <w:pStyle w:val="18"/>
        <w:bidi w:val="0"/>
        <w:rPr>
          <w:rFonts w:hint="eastAsia" w:eastAsia="仿宋_GB2312"/>
          <w:lang w:eastAsia="zh-CN"/>
        </w:rPr>
      </w:pPr>
      <w:r>
        <w:rPr>
          <w:rFonts w:hint="eastAsia"/>
        </w:rPr>
        <w:t>本部门没有使用国有资本经营预算拨款安排的支出</w:t>
      </w:r>
      <w:r>
        <w:rPr>
          <w:rFonts w:hint="eastAsia"/>
          <w:lang w:eastAsia="zh-CN"/>
        </w:rPr>
        <w:t>。</w:t>
      </w:r>
    </w:p>
    <w:p>
      <w:pPr>
        <w:pStyle w:val="19"/>
        <w:numPr>
          <w:ilvl w:val="0"/>
          <w:numId w:val="0"/>
        </w:numPr>
        <w:bidi w:val="0"/>
        <w:ind w:firstLine="643" w:firstLineChars="200"/>
        <w:rPr>
          <w:rFonts w:hint="eastAsia"/>
          <w:lang w:val="en-US" w:eastAsia="zh-CN"/>
        </w:rPr>
      </w:pPr>
      <w:r>
        <w:rPr>
          <w:rFonts w:hint="eastAsia"/>
          <w:lang w:val="en-US" w:eastAsia="zh-CN"/>
        </w:rPr>
        <w:t>(六)机关运行经费等重要事项的说明</w:t>
      </w:r>
    </w:p>
    <w:p>
      <w:pPr>
        <w:pStyle w:val="18"/>
        <w:bidi w:val="0"/>
        <w:rPr>
          <w:rFonts w:ascii="Adobe 仿宋 Std R" w:hAnsi="Adobe 仿宋 Std R" w:eastAsia="Adobe 仿宋 Std R"/>
          <w:sz w:val="32"/>
          <w:szCs w:val="32"/>
        </w:rPr>
      </w:pPr>
      <w:r>
        <w:rPr>
          <w:rFonts w:hint="eastAsia"/>
          <w:lang w:eastAsia="zh-CN"/>
        </w:rPr>
        <w:t>2026</w:t>
      </w:r>
      <w:r>
        <w:rPr>
          <w:rFonts w:hint="eastAsia"/>
        </w:rPr>
        <w:t>年部门机关运行费预算</w:t>
      </w:r>
      <w:r>
        <w:rPr>
          <w:rFonts w:hint="eastAsia"/>
          <w:lang w:val="en-US" w:eastAsia="zh-CN"/>
        </w:rPr>
        <w:t>48.804</w:t>
      </w:r>
      <w:r>
        <w:rPr>
          <w:rFonts w:hint="eastAsia"/>
        </w:rPr>
        <w:t>万元，比2025年预算减少</w:t>
      </w:r>
      <w:r>
        <w:rPr>
          <w:rFonts w:hint="eastAsia"/>
          <w:lang w:val="en-US" w:eastAsia="zh-CN"/>
        </w:rPr>
        <w:t>47.846</w:t>
      </w:r>
      <w:r>
        <w:rPr>
          <w:rFonts w:hint="eastAsia"/>
        </w:rPr>
        <w:t>万元，下降</w:t>
      </w:r>
      <w:r>
        <w:rPr>
          <w:rFonts w:hint="eastAsia"/>
          <w:lang w:val="en-US" w:eastAsia="zh-CN"/>
        </w:rPr>
        <w:t>49.50</w:t>
      </w:r>
      <w:r>
        <w:rPr>
          <w:rFonts w:hint="eastAsia"/>
        </w:rPr>
        <w:t>%。</w:t>
      </w:r>
    </w:p>
    <w:p>
      <w:pPr>
        <w:pStyle w:val="19"/>
        <w:numPr>
          <w:ilvl w:val="0"/>
          <w:numId w:val="0"/>
        </w:numPr>
        <w:bidi w:val="0"/>
        <w:ind w:firstLine="643" w:firstLineChars="200"/>
        <w:rPr>
          <w:rFonts w:hint="eastAsia"/>
          <w:lang w:val="en-US" w:eastAsia="zh-CN"/>
        </w:rPr>
      </w:pPr>
      <w:r>
        <w:rPr>
          <w:rFonts w:hint="eastAsia"/>
          <w:lang w:val="en-US" w:eastAsia="zh-CN"/>
        </w:rPr>
        <w:t>(七)政府采购情况</w:t>
      </w:r>
    </w:p>
    <w:p>
      <w:pPr>
        <w:pStyle w:val="18"/>
        <w:bidi w:val="0"/>
        <w:rPr>
          <w:rFonts w:hint="eastAsia"/>
          <w:lang w:eastAsia="zh-CN"/>
        </w:rPr>
      </w:pPr>
      <w:r>
        <w:rPr>
          <w:rFonts w:hint="eastAsia"/>
          <w:lang w:eastAsia="zh-CN"/>
        </w:rPr>
        <w:t>2026年部门所属各单位政府采购总额 240.00</w:t>
      </w:r>
      <w:r>
        <w:rPr>
          <w:rFonts w:hint="eastAsia"/>
          <w:lang w:val="en-US" w:eastAsia="zh-CN"/>
        </w:rPr>
        <w:t xml:space="preserve"> </w:t>
      </w:r>
      <w:r>
        <w:rPr>
          <w:rFonts w:hint="eastAsia"/>
          <w:lang w:eastAsia="zh-CN"/>
        </w:rPr>
        <w:t>万元,其中: 政府采购货物预算  2.00 万元, 政府采购工程预算 0.00</w:t>
      </w:r>
      <w:r>
        <w:rPr>
          <w:rFonts w:hint="eastAsia"/>
          <w:lang w:val="en-US" w:eastAsia="zh-CN"/>
        </w:rPr>
        <w:t xml:space="preserve"> </w:t>
      </w:r>
      <w:r>
        <w:rPr>
          <w:rFonts w:hint="eastAsia"/>
          <w:lang w:eastAsia="zh-CN"/>
        </w:rPr>
        <w:t>万元, 政府采购服务预算 238.00 万元。</w:t>
      </w:r>
    </w:p>
    <w:p>
      <w:pPr>
        <w:pStyle w:val="19"/>
        <w:numPr>
          <w:ilvl w:val="0"/>
          <w:numId w:val="0"/>
        </w:numPr>
        <w:bidi w:val="0"/>
        <w:ind w:firstLine="643" w:firstLineChars="200"/>
        <w:rPr>
          <w:rFonts w:hint="eastAsia"/>
          <w:lang w:val="en-US" w:eastAsia="zh-CN"/>
        </w:rPr>
      </w:pPr>
      <w:r>
        <w:rPr>
          <w:rFonts w:hint="eastAsia"/>
          <w:lang w:val="en-US" w:eastAsia="zh-CN"/>
        </w:rPr>
        <w:t>(八)国有资产占有使用情况</w:t>
      </w:r>
    </w:p>
    <w:p>
      <w:pPr>
        <w:pStyle w:val="18"/>
        <w:bidi w:val="0"/>
        <w:rPr>
          <w:rFonts w:hint="eastAsia"/>
          <w:lang w:eastAsia="zh-CN"/>
        </w:rPr>
      </w:pPr>
      <w:r>
        <w:rPr>
          <w:rFonts w:hint="eastAsia"/>
          <w:lang w:eastAsia="zh-CN"/>
        </w:rPr>
        <w:t>截至2025年7月31日, 部门共有车辆</w:t>
      </w:r>
      <w:r>
        <w:rPr>
          <w:rFonts w:hint="eastAsia"/>
          <w:lang w:val="en-US" w:eastAsia="zh-CN"/>
        </w:rPr>
        <w:t>3</w:t>
      </w:r>
      <w:r>
        <w:rPr>
          <w:rFonts w:hint="eastAsia"/>
          <w:lang w:eastAsia="zh-CN"/>
        </w:rPr>
        <w:t>辆,其中：一般公务用车实有数</w:t>
      </w:r>
      <w:r>
        <w:rPr>
          <w:rFonts w:hint="eastAsia"/>
          <w:lang w:val="en-US" w:eastAsia="zh-CN"/>
        </w:rPr>
        <w:t>2</w:t>
      </w:r>
      <w:r>
        <w:rPr>
          <w:rFonts w:hint="eastAsia"/>
          <w:lang w:eastAsia="zh-CN"/>
        </w:rPr>
        <w:t>辆。</w:t>
      </w:r>
    </w:p>
    <w:p>
      <w:pPr>
        <w:pStyle w:val="18"/>
        <w:bidi w:val="0"/>
        <w:rPr>
          <w:rFonts w:hint="eastAsia"/>
          <w:lang w:eastAsia="zh-CN"/>
        </w:rPr>
      </w:pPr>
      <w:r>
        <w:rPr>
          <w:rFonts w:hint="eastAsia"/>
          <w:lang w:eastAsia="zh-CN"/>
        </w:rPr>
        <w:t>2026年部门预算安排购置车辆</w:t>
      </w:r>
      <w:r>
        <w:rPr>
          <w:rFonts w:hint="eastAsia"/>
          <w:lang w:val="en-US" w:eastAsia="zh-CN"/>
        </w:rPr>
        <w:t>0</w:t>
      </w:r>
      <w:r>
        <w:rPr>
          <w:rFonts w:hint="eastAsia"/>
          <w:lang w:eastAsia="zh-CN"/>
        </w:rPr>
        <w:t>辆，安排购置单位价值200万元以上大型设备具体为：</w:t>
      </w:r>
      <w:r>
        <w:rPr>
          <w:rFonts w:hint="eastAsia"/>
          <w:lang w:val="en-US" w:eastAsia="zh-CN"/>
        </w:rPr>
        <w:t>无</w:t>
      </w:r>
      <w:r>
        <w:rPr>
          <w:rFonts w:hint="eastAsia"/>
          <w:lang w:eastAsia="zh-CN"/>
        </w:rPr>
        <w:t>。</w:t>
      </w:r>
    </w:p>
    <w:p>
      <w:pPr>
        <w:pStyle w:val="19"/>
        <w:numPr>
          <w:ilvl w:val="0"/>
          <w:numId w:val="0"/>
        </w:numPr>
        <w:bidi w:val="0"/>
        <w:ind w:firstLine="643" w:firstLineChars="200"/>
        <w:rPr>
          <w:rFonts w:hint="eastAsia"/>
          <w:lang w:eastAsia="zh-CN"/>
        </w:rPr>
      </w:pPr>
      <w:r>
        <w:rPr>
          <w:rFonts w:hint="eastAsia"/>
          <w:lang w:val="en-US" w:eastAsia="zh-CN"/>
        </w:rPr>
        <w:t>(九)xx项目情况说明</w:t>
      </w:r>
    </w:p>
    <w:p>
      <w:pPr>
        <w:pStyle w:val="18"/>
        <w:bidi w:val="0"/>
        <w:rPr>
          <w:rFonts w:hint="eastAsia"/>
          <w:lang w:eastAsia="zh-CN"/>
        </w:rPr>
      </w:pPr>
      <w:r>
        <w:rPr>
          <w:rFonts w:hint="eastAsia"/>
          <w:lang w:val="en-US" w:eastAsia="zh-CN"/>
        </w:rPr>
        <w:t>详见项目支出绩效目标表</w:t>
      </w:r>
    </w:p>
    <w:p>
      <w:pPr>
        <w:pStyle w:val="17"/>
        <w:numPr>
          <w:ilvl w:val="0"/>
          <w:numId w:val="0"/>
        </w:numPr>
        <w:bidi w:val="0"/>
        <w:ind w:left="420" w:leftChars="200" w:firstLine="321" w:firstLineChars="100"/>
        <w:rPr>
          <w:rFonts w:hint="eastAsia" w:ascii="楷体_GB2312" w:eastAsia="楷体_GB2312"/>
          <w:b/>
          <w:sz w:val="32"/>
          <w:szCs w:val="30"/>
        </w:rPr>
      </w:pPr>
      <w:r>
        <w:rPr>
          <w:rFonts w:hint="eastAsia" w:ascii="楷体_GB2312" w:eastAsia="楷体_GB2312"/>
          <w:b/>
          <w:sz w:val="32"/>
          <w:szCs w:val="30"/>
        </w:rPr>
        <w:t>二、</w:t>
      </w:r>
      <w:r>
        <w:rPr>
          <w:rFonts w:hint="eastAsia" w:ascii="楷体_GB2312" w:eastAsia="楷体_GB2312"/>
          <w:b/>
          <w:sz w:val="32"/>
          <w:szCs w:val="30"/>
          <w:lang w:eastAsia="zh-CN"/>
        </w:rPr>
        <w:t>2026</w:t>
      </w:r>
      <w:r>
        <w:rPr>
          <w:rFonts w:hint="eastAsia" w:ascii="楷体_GB2312" w:eastAsia="楷体_GB2312"/>
          <w:b/>
          <w:sz w:val="32"/>
          <w:szCs w:val="30"/>
        </w:rPr>
        <w:t>年财政拨款“三公”经费预算情况说明</w:t>
      </w:r>
    </w:p>
    <w:p>
      <w:pPr>
        <w:pStyle w:val="18"/>
        <w:bidi w:val="0"/>
        <w:rPr>
          <w:rFonts w:hint="eastAsia"/>
          <w:lang w:eastAsia="zh-CN"/>
        </w:rPr>
      </w:pPr>
      <w:r>
        <w:rPr>
          <w:rFonts w:hint="eastAsia"/>
          <w:lang w:eastAsia="zh-CN"/>
        </w:rPr>
        <w:t>2026年浮梁县农业农村局财政拨款"三公"经费安排14.07万元，其中：</w:t>
      </w:r>
    </w:p>
    <w:p>
      <w:pPr>
        <w:pStyle w:val="18"/>
        <w:bidi w:val="0"/>
        <w:rPr>
          <w:rFonts w:hint="eastAsia"/>
          <w:lang w:eastAsia="zh-CN"/>
        </w:rPr>
      </w:pPr>
      <w:r>
        <w:rPr>
          <w:rFonts w:hint="eastAsia"/>
          <w:lang w:eastAsia="zh-CN"/>
        </w:rPr>
        <w:t>因公出国0.00万元,比上年增（减）</w:t>
      </w:r>
      <w:r>
        <w:rPr>
          <w:rFonts w:hint="eastAsia"/>
          <w:lang w:val="en-US" w:eastAsia="zh-CN"/>
        </w:rPr>
        <w:t>0</w:t>
      </w:r>
      <w:r>
        <w:rPr>
          <w:rFonts w:hint="eastAsia"/>
          <w:lang w:eastAsia="zh-CN"/>
        </w:rPr>
        <w:t>万元，主要原因是：与上年安排保持一致。</w:t>
      </w:r>
    </w:p>
    <w:p>
      <w:pPr>
        <w:pStyle w:val="18"/>
        <w:bidi w:val="0"/>
        <w:rPr>
          <w:rFonts w:hint="eastAsia"/>
          <w:lang w:eastAsia="zh-CN"/>
        </w:rPr>
      </w:pPr>
      <w:r>
        <w:rPr>
          <w:rFonts w:hint="eastAsia"/>
          <w:lang w:eastAsia="zh-CN"/>
        </w:rPr>
        <w:t>公务接待6.30万元,比上年减</w:t>
      </w:r>
      <w:r>
        <w:rPr>
          <w:rFonts w:hint="eastAsia"/>
          <w:lang w:val="en-US" w:eastAsia="zh-CN"/>
        </w:rPr>
        <w:t>3.5</w:t>
      </w:r>
      <w:r>
        <w:rPr>
          <w:rFonts w:hint="eastAsia"/>
          <w:lang w:eastAsia="zh-CN"/>
        </w:rPr>
        <w:t>万元，主要原因是：</w:t>
      </w:r>
      <w:r>
        <w:rPr>
          <w:rFonts w:hint="eastAsia"/>
          <w:lang w:val="en-US" w:eastAsia="zh-CN"/>
        </w:rPr>
        <w:t>开源节流，减少公务招待开支</w:t>
      </w:r>
      <w:r>
        <w:rPr>
          <w:rFonts w:hint="eastAsia"/>
          <w:lang w:eastAsia="zh-CN"/>
        </w:rPr>
        <w:t>。</w:t>
      </w:r>
    </w:p>
    <w:p>
      <w:pPr>
        <w:pStyle w:val="18"/>
        <w:bidi w:val="0"/>
        <w:rPr>
          <w:rFonts w:hint="eastAsia"/>
          <w:lang w:eastAsia="zh-CN"/>
        </w:rPr>
      </w:pPr>
      <w:r>
        <w:rPr>
          <w:rFonts w:hint="eastAsia"/>
          <w:lang w:eastAsia="zh-CN"/>
        </w:rPr>
        <w:t>公务用车运行7.77万元,比上年增（减）</w:t>
      </w:r>
      <w:r>
        <w:rPr>
          <w:rFonts w:hint="eastAsia"/>
          <w:lang w:val="en-US" w:eastAsia="zh-CN"/>
        </w:rPr>
        <w:t>0</w:t>
      </w:r>
      <w:r>
        <w:rPr>
          <w:rFonts w:hint="eastAsia"/>
          <w:lang w:eastAsia="zh-CN"/>
        </w:rPr>
        <w:t>万元，主要原因是：与上年安排保持一致。</w:t>
      </w:r>
    </w:p>
    <w:p>
      <w:pPr>
        <w:pStyle w:val="18"/>
        <w:bidi w:val="0"/>
        <w:rPr>
          <w:rFonts w:hint="eastAsia"/>
          <w:lang w:eastAsia="zh-CN"/>
        </w:rPr>
      </w:pPr>
      <w:r>
        <w:rPr>
          <w:rFonts w:hint="eastAsia"/>
          <w:lang w:eastAsia="zh-CN"/>
        </w:rPr>
        <w:t>公务用车购置0.00万元,比上年增（减）</w:t>
      </w:r>
      <w:r>
        <w:rPr>
          <w:rFonts w:hint="eastAsia"/>
          <w:lang w:val="en-US" w:eastAsia="zh-CN"/>
        </w:rPr>
        <w:t>0</w:t>
      </w:r>
      <w:r>
        <w:rPr>
          <w:rFonts w:hint="eastAsia"/>
          <w:lang w:eastAsia="zh-CN"/>
        </w:rPr>
        <w:t>万元，主要原因是：与上年安排保持一致。</w:t>
      </w:r>
    </w:p>
    <w:p>
      <w:pPr>
        <w:pStyle w:val="18"/>
        <w:bidi w:val="0"/>
        <w:rPr>
          <w:rFonts w:hint="eastAsia"/>
          <w:lang w:eastAsia="zh-CN"/>
        </w:rPr>
      </w:pPr>
      <w:r>
        <w:rPr>
          <w:rFonts w:hint="eastAsia"/>
          <w:lang w:eastAsia="zh-CN"/>
        </w:rPr>
        <w:t>（增减变化为0的也请填写，并在主要原因说明“与上年安排保持一致”）</w:t>
      </w:r>
    </w:p>
    <w:p>
      <w:pPr>
        <w:rPr>
          <w:rStyle w:val="12"/>
          <w:rFonts w:hint="eastAsia" w:ascii="仿宋" w:hAnsi="仿宋" w:eastAsia="仿宋"/>
          <w:sz w:val="32"/>
          <w:szCs w:val="32"/>
        </w:rPr>
      </w:pPr>
      <w:r>
        <w:rPr>
          <w:rStyle w:val="12"/>
          <w:rFonts w:hint="eastAsia" w:ascii="仿宋" w:hAnsi="仿宋" w:eastAsia="仿宋"/>
          <w:sz w:val="32"/>
          <w:szCs w:val="32"/>
        </w:rPr>
        <w:br w:type="page"/>
      </w:r>
    </w:p>
    <w:p>
      <w:pPr>
        <w:pStyle w:val="17"/>
        <w:numPr>
          <w:ilvl w:val="0"/>
          <w:numId w:val="0"/>
        </w:numPr>
        <w:bidi w:val="0"/>
        <w:ind w:left="420" w:leftChars="200"/>
        <w:jc w:val="center"/>
        <w:rPr>
          <w:rFonts w:hint="eastAsia"/>
          <w:lang w:val="en-US" w:eastAsia="zh-CN"/>
        </w:rPr>
      </w:pPr>
      <w:r>
        <w:rPr>
          <w:rFonts w:hint="eastAsia"/>
          <w:lang w:val="en-US" w:eastAsia="zh-CN"/>
        </w:rPr>
        <w:t>第四部分   名词解释</w:t>
      </w:r>
    </w:p>
    <w:p>
      <w:pPr>
        <w:pStyle w:val="17"/>
        <w:numPr>
          <w:ilvl w:val="0"/>
          <w:numId w:val="0"/>
        </w:numPr>
        <w:bidi w:val="0"/>
        <w:ind w:left="420" w:leftChars="200" w:firstLine="321" w:firstLineChars="100"/>
        <w:rPr>
          <w:rFonts w:hint="eastAsia" w:ascii="楷体_GB2312" w:eastAsia="楷体_GB2312"/>
          <w:b/>
          <w:sz w:val="32"/>
          <w:szCs w:val="30"/>
        </w:rPr>
      </w:pPr>
      <w:r>
        <w:rPr>
          <w:rFonts w:hint="eastAsia" w:ascii="楷体_GB2312" w:eastAsia="楷体_GB2312"/>
          <w:b/>
          <w:sz w:val="32"/>
          <w:szCs w:val="30"/>
        </w:rPr>
        <w:t>一、收入科目</w:t>
      </w:r>
    </w:p>
    <w:p>
      <w:pPr>
        <w:pStyle w:val="18"/>
        <w:bidi w:val="0"/>
        <w:rPr>
          <w:rFonts w:hint="eastAsia"/>
          <w:lang w:eastAsia="zh-CN"/>
        </w:rPr>
      </w:pPr>
      <w:r>
        <w:rPr>
          <w:rFonts w:hint="eastAsia"/>
          <w:lang w:eastAsia="zh-CN"/>
        </w:rPr>
        <w:t>各部门结合实际进行解释。</w:t>
      </w:r>
    </w:p>
    <w:p>
      <w:pPr>
        <w:pStyle w:val="18"/>
        <w:bidi w:val="0"/>
        <w:rPr>
          <w:rFonts w:hint="eastAsia"/>
          <w:lang w:eastAsia="zh-CN"/>
        </w:rPr>
      </w:pPr>
      <w:r>
        <w:rPr>
          <w:rFonts w:hint="eastAsia"/>
          <w:lang w:eastAsia="zh-CN"/>
        </w:rPr>
        <w:t>（</w:t>
      </w:r>
      <w:r>
        <w:rPr>
          <w:rFonts w:hint="eastAsia"/>
          <w:lang w:val="en-US" w:eastAsia="zh-CN"/>
        </w:rPr>
        <w:t>一</w:t>
      </w:r>
      <w:r>
        <w:rPr>
          <w:rFonts w:hint="eastAsia"/>
          <w:lang w:eastAsia="zh-CN"/>
        </w:rPr>
        <w:t>）财政拨款：指省级财政当年拨付的资金。</w:t>
      </w:r>
    </w:p>
    <w:p>
      <w:pPr>
        <w:pStyle w:val="18"/>
        <w:bidi w:val="0"/>
        <w:rPr>
          <w:rFonts w:hint="eastAsia"/>
          <w:lang w:eastAsia="zh-CN"/>
        </w:rPr>
      </w:pPr>
      <w:r>
        <w:rPr>
          <w:rFonts w:hint="eastAsia"/>
          <w:lang w:eastAsia="zh-CN"/>
        </w:rPr>
        <w:t>（</w:t>
      </w:r>
      <w:r>
        <w:rPr>
          <w:rFonts w:hint="eastAsia"/>
          <w:lang w:val="en-US" w:eastAsia="zh-CN"/>
        </w:rPr>
        <w:t>二</w:t>
      </w:r>
      <w:r>
        <w:rPr>
          <w:rFonts w:hint="eastAsia"/>
          <w:lang w:eastAsia="zh-CN"/>
        </w:rPr>
        <w:t>）教育收费资金收入：指实行专项管理的高中以上学费、住宿费，高校委托培养费，函大、电大、夜大及短训班培训费等教育收费取得的收入。</w:t>
      </w:r>
    </w:p>
    <w:p>
      <w:pPr>
        <w:pStyle w:val="18"/>
        <w:bidi w:val="0"/>
        <w:rPr>
          <w:rFonts w:hint="eastAsia"/>
          <w:lang w:eastAsia="zh-CN"/>
        </w:rPr>
      </w:pPr>
      <w:r>
        <w:rPr>
          <w:rFonts w:hint="eastAsia"/>
          <w:lang w:eastAsia="zh-CN"/>
        </w:rPr>
        <w:t>（三）事业收入：指事业单位开展专业业务活动及辅助活动取得的收入。</w:t>
      </w:r>
    </w:p>
    <w:p>
      <w:pPr>
        <w:pStyle w:val="18"/>
        <w:bidi w:val="0"/>
        <w:rPr>
          <w:rFonts w:hint="eastAsia"/>
          <w:lang w:eastAsia="zh-CN"/>
        </w:rPr>
      </w:pPr>
      <w:r>
        <w:rPr>
          <w:rFonts w:hint="eastAsia"/>
          <w:lang w:eastAsia="zh-CN"/>
        </w:rPr>
        <w:t>（四）事业单位经营收入：指事业单位在专业业务活动及辅助活动之外开展非独立核算经营活动取得的收入。</w:t>
      </w:r>
    </w:p>
    <w:p>
      <w:pPr>
        <w:pStyle w:val="18"/>
        <w:bidi w:val="0"/>
        <w:rPr>
          <w:rFonts w:hint="eastAsia"/>
          <w:lang w:eastAsia="zh-CN"/>
        </w:rPr>
      </w:pPr>
      <w:r>
        <w:rPr>
          <w:rFonts w:hint="eastAsia"/>
          <w:lang w:eastAsia="zh-CN"/>
        </w:rPr>
        <w:t>（五）附属单位上缴收入：指事业单位附属的独立核算单位按规定标准或比例缴纳的各项收入。包括附属的事业单位上缴的收入和附属的企业上缴的利润等。</w:t>
      </w:r>
    </w:p>
    <w:p>
      <w:pPr>
        <w:pStyle w:val="18"/>
        <w:bidi w:val="0"/>
        <w:rPr>
          <w:rFonts w:hint="eastAsia"/>
          <w:lang w:eastAsia="zh-CN"/>
        </w:rPr>
      </w:pPr>
      <w:r>
        <w:rPr>
          <w:rFonts w:hint="eastAsia"/>
          <w:lang w:eastAsia="zh-CN"/>
        </w:rPr>
        <w:t>（六）上级补助收入：指事业单位从主管部门和上级单位取得的非财政补助收入。</w:t>
      </w:r>
    </w:p>
    <w:p>
      <w:pPr>
        <w:pStyle w:val="18"/>
        <w:bidi w:val="0"/>
        <w:rPr>
          <w:rFonts w:hint="eastAsia"/>
          <w:lang w:eastAsia="zh-CN"/>
        </w:rPr>
      </w:pPr>
      <w:r>
        <w:rPr>
          <w:rFonts w:hint="eastAsia"/>
          <w:lang w:eastAsia="zh-CN"/>
        </w:rPr>
        <w:t>（七）其他收入：指除财政拨款、事业收入、事业单位经营收入等以外的各项收入。</w:t>
      </w:r>
    </w:p>
    <w:p>
      <w:pPr>
        <w:pStyle w:val="18"/>
        <w:bidi w:val="0"/>
        <w:rPr>
          <w:rFonts w:hint="eastAsia"/>
          <w:lang w:eastAsia="zh-CN"/>
        </w:rPr>
      </w:pPr>
      <w:r>
        <w:rPr>
          <w:rFonts w:hint="eastAsia"/>
          <w:lang w:eastAsia="zh-CN"/>
        </w:rPr>
        <w:t>（八）使用非财政拨款结余：指历年滚存非限定用途的非财政拨款结余弥补本年度收支差额的数额。</w:t>
      </w:r>
    </w:p>
    <w:p>
      <w:pPr>
        <w:pStyle w:val="18"/>
        <w:bidi w:val="0"/>
        <w:rPr>
          <w:rFonts w:hint="eastAsia"/>
          <w:lang w:eastAsia="zh-CN"/>
        </w:rPr>
      </w:pPr>
      <w:r>
        <w:rPr>
          <w:rFonts w:hint="eastAsia"/>
          <w:lang w:eastAsia="zh-CN"/>
        </w:rPr>
        <w:t>（九）上年结转和结余：指以前年度全部结转和结余的资金数，包括当年结转结余资金和历年滚存结转结余资金。</w:t>
      </w:r>
    </w:p>
    <w:p>
      <w:pPr>
        <w:ind w:firstLine="640" w:firstLineChars="200"/>
        <w:rPr>
          <w:rFonts w:ascii="Adobe 仿宋 Std R" w:hAnsi="Adobe 仿宋 Std R" w:eastAsia="Adobe 仿宋 Std R"/>
          <w:sz w:val="32"/>
          <w:szCs w:val="32"/>
        </w:rPr>
      </w:pPr>
    </w:p>
    <w:p>
      <w:pPr>
        <w:pStyle w:val="17"/>
        <w:numPr>
          <w:ilvl w:val="0"/>
          <w:numId w:val="0"/>
        </w:numPr>
        <w:bidi w:val="0"/>
        <w:ind w:left="420" w:leftChars="200" w:firstLine="321" w:firstLineChars="100"/>
        <w:rPr>
          <w:rFonts w:hint="eastAsia" w:ascii="楷体_GB2312" w:eastAsia="楷体_GB2312"/>
          <w:b/>
          <w:sz w:val="32"/>
          <w:szCs w:val="30"/>
        </w:rPr>
      </w:pPr>
      <w:r>
        <w:rPr>
          <w:rFonts w:hint="eastAsia" w:ascii="楷体_GB2312" w:eastAsia="楷体_GB2312"/>
          <w:b/>
          <w:sz w:val="32"/>
          <w:szCs w:val="30"/>
        </w:rPr>
        <w:t>二、支出科目</w:t>
      </w:r>
    </w:p>
    <w:p>
      <w:pPr>
        <w:pStyle w:val="18"/>
        <w:bidi w:val="0"/>
        <w:rPr>
          <w:rFonts w:hint="eastAsia"/>
          <w:lang w:eastAsia="zh-CN"/>
        </w:rPr>
      </w:pPr>
      <w:r>
        <w:rPr>
          <w:rFonts w:hint="eastAsia"/>
          <w:lang w:eastAsia="zh-CN"/>
        </w:rPr>
        <w:t>对部门预算中涉及的支出功能分类科目（明细到项级），结合部门实际，参照《2026年政府收支分类科目》的规范说明进行解释。</w:t>
      </w:r>
    </w:p>
    <w:p>
      <w:pPr>
        <w:widowControl/>
        <w:spacing w:line="600" w:lineRule="exact"/>
        <w:ind w:firstLine="640" w:firstLineChars="200"/>
        <w:jc w:val="left"/>
        <w:rPr>
          <w:rFonts w:ascii="仿宋_GB2312" w:eastAsia="仿宋_GB2312"/>
          <w:color w:val="000000"/>
          <w:sz w:val="32"/>
          <w:szCs w:val="30"/>
        </w:rPr>
      </w:pPr>
    </w:p>
    <w:p>
      <w:pPr>
        <w:pStyle w:val="17"/>
        <w:numPr>
          <w:ilvl w:val="0"/>
          <w:numId w:val="0"/>
        </w:numPr>
        <w:bidi w:val="0"/>
        <w:ind w:left="420" w:leftChars="200" w:firstLine="321" w:firstLineChars="100"/>
        <w:rPr>
          <w:rFonts w:hint="eastAsia" w:ascii="楷体_GB2312" w:eastAsia="楷体_GB2312"/>
          <w:b/>
          <w:sz w:val="32"/>
          <w:szCs w:val="30"/>
        </w:rPr>
      </w:pPr>
      <w:r>
        <w:rPr>
          <w:rFonts w:hint="eastAsia" w:ascii="楷体_GB2312" w:eastAsia="楷体_GB2312"/>
          <w:b/>
          <w:sz w:val="32"/>
          <w:szCs w:val="30"/>
        </w:rPr>
        <w:t>三、相关专业名词</w:t>
      </w:r>
    </w:p>
    <w:p>
      <w:pPr>
        <w:pStyle w:val="18"/>
        <w:bidi w:val="0"/>
        <w:ind w:left="0" w:leftChars="0" w:firstLine="640" w:firstLineChars="200"/>
        <w:rPr>
          <w:rFonts w:hint="eastAsia"/>
          <w:lang w:eastAsia="zh-CN"/>
        </w:rPr>
      </w:pPr>
      <w:r>
        <w:rPr>
          <w:rFonts w:hint="eastAsia"/>
          <w:lang w:eastAsia="zh-CN"/>
        </w:rPr>
        <w:t>（一）机关运行费：指用一般公共预算财政拨款安排的为保障行政单位（包括实行公务员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pPr>
        <w:pStyle w:val="18"/>
        <w:bidi w:val="0"/>
        <w:rPr>
          <w:rFonts w:hint="eastAsia"/>
          <w:lang w:eastAsia="zh-CN"/>
        </w:rPr>
      </w:pPr>
      <w:r>
        <w:rPr>
          <w:rFonts w:hint="eastAsia"/>
          <w:lang w:eastAsia="zh-CN"/>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新能源汽车充电费、维修费、过桥过路费、保险费、安全奖励费 用等支出；公务接待费反映单位按规定开支的各类公务接待（含外宾接待）支出。</w:t>
      </w:r>
    </w:p>
    <w:sectPr>
      <w:pgSz w:w="11906" w:h="16838"/>
      <w:pgMar w:top="2098" w:right="1587" w:bottom="209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auto"/>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7D1273"/>
    <w:multiLevelType w:val="singleLevel"/>
    <w:tmpl w:val="0C7D1273"/>
    <w:lvl w:ilvl="0" w:tentative="0">
      <w:start w:val="1"/>
      <w:numFmt w:val="chineseCounting"/>
      <w:pStyle w:val="17"/>
      <w:suff w:val="nothing"/>
      <w:lvlText w:val="%1、"/>
      <w:lvlJc w:val="left"/>
      <w:pPr>
        <w:ind w:left="0" w:firstLine="420"/>
      </w:pPr>
      <w:rPr>
        <w:rFonts w:hint="eastAsia"/>
      </w:rPr>
    </w:lvl>
  </w:abstractNum>
  <w:abstractNum w:abstractNumId="1">
    <w:nsid w:val="79F6942D"/>
    <w:multiLevelType w:val="singleLevel"/>
    <w:tmpl w:val="79F6942D"/>
    <w:lvl w:ilvl="0" w:tentative="0">
      <w:start w:val="1"/>
      <w:numFmt w:val="chineseCounting"/>
      <w:pStyle w:val="19"/>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djODlmMTUxNGUzYTUzZTI0ZDFlZDJhMjQ4M2Q1NWMifQ=="/>
  </w:docVars>
  <w:rsids>
    <w:rsidRoot w:val="00172A27"/>
    <w:rsid w:val="000001B2"/>
    <w:rsid w:val="00014049"/>
    <w:rsid w:val="0001648A"/>
    <w:rsid w:val="00022CB3"/>
    <w:rsid w:val="00031749"/>
    <w:rsid w:val="00041EAA"/>
    <w:rsid w:val="000501C3"/>
    <w:rsid w:val="00055F20"/>
    <w:rsid w:val="000630BE"/>
    <w:rsid w:val="0006515E"/>
    <w:rsid w:val="00083979"/>
    <w:rsid w:val="00085227"/>
    <w:rsid w:val="000927A9"/>
    <w:rsid w:val="000963CD"/>
    <w:rsid w:val="000A2066"/>
    <w:rsid w:val="000B313A"/>
    <w:rsid w:val="000B4F9E"/>
    <w:rsid w:val="000C6AF7"/>
    <w:rsid w:val="000E1BC2"/>
    <w:rsid w:val="000E6313"/>
    <w:rsid w:val="000F227D"/>
    <w:rsid w:val="000F2E5F"/>
    <w:rsid w:val="00104F58"/>
    <w:rsid w:val="00117D8C"/>
    <w:rsid w:val="00131F78"/>
    <w:rsid w:val="001570FF"/>
    <w:rsid w:val="001823EA"/>
    <w:rsid w:val="00186709"/>
    <w:rsid w:val="00192620"/>
    <w:rsid w:val="00193C37"/>
    <w:rsid w:val="001C4ED5"/>
    <w:rsid w:val="001C6F31"/>
    <w:rsid w:val="001D2644"/>
    <w:rsid w:val="001E0EE7"/>
    <w:rsid w:val="001E2A0C"/>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0EDF"/>
    <w:rsid w:val="002C2478"/>
    <w:rsid w:val="002D2681"/>
    <w:rsid w:val="002D418E"/>
    <w:rsid w:val="002D497C"/>
    <w:rsid w:val="002D7200"/>
    <w:rsid w:val="002E2578"/>
    <w:rsid w:val="0030186C"/>
    <w:rsid w:val="003057A1"/>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378E3"/>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279D2"/>
    <w:rsid w:val="00631E83"/>
    <w:rsid w:val="00631FA4"/>
    <w:rsid w:val="00650900"/>
    <w:rsid w:val="00655E8B"/>
    <w:rsid w:val="00660CC3"/>
    <w:rsid w:val="006740FD"/>
    <w:rsid w:val="006833F4"/>
    <w:rsid w:val="006835C9"/>
    <w:rsid w:val="00687B67"/>
    <w:rsid w:val="006918B8"/>
    <w:rsid w:val="006924DA"/>
    <w:rsid w:val="00696646"/>
    <w:rsid w:val="006A1709"/>
    <w:rsid w:val="006C08EA"/>
    <w:rsid w:val="006C185B"/>
    <w:rsid w:val="006C3868"/>
    <w:rsid w:val="006F20BD"/>
    <w:rsid w:val="006F69AF"/>
    <w:rsid w:val="00704CAB"/>
    <w:rsid w:val="007314A1"/>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72CE4"/>
    <w:rsid w:val="00875B04"/>
    <w:rsid w:val="00876D17"/>
    <w:rsid w:val="008827CA"/>
    <w:rsid w:val="00882C91"/>
    <w:rsid w:val="00884FAE"/>
    <w:rsid w:val="008979F6"/>
    <w:rsid w:val="00897CAC"/>
    <w:rsid w:val="008A2491"/>
    <w:rsid w:val="008B52E8"/>
    <w:rsid w:val="008C011F"/>
    <w:rsid w:val="008C01B1"/>
    <w:rsid w:val="008C6EEE"/>
    <w:rsid w:val="008D4367"/>
    <w:rsid w:val="008E1EFA"/>
    <w:rsid w:val="008F16EE"/>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9F7630"/>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51022"/>
    <w:rsid w:val="00B619F8"/>
    <w:rsid w:val="00B6242B"/>
    <w:rsid w:val="00B71EBE"/>
    <w:rsid w:val="00B82840"/>
    <w:rsid w:val="00B96CEB"/>
    <w:rsid w:val="00BA572C"/>
    <w:rsid w:val="00BA7CA7"/>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CF5160"/>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13A1"/>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D12A9"/>
    <w:rsid w:val="00EE5DE1"/>
    <w:rsid w:val="00EE6568"/>
    <w:rsid w:val="00F01B58"/>
    <w:rsid w:val="00F11FE4"/>
    <w:rsid w:val="00F132AE"/>
    <w:rsid w:val="00F2583E"/>
    <w:rsid w:val="00F32E83"/>
    <w:rsid w:val="00F823EA"/>
    <w:rsid w:val="00F95E5A"/>
    <w:rsid w:val="00F975EB"/>
    <w:rsid w:val="00F97EF1"/>
    <w:rsid w:val="00FA278B"/>
    <w:rsid w:val="00FA354D"/>
    <w:rsid w:val="00FA3B89"/>
    <w:rsid w:val="00FD29E0"/>
    <w:rsid w:val="00FE0E90"/>
    <w:rsid w:val="00FE32CC"/>
    <w:rsid w:val="00FE7CCF"/>
    <w:rsid w:val="00FF60EC"/>
    <w:rsid w:val="00FF6368"/>
    <w:rsid w:val="01671BDD"/>
    <w:rsid w:val="01861103"/>
    <w:rsid w:val="019127B6"/>
    <w:rsid w:val="01AC3A93"/>
    <w:rsid w:val="01EF572E"/>
    <w:rsid w:val="020411DA"/>
    <w:rsid w:val="02176B4D"/>
    <w:rsid w:val="0288005D"/>
    <w:rsid w:val="02C06A14"/>
    <w:rsid w:val="02F05C02"/>
    <w:rsid w:val="0313418A"/>
    <w:rsid w:val="03183089"/>
    <w:rsid w:val="033409AD"/>
    <w:rsid w:val="036543A8"/>
    <w:rsid w:val="03713379"/>
    <w:rsid w:val="03A26EFC"/>
    <w:rsid w:val="03C54F15"/>
    <w:rsid w:val="044C3E08"/>
    <w:rsid w:val="048760F2"/>
    <w:rsid w:val="04AB0032"/>
    <w:rsid w:val="04D1736D"/>
    <w:rsid w:val="0548762F"/>
    <w:rsid w:val="056335EC"/>
    <w:rsid w:val="058E403A"/>
    <w:rsid w:val="05A96FBC"/>
    <w:rsid w:val="067A6028"/>
    <w:rsid w:val="069027A8"/>
    <w:rsid w:val="06BE4E5C"/>
    <w:rsid w:val="06D10F0F"/>
    <w:rsid w:val="06EB090E"/>
    <w:rsid w:val="070F6488"/>
    <w:rsid w:val="072E0AA7"/>
    <w:rsid w:val="07493DE4"/>
    <w:rsid w:val="076646E5"/>
    <w:rsid w:val="07944DAE"/>
    <w:rsid w:val="07DA39BA"/>
    <w:rsid w:val="07FD6DF7"/>
    <w:rsid w:val="089B644D"/>
    <w:rsid w:val="08AA6372"/>
    <w:rsid w:val="0957140D"/>
    <w:rsid w:val="097430E9"/>
    <w:rsid w:val="09813405"/>
    <w:rsid w:val="098466E2"/>
    <w:rsid w:val="099A2423"/>
    <w:rsid w:val="09C63CB7"/>
    <w:rsid w:val="0A1A2AD5"/>
    <w:rsid w:val="0A3B59B5"/>
    <w:rsid w:val="0A522CFE"/>
    <w:rsid w:val="0A603A28"/>
    <w:rsid w:val="0A7E3AF3"/>
    <w:rsid w:val="0B2E6C33"/>
    <w:rsid w:val="0B471443"/>
    <w:rsid w:val="0B582596"/>
    <w:rsid w:val="0B776EC0"/>
    <w:rsid w:val="0BD22464"/>
    <w:rsid w:val="0C0F6191"/>
    <w:rsid w:val="0C210BDA"/>
    <w:rsid w:val="0C22507E"/>
    <w:rsid w:val="0C234952"/>
    <w:rsid w:val="0C97247A"/>
    <w:rsid w:val="0CE40340"/>
    <w:rsid w:val="0D1D3A97"/>
    <w:rsid w:val="0D7F0935"/>
    <w:rsid w:val="0D906017"/>
    <w:rsid w:val="0DB3098E"/>
    <w:rsid w:val="0DC46BAD"/>
    <w:rsid w:val="0E4868F2"/>
    <w:rsid w:val="0EC56195"/>
    <w:rsid w:val="0ED334BB"/>
    <w:rsid w:val="0EED77D1"/>
    <w:rsid w:val="0EFE5F92"/>
    <w:rsid w:val="0F2509E1"/>
    <w:rsid w:val="0F77472F"/>
    <w:rsid w:val="0FA364D6"/>
    <w:rsid w:val="0FFC5BE6"/>
    <w:rsid w:val="10374E70"/>
    <w:rsid w:val="1042584C"/>
    <w:rsid w:val="10C76C75"/>
    <w:rsid w:val="10EC7A09"/>
    <w:rsid w:val="118C7F17"/>
    <w:rsid w:val="11A83289"/>
    <w:rsid w:val="11BA18B5"/>
    <w:rsid w:val="12AB25F0"/>
    <w:rsid w:val="12C66037"/>
    <w:rsid w:val="12D71EE1"/>
    <w:rsid w:val="13024677"/>
    <w:rsid w:val="132316DC"/>
    <w:rsid w:val="13257202"/>
    <w:rsid w:val="137A24B0"/>
    <w:rsid w:val="146A26EA"/>
    <w:rsid w:val="14972381"/>
    <w:rsid w:val="14DB226E"/>
    <w:rsid w:val="15F1786F"/>
    <w:rsid w:val="161C45A6"/>
    <w:rsid w:val="163E20B5"/>
    <w:rsid w:val="167909DF"/>
    <w:rsid w:val="16790A4B"/>
    <w:rsid w:val="16A62BCA"/>
    <w:rsid w:val="16B57185"/>
    <w:rsid w:val="16D72F09"/>
    <w:rsid w:val="16D73651"/>
    <w:rsid w:val="17201A96"/>
    <w:rsid w:val="175943AB"/>
    <w:rsid w:val="177B5642"/>
    <w:rsid w:val="183121A5"/>
    <w:rsid w:val="183D4FEE"/>
    <w:rsid w:val="187973A6"/>
    <w:rsid w:val="189E6FE8"/>
    <w:rsid w:val="18D62220"/>
    <w:rsid w:val="190A1374"/>
    <w:rsid w:val="1911314F"/>
    <w:rsid w:val="192341E3"/>
    <w:rsid w:val="19264D41"/>
    <w:rsid w:val="195E521C"/>
    <w:rsid w:val="198B71A1"/>
    <w:rsid w:val="19B228EF"/>
    <w:rsid w:val="19B72B7E"/>
    <w:rsid w:val="19BE5CBA"/>
    <w:rsid w:val="19DD5162"/>
    <w:rsid w:val="19F65454"/>
    <w:rsid w:val="1A9E7E47"/>
    <w:rsid w:val="1AAC4E51"/>
    <w:rsid w:val="1B106CD9"/>
    <w:rsid w:val="1B1E744F"/>
    <w:rsid w:val="1B477CB6"/>
    <w:rsid w:val="1B513369"/>
    <w:rsid w:val="1B5543FC"/>
    <w:rsid w:val="1B9273FE"/>
    <w:rsid w:val="1D022362"/>
    <w:rsid w:val="1D156539"/>
    <w:rsid w:val="1D2E3157"/>
    <w:rsid w:val="1D683EAA"/>
    <w:rsid w:val="1D743E4F"/>
    <w:rsid w:val="1DC43CB7"/>
    <w:rsid w:val="1DE62972"/>
    <w:rsid w:val="1DED3012"/>
    <w:rsid w:val="1E002D45"/>
    <w:rsid w:val="1E332A67"/>
    <w:rsid w:val="1E58312C"/>
    <w:rsid w:val="1E5B2F38"/>
    <w:rsid w:val="1E74728F"/>
    <w:rsid w:val="1EAB2010"/>
    <w:rsid w:val="1EC370BA"/>
    <w:rsid w:val="1ED32208"/>
    <w:rsid w:val="1EDD4E34"/>
    <w:rsid w:val="1EDF4DDA"/>
    <w:rsid w:val="1F240CB5"/>
    <w:rsid w:val="1F577728"/>
    <w:rsid w:val="1F647304"/>
    <w:rsid w:val="1FF163B0"/>
    <w:rsid w:val="206D0602"/>
    <w:rsid w:val="20757BCC"/>
    <w:rsid w:val="208D0D40"/>
    <w:rsid w:val="212A1E87"/>
    <w:rsid w:val="218C669E"/>
    <w:rsid w:val="21C916A0"/>
    <w:rsid w:val="221F7512"/>
    <w:rsid w:val="22421D13"/>
    <w:rsid w:val="22430342"/>
    <w:rsid w:val="22601146"/>
    <w:rsid w:val="226F2247"/>
    <w:rsid w:val="22A5210D"/>
    <w:rsid w:val="22BD518D"/>
    <w:rsid w:val="230518A8"/>
    <w:rsid w:val="23F95523"/>
    <w:rsid w:val="2418246B"/>
    <w:rsid w:val="24407927"/>
    <w:rsid w:val="248511A6"/>
    <w:rsid w:val="2584425C"/>
    <w:rsid w:val="25B931E9"/>
    <w:rsid w:val="25CE54D7"/>
    <w:rsid w:val="25F4209D"/>
    <w:rsid w:val="265579A6"/>
    <w:rsid w:val="267A7ED7"/>
    <w:rsid w:val="267B565F"/>
    <w:rsid w:val="26BE72FA"/>
    <w:rsid w:val="26CB02AF"/>
    <w:rsid w:val="26FE5E6C"/>
    <w:rsid w:val="27DA63B5"/>
    <w:rsid w:val="27E234BC"/>
    <w:rsid w:val="27EE6A79"/>
    <w:rsid w:val="28020B08"/>
    <w:rsid w:val="2828673B"/>
    <w:rsid w:val="28F31C90"/>
    <w:rsid w:val="291678C1"/>
    <w:rsid w:val="29415831"/>
    <w:rsid w:val="295B01BA"/>
    <w:rsid w:val="29804E7F"/>
    <w:rsid w:val="299A22A0"/>
    <w:rsid w:val="299B130F"/>
    <w:rsid w:val="29A22F02"/>
    <w:rsid w:val="29D357B2"/>
    <w:rsid w:val="29F545C8"/>
    <w:rsid w:val="2A0477E2"/>
    <w:rsid w:val="2A3B60E3"/>
    <w:rsid w:val="2A6B66A5"/>
    <w:rsid w:val="2A8962DA"/>
    <w:rsid w:val="2A9E289C"/>
    <w:rsid w:val="2AD4533E"/>
    <w:rsid w:val="2B5E72FD"/>
    <w:rsid w:val="2B6A1B7F"/>
    <w:rsid w:val="2B7D1E25"/>
    <w:rsid w:val="2B82123D"/>
    <w:rsid w:val="2BE124D6"/>
    <w:rsid w:val="2C245EB1"/>
    <w:rsid w:val="2C2D2A07"/>
    <w:rsid w:val="2C532DA0"/>
    <w:rsid w:val="2C57797E"/>
    <w:rsid w:val="2CA86A82"/>
    <w:rsid w:val="2CB371D5"/>
    <w:rsid w:val="2CBC42DB"/>
    <w:rsid w:val="2D0D5D1F"/>
    <w:rsid w:val="2D12214D"/>
    <w:rsid w:val="2D5E2035"/>
    <w:rsid w:val="2D864873"/>
    <w:rsid w:val="2DA96B06"/>
    <w:rsid w:val="2E051E23"/>
    <w:rsid w:val="2ED008F1"/>
    <w:rsid w:val="2EE1627B"/>
    <w:rsid w:val="2F221578"/>
    <w:rsid w:val="2F3276C7"/>
    <w:rsid w:val="2F656EAC"/>
    <w:rsid w:val="2F875DDB"/>
    <w:rsid w:val="30007685"/>
    <w:rsid w:val="300F4902"/>
    <w:rsid w:val="303A64D0"/>
    <w:rsid w:val="303B4255"/>
    <w:rsid w:val="30427C69"/>
    <w:rsid w:val="30A0509E"/>
    <w:rsid w:val="30D065A7"/>
    <w:rsid w:val="311B06F3"/>
    <w:rsid w:val="31480833"/>
    <w:rsid w:val="317909ED"/>
    <w:rsid w:val="31D10739"/>
    <w:rsid w:val="31E5110E"/>
    <w:rsid w:val="31FA476A"/>
    <w:rsid w:val="32101599"/>
    <w:rsid w:val="3240775C"/>
    <w:rsid w:val="32827D75"/>
    <w:rsid w:val="32C510AF"/>
    <w:rsid w:val="32D911D9"/>
    <w:rsid w:val="33207934"/>
    <w:rsid w:val="3328400E"/>
    <w:rsid w:val="339B7340"/>
    <w:rsid w:val="33B273BE"/>
    <w:rsid w:val="33D60378"/>
    <w:rsid w:val="33EB1F16"/>
    <w:rsid w:val="34024CC3"/>
    <w:rsid w:val="346F257B"/>
    <w:rsid w:val="34967B08"/>
    <w:rsid w:val="349A316D"/>
    <w:rsid w:val="34B57D75"/>
    <w:rsid w:val="34B63D06"/>
    <w:rsid w:val="34F95019"/>
    <w:rsid w:val="35123632"/>
    <w:rsid w:val="35132F06"/>
    <w:rsid w:val="35192EC2"/>
    <w:rsid w:val="35306BDB"/>
    <w:rsid w:val="354E3F3E"/>
    <w:rsid w:val="359B22B4"/>
    <w:rsid w:val="35C66E2C"/>
    <w:rsid w:val="35E11256"/>
    <w:rsid w:val="35E83F05"/>
    <w:rsid w:val="35FF348B"/>
    <w:rsid w:val="36015455"/>
    <w:rsid w:val="363E00C4"/>
    <w:rsid w:val="369B31B3"/>
    <w:rsid w:val="36C95F72"/>
    <w:rsid w:val="371F5B92"/>
    <w:rsid w:val="375717D0"/>
    <w:rsid w:val="37692CB0"/>
    <w:rsid w:val="37773C20"/>
    <w:rsid w:val="377E2B92"/>
    <w:rsid w:val="37F44BF3"/>
    <w:rsid w:val="38FD49CD"/>
    <w:rsid w:val="39363AEB"/>
    <w:rsid w:val="397330FD"/>
    <w:rsid w:val="39827A59"/>
    <w:rsid w:val="39932267"/>
    <w:rsid w:val="399D4784"/>
    <w:rsid w:val="399F2FBB"/>
    <w:rsid w:val="39B20F40"/>
    <w:rsid w:val="39ED7FCB"/>
    <w:rsid w:val="39F647B9"/>
    <w:rsid w:val="3A811F62"/>
    <w:rsid w:val="3A841EE9"/>
    <w:rsid w:val="3A8D375B"/>
    <w:rsid w:val="3A9F1A72"/>
    <w:rsid w:val="3AC82A1D"/>
    <w:rsid w:val="3ACE216B"/>
    <w:rsid w:val="3AE72E6B"/>
    <w:rsid w:val="3B33742C"/>
    <w:rsid w:val="3B64626A"/>
    <w:rsid w:val="3B7346FF"/>
    <w:rsid w:val="3B7D1841"/>
    <w:rsid w:val="3BA50630"/>
    <w:rsid w:val="3BD333EF"/>
    <w:rsid w:val="3BE60A52"/>
    <w:rsid w:val="3BF740BD"/>
    <w:rsid w:val="3BF75330"/>
    <w:rsid w:val="3C1001A0"/>
    <w:rsid w:val="3C587148"/>
    <w:rsid w:val="3C62791F"/>
    <w:rsid w:val="3C7E3E84"/>
    <w:rsid w:val="3C965237"/>
    <w:rsid w:val="3CFB44C3"/>
    <w:rsid w:val="3D01676D"/>
    <w:rsid w:val="3D121CF5"/>
    <w:rsid w:val="3D2A5291"/>
    <w:rsid w:val="3D6368D4"/>
    <w:rsid w:val="3D6A7D83"/>
    <w:rsid w:val="3D8449A1"/>
    <w:rsid w:val="3D8A2CB0"/>
    <w:rsid w:val="3D8F7591"/>
    <w:rsid w:val="3E272EE8"/>
    <w:rsid w:val="3E344619"/>
    <w:rsid w:val="3E534E03"/>
    <w:rsid w:val="3E864749"/>
    <w:rsid w:val="3E917C19"/>
    <w:rsid w:val="3EBE2135"/>
    <w:rsid w:val="3ED656D0"/>
    <w:rsid w:val="3F12422F"/>
    <w:rsid w:val="3F1F4BA2"/>
    <w:rsid w:val="3F383632"/>
    <w:rsid w:val="3F44662B"/>
    <w:rsid w:val="3F453306"/>
    <w:rsid w:val="3F740A45"/>
    <w:rsid w:val="3FAF58B0"/>
    <w:rsid w:val="3FFF47B3"/>
    <w:rsid w:val="400E7546"/>
    <w:rsid w:val="40183119"/>
    <w:rsid w:val="4052477A"/>
    <w:rsid w:val="4052753A"/>
    <w:rsid w:val="40B30B18"/>
    <w:rsid w:val="413E130B"/>
    <w:rsid w:val="41B7665D"/>
    <w:rsid w:val="422514B1"/>
    <w:rsid w:val="426E79CE"/>
    <w:rsid w:val="42DE4B54"/>
    <w:rsid w:val="43422F5A"/>
    <w:rsid w:val="439416B6"/>
    <w:rsid w:val="4394233B"/>
    <w:rsid w:val="43B35A16"/>
    <w:rsid w:val="441308E0"/>
    <w:rsid w:val="45B7128B"/>
    <w:rsid w:val="45C970A0"/>
    <w:rsid w:val="45EA198E"/>
    <w:rsid w:val="461E51EB"/>
    <w:rsid w:val="467D28D5"/>
    <w:rsid w:val="46902609"/>
    <w:rsid w:val="46B35164"/>
    <w:rsid w:val="46C430DC"/>
    <w:rsid w:val="46D1677D"/>
    <w:rsid w:val="475F022D"/>
    <w:rsid w:val="47704B50"/>
    <w:rsid w:val="48967C7F"/>
    <w:rsid w:val="48BC3499"/>
    <w:rsid w:val="493F20C4"/>
    <w:rsid w:val="49A3337A"/>
    <w:rsid w:val="49BE0F52"/>
    <w:rsid w:val="4A0A0193"/>
    <w:rsid w:val="4A3D4856"/>
    <w:rsid w:val="4A875AD1"/>
    <w:rsid w:val="4A9D48C2"/>
    <w:rsid w:val="4ABB15CA"/>
    <w:rsid w:val="4B0E1D4E"/>
    <w:rsid w:val="4BCC5D64"/>
    <w:rsid w:val="4BD50ABE"/>
    <w:rsid w:val="4BE40D01"/>
    <w:rsid w:val="4C363892"/>
    <w:rsid w:val="4C4023DB"/>
    <w:rsid w:val="4C632900"/>
    <w:rsid w:val="4C787DC7"/>
    <w:rsid w:val="4CA30BBC"/>
    <w:rsid w:val="4CB041A4"/>
    <w:rsid w:val="4D0F3969"/>
    <w:rsid w:val="4D106251"/>
    <w:rsid w:val="4D1D271C"/>
    <w:rsid w:val="4D3073ED"/>
    <w:rsid w:val="4D824567"/>
    <w:rsid w:val="4DA22C22"/>
    <w:rsid w:val="4DC25072"/>
    <w:rsid w:val="4DDA284D"/>
    <w:rsid w:val="4E600F7F"/>
    <w:rsid w:val="4E946A0E"/>
    <w:rsid w:val="4ECB579F"/>
    <w:rsid w:val="4ED32A15"/>
    <w:rsid w:val="4EFE20DA"/>
    <w:rsid w:val="4F136BAF"/>
    <w:rsid w:val="4F5C39D0"/>
    <w:rsid w:val="4F786330"/>
    <w:rsid w:val="4FA9337C"/>
    <w:rsid w:val="501F67AB"/>
    <w:rsid w:val="50852AB2"/>
    <w:rsid w:val="50B9275C"/>
    <w:rsid w:val="50D47596"/>
    <w:rsid w:val="50F15594"/>
    <w:rsid w:val="51000915"/>
    <w:rsid w:val="51025EB1"/>
    <w:rsid w:val="51A451BA"/>
    <w:rsid w:val="51A93D45"/>
    <w:rsid w:val="51D860AE"/>
    <w:rsid w:val="52313BAC"/>
    <w:rsid w:val="5245699D"/>
    <w:rsid w:val="527A416D"/>
    <w:rsid w:val="52B15DE1"/>
    <w:rsid w:val="52C00AB5"/>
    <w:rsid w:val="52CD6993"/>
    <w:rsid w:val="52D32C59"/>
    <w:rsid w:val="52D33227"/>
    <w:rsid w:val="52D7336D"/>
    <w:rsid w:val="52ED493F"/>
    <w:rsid w:val="53516268"/>
    <w:rsid w:val="53BA6F17"/>
    <w:rsid w:val="53C94501"/>
    <w:rsid w:val="54942314"/>
    <w:rsid w:val="54A315F0"/>
    <w:rsid w:val="551F080C"/>
    <w:rsid w:val="557D01FC"/>
    <w:rsid w:val="558649E9"/>
    <w:rsid w:val="559B757A"/>
    <w:rsid w:val="55B21658"/>
    <w:rsid w:val="560222CE"/>
    <w:rsid w:val="560A3E85"/>
    <w:rsid w:val="561E35DE"/>
    <w:rsid w:val="56423283"/>
    <w:rsid w:val="56C47F55"/>
    <w:rsid w:val="57127095"/>
    <w:rsid w:val="571B5E1C"/>
    <w:rsid w:val="57211FE5"/>
    <w:rsid w:val="572253C2"/>
    <w:rsid w:val="57DB56AE"/>
    <w:rsid w:val="57E75E01"/>
    <w:rsid w:val="582B597E"/>
    <w:rsid w:val="586B76C2"/>
    <w:rsid w:val="587F428B"/>
    <w:rsid w:val="588A18E5"/>
    <w:rsid w:val="589A10C5"/>
    <w:rsid w:val="58A255C2"/>
    <w:rsid w:val="59154BEF"/>
    <w:rsid w:val="591D1B7F"/>
    <w:rsid w:val="592C090B"/>
    <w:rsid w:val="594B1686"/>
    <w:rsid w:val="59B57AB7"/>
    <w:rsid w:val="5A113609"/>
    <w:rsid w:val="5A124512"/>
    <w:rsid w:val="5A3D61AC"/>
    <w:rsid w:val="5AD61C4C"/>
    <w:rsid w:val="5B063489"/>
    <w:rsid w:val="5B196FF7"/>
    <w:rsid w:val="5B2630E4"/>
    <w:rsid w:val="5B7A6F8C"/>
    <w:rsid w:val="5B852845"/>
    <w:rsid w:val="5B8D3163"/>
    <w:rsid w:val="5BCB45A3"/>
    <w:rsid w:val="5BF226BA"/>
    <w:rsid w:val="5C084598"/>
    <w:rsid w:val="5C2A6C04"/>
    <w:rsid w:val="5C2D0A9F"/>
    <w:rsid w:val="5C78171D"/>
    <w:rsid w:val="5C986C68"/>
    <w:rsid w:val="5CCB4C52"/>
    <w:rsid w:val="5CD235A2"/>
    <w:rsid w:val="5D1256CE"/>
    <w:rsid w:val="5EB629D1"/>
    <w:rsid w:val="5ED43404"/>
    <w:rsid w:val="5F28567D"/>
    <w:rsid w:val="5F5A15AE"/>
    <w:rsid w:val="5F7563E8"/>
    <w:rsid w:val="6025390F"/>
    <w:rsid w:val="602A730A"/>
    <w:rsid w:val="604A0FC0"/>
    <w:rsid w:val="6062071A"/>
    <w:rsid w:val="609E54CA"/>
    <w:rsid w:val="60B60A66"/>
    <w:rsid w:val="60FF065F"/>
    <w:rsid w:val="614348BF"/>
    <w:rsid w:val="61E909C7"/>
    <w:rsid w:val="628F77C1"/>
    <w:rsid w:val="629372B1"/>
    <w:rsid w:val="631906FD"/>
    <w:rsid w:val="638D7E1B"/>
    <w:rsid w:val="63E33020"/>
    <w:rsid w:val="63F313D6"/>
    <w:rsid w:val="641F4B74"/>
    <w:rsid w:val="64300B2F"/>
    <w:rsid w:val="644A7E43"/>
    <w:rsid w:val="644B29EB"/>
    <w:rsid w:val="64C21A65"/>
    <w:rsid w:val="64D2036D"/>
    <w:rsid w:val="6503311C"/>
    <w:rsid w:val="651641C9"/>
    <w:rsid w:val="656D7047"/>
    <w:rsid w:val="65943DCC"/>
    <w:rsid w:val="6645502F"/>
    <w:rsid w:val="66592A75"/>
    <w:rsid w:val="66B33C62"/>
    <w:rsid w:val="66CB34B0"/>
    <w:rsid w:val="66CE552F"/>
    <w:rsid w:val="66F978FF"/>
    <w:rsid w:val="67005A4F"/>
    <w:rsid w:val="67010C05"/>
    <w:rsid w:val="674F1B70"/>
    <w:rsid w:val="67607CDE"/>
    <w:rsid w:val="67795450"/>
    <w:rsid w:val="67987117"/>
    <w:rsid w:val="67BA0013"/>
    <w:rsid w:val="67C33BC0"/>
    <w:rsid w:val="67FA392E"/>
    <w:rsid w:val="6874548F"/>
    <w:rsid w:val="687F5F93"/>
    <w:rsid w:val="68B95597"/>
    <w:rsid w:val="68F41F57"/>
    <w:rsid w:val="69054339"/>
    <w:rsid w:val="6914022D"/>
    <w:rsid w:val="696C260A"/>
    <w:rsid w:val="699851AD"/>
    <w:rsid w:val="699B2EEF"/>
    <w:rsid w:val="699D6C67"/>
    <w:rsid w:val="69B84EDC"/>
    <w:rsid w:val="6A0339D1"/>
    <w:rsid w:val="6A2151A2"/>
    <w:rsid w:val="6ACC771E"/>
    <w:rsid w:val="6AE727FB"/>
    <w:rsid w:val="6B476A1E"/>
    <w:rsid w:val="6B4C44A1"/>
    <w:rsid w:val="6B755743"/>
    <w:rsid w:val="6BAA7419"/>
    <w:rsid w:val="6BE248E5"/>
    <w:rsid w:val="6C021003"/>
    <w:rsid w:val="6C1F1BB5"/>
    <w:rsid w:val="6C540873"/>
    <w:rsid w:val="6C6F1216"/>
    <w:rsid w:val="6C9A56E0"/>
    <w:rsid w:val="6CA82785"/>
    <w:rsid w:val="6CB20E55"/>
    <w:rsid w:val="6CE85848"/>
    <w:rsid w:val="6D15191A"/>
    <w:rsid w:val="6D3A6CB4"/>
    <w:rsid w:val="6D6B4986"/>
    <w:rsid w:val="6DEA61F3"/>
    <w:rsid w:val="6DFC5FDF"/>
    <w:rsid w:val="6E0D2F46"/>
    <w:rsid w:val="6E3D6323"/>
    <w:rsid w:val="6E9E40AE"/>
    <w:rsid w:val="6EA97E5C"/>
    <w:rsid w:val="6ECC5FE7"/>
    <w:rsid w:val="6EDB6140"/>
    <w:rsid w:val="6F9E1043"/>
    <w:rsid w:val="6FB14B95"/>
    <w:rsid w:val="6FBB39A3"/>
    <w:rsid w:val="6FD42CB7"/>
    <w:rsid w:val="70077DE7"/>
    <w:rsid w:val="7029485D"/>
    <w:rsid w:val="70B56644"/>
    <w:rsid w:val="710366B1"/>
    <w:rsid w:val="71CF1988"/>
    <w:rsid w:val="71D13952"/>
    <w:rsid w:val="722021E3"/>
    <w:rsid w:val="723C4321"/>
    <w:rsid w:val="72800ED4"/>
    <w:rsid w:val="72F316A6"/>
    <w:rsid w:val="73612223"/>
    <w:rsid w:val="738467A2"/>
    <w:rsid w:val="73890A15"/>
    <w:rsid w:val="73941822"/>
    <w:rsid w:val="739B7DBF"/>
    <w:rsid w:val="73A85115"/>
    <w:rsid w:val="73BA21C4"/>
    <w:rsid w:val="73C3551C"/>
    <w:rsid w:val="74303CED"/>
    <w:rsid w:val="745829FA"/>
    <w:rsid w:val="745E6FF3"/>
    <w:rsid w:val="74650381"/>
    <w:rsid w:val="74687C74"/>
    <w:rsid w:val="7478586B"/>
    <w:rsid w:val="74C72F0F"/>
    <w:rsid w:val="74F62301"/>
    <w:rsid w:val="7518696C"/>
    <w:rsid w:val="75457C9F"/>
    <w:rsid w:val="755747C3"/>
    <w:rsid w:val="758A0127"/>
    <w:rsid w:val="758B0767"/>
    <w:rsid w:val="75B275F6"/>
    <w:rsid w:val="761422CC"/>
    <w:rsid w:val="76224CCF"/>
    <w:rsid w:val="762F6E99"/>
    <w:rsid w:val="76530DD9"/>
    <w:rsid w:val="770B16B4"/>
    <w:rsid w:val="770E4B54"/>
    <w:rsid w:val="772E7150"/>
    <w:rsid w:val="77A15B74"/>
    <w:rsid w:val="77A86F03"/>
    <w:rsid w:val="77F0668A"/>
    <w:rsid w:val="785045C8"/>
    <w:rsid w:val="789456D9"/>
    <w:rsid w:val="79020895"/>
    <w:rsid w:val="79110AD8"/>
    <w:rsid w:val="791A1FD1"/>
    <w:rsid w:val="791A5BDE"/>
    <w:rsid w:val="79294073"/>
    <w:rsid w:val="79AE6381"/>
    <w:rsid w:val="7AA535EF"/>
    <w:rsid w:val="7B2B0079"/>
    <w:rsid w:val="7B4C4049"/>
    <w:rsid w:val="7B4C6C5F"/>
    <w:rsid w:val="7B590514"/>
    <w:rsid w:val="7B5F2B22"/>
    <w:rsid w:val="7B833D31"/>
    <w:rsid w:val="7BAC2D3A"/>
    <w:rsid w:val="7BC71BE8"/>
    <w:rsid w:val="7BCE7F00"/>
    <w:rsid w:val="7BEE3352"/>
    <w:rsid w:val="7C0E12FE"/>
    <w:rsid w:val="7C213CD7"/>
    <w:rsid w:val="7C2F624D"/>
    <w:rsid w:val="7C6A15B3"/>
    <w:rsid w:val="7CFA01CB"/>
    <w:rsid w:val="7D2E5D91"/>
    <w:rsid w:val="7DA55C93"/>
    <w:rsid w:val="7DCD5C31"/>
    <w:rsid w:val="7E4D2CFE"/>
    <w:rsid w:val="7E741677"/>
    <w:rsid w:val="7E8D404B"/>
    <w:rsid w:val="7F46479C"/>
    <w:rsid w:val="7F6364A4"/>
    <w:rsid w:val="7FA75CF2"/>
    <w:rsid w:val="7FB7473A"/>
    <w:rsid w:val="7FF54C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row_tree_level_3"/>
    <w:basedOn w:val="7"/>
    <w:qFormat/>
    <w:uiPriority w:val="0"/>
  </w:style>
  <w:style w:type="character" w:customStyle="1" w:styleId="12">
    <w:name w:val="row_tree_level_4"/>
    <w:basedOn w:val="7"/>
    <w:qFormat/>
    <w:uiPriority w:val="0"/>
  </w:style>
  <w:style w:type="paragraph" w:customStyle="1" w:styleId="13">
    <w:name w:val="p0"/>
    <w:basedOn w:val="1"/>
    <w:qFormat/>
    <w:uiPriority w:val="0"/>
    <w:pPr>
      <w:widowControl/>
    </w:pPr>
    <w:rPr>
      <w:rFonts w:ascii="Times New Roman" w:hAnsi="Times New Roman" w:eastAsia="宋体" w:cs="Times New Roman"/>
      <w:kern w:val="0"/>
      <w:szCs w:val="21"/>
    </w:rPr>
  </w:style>
  <w:style w:type="character" w:customStyle="1" w:styleId="14">
    <w:name w:val="15"/>
    <w:basedOn w:val="7"/>
    <w:qFormat/>
    <w:uiPriority w:val="0"/>
    <w:rPr>
      <w:rFonts w:hint="default" w:ascii="Times New Roman" w:hAnsi="Times New Roman" w:cs="Times New Roman"/>
      <w:sz w:val="20"/>
      <w:szCs w:val="20"/>
    </w:rPr>
  </w:style>
  <w:style w:type="character" w:customStyle="1" w:styleId="15">
    <w:name w:val="font01"/>
    <w:basedOn w:val="7"/>
    <w:qFormat/>
    <w:uiPriority w:val="0"/>
    <w:rPr>
      <w:rFonts w:hint="eastAsia" w:ascii="等线" w:hAnsi="等线" w:eastAsia="等线" w:cs="等线"/>
      <w:color w:val="000000"/>
      <w:sz w:val="22"/>
      <w:szCs w:val="22"/>
      <w:u w:val="none"/>
    </w:rPr>
  </w:style>
  <w:style w:type="paragraph" w:customStyle="1" w:styleId="16">
    <w:name w:val="标题 方正小标宋 二号 不加粗"/>
    <w:basedOn w:val="1"/>
    <w:qFormat/>
    <w:uiPriority w:val="0"/>
    <w:pPr>
      <w:spacing w:line="660" w:lineRule="exact"/>
      <w:ind w:firstLine="0" w:firstLineChars="0"/>
      <w:jc w:val="center"/>
    </w:pPr>
    <w:rPr>
      <w:rFonts w:hint="eastAsia" w:ascii="方正小标宋简体" w:hAnsi="方正小标宋简体" w:eastAsia="方正小标宋简体" w:cs="方正小标宋简体"/>
      <w:sz w:val="44"/>
      <w:szCs w:val="44"/>
    </w:rPr>
  </w:style>
  <w:style w:type="paragraph" w:customStyle="1" w:styleId="17">
    <w:name w:val="一级标题 黑体三号不加粗"/>
    <w:basedOn w:val="1"/>
    <w:next w:val="1"/>
    <w:qFormat/>
    <w:uiPriority w:val="0"/>
    <w:pPr>
      <w:keepNext/>
      <w:keepLines/>
      <w:numPr>
        <w:ilvl w:val="0"/>
        <w:numId w:val="1"/>
      </w:numPr>
      <w:spacing w:line="600" w:lineRule="exact"/>
      <w:ind w:firstLine="723" w:firstLineChars="200"/>
      <w:outlineLvl w:val="0"/>
    </w:pPr>
    <w:rPr>
      <w:rFonts w:ascii="黑体" w:hAnsi="黑体" w:eastAsia="黑体"/>
      <w:kern w:val="44"/>
      <w:sz w:val="32"/>
      <w:szCs w:val="32"/>
    </w:rPr>
  </w:style>
  <w:style w:type="paragraph" w:customStyle="1" w:styleId="18">
    <w:name w:val="正文 仿宋国标三号 不加粗"/>
    <w:basedOn w:val="1"/>
    <w:qFormat/>
    <w:uiPriority w:val="0"/>
    <w:pPr>
      <w:spacing w:line="600" w:lineRule="exact"/>
      <w:ind w:firstLine="880" w:firstLineChars="200"/>
    </w:pPr>
    <w:rPr>
      <w:rFonts w:ascii="仿宋_GB2312" w:hAnsi="仿宋_GB2312" w:eastAsia="仿宋_GB2312"/>
      <w:sz w:val="32"/>
      <w:szCs w:val="32"/>
    </w:rPr>
  </w:style>
  <w:style w:type="paragraph" w:customStyle="1" w:styleId="19">
    <w:name w:val="二级标题 楷体国标 三号不加粗"/>
    <w:basedOn w:val="1"/>
    <w:next w:val="1"/>
    <w:qFormat/>
    <w:uiPriority w:val="0"/>
    <w:pPr>
      <w:keepNext/>
      <w:keepLines/>
      <w:numPr>
        <w:ilvl w:val="0"/>
        <w:numId w:val="2"/>
      </w:numPr>
      <w:spacing w:beforeLines="0" w:afterLines="0" w:line="600" w:lineRule="exact"/>
      <w:ind w:firstLine="420" w:firstLineChars="200"/>
      <w:outlineLvl w:val="1"/>
    </w:pPr>
    <w:rPr>
      <w:rFonts w:ascii="楷体_GB2312" w:hAnsi="楷体_GB2312" w:eastAsia="楷体_GB2312"/>
      <w:b/>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4602</Words>
  <Characters>5651</Characters>
  <Lines>47</Lines>
  <Paragraphs>13</Paragraphs>
  <TotalTime>10</TotalTime>
  <ScaleCrop>false</ScaleCrop>
  <LinksUpToDate>false</LinksUpToDate>
  <CharactersWithSpaces>5772</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2025-12-18T11:22:00Z</dcterms:created>
  <dc:creator>NTKO</dc:creator>
  <cp:lastModifiedBy>lenovo</cp:lastModifiedBy>
  <dcterms:modified xsi:type="dcterms:W3CDTF">2026-02-27T02:40:10Z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15E4631440634CE787F324828064F795_13</vt:lpwstr>
  </property>
  <property fmtid="{D5CDD505-2E9C-101B-9397-08002B2CF9AE}" pid="3" name="KSOProductBuildVer">
    <vt:lpwstr>2052-12.1.0.15358</vt:lpwstr>
  </property>
</Properties>
</file>