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F6B49">
      <w:pPr>
        <w:spacing w:line="341" w:lineRule="auto"/>
      </w:pPr>
    </w:p>
    <w:p w14:paraId="222DB056">
      <w:pPr>
        <w:spacing w:line="289" w:lineRule="auto"/>
        <w:jc w:val="center"/>
      </w:pPr>
    </w:p>
    <w:p w14:paraId="5A53A239">
      <w:pPr>
        <w:spacing w:line="290" w:lineRule="auto"/>
        <w:jc w:val="center"/>
      </w:pPr>
    </w:p>
    <w:p w14:paraId="51C360FC">
      <w:pPr>
        <w:widowControl w:val="0"/>
        <w:kinsoku/>
        <w:autoSpaceDE/>
        <w:autoSpaceDN/>
        <w:adjustRightInd/>
        <w:snapToGrid/>
        <w:spacing w:line="860" w:lineRule="exact"/>
        <w:jc w:val="center"/>
        <w:textAlignment w:val="auto"/>
        <w:rPr>
          <w:rFonts w:ascii="方正大标宋简体" w:hAnsi="Times New Roman" w:eastAsia="方正大标宋简体" w:cs="Times New Roman"/>
          <w:snapToGrid/>
          <w:kern w:val="2"/>
          <w:sz w:val="44"/>
          <w:szCs w:val="44"/>
        </w:rPr>
      </w:pPr>
      <w:r>
        <w:rPr>
          <w:rFonts w:hint="eastAsia" w:ascii="方正大标宋简体" w:hAnsi="Times New Roman" w:eastAsia="方正大标宋简体" w:cs="Times New Roman"/>
          <w:snapToGrid/>
          <w:kern w:val="2"/>
          <w:sz w:val="44"/>
          <w:szCs w:val="44"/>
        </w:rPr>
        <w:t>浮梁县</w:t>
      </w:r>
      <w:r>
        <w:rPr>
          <w:rFonts w:hint="eastAsia" w:ascii="方正大标宋简体" w:hAnsi="Times New Roman" w:eastAsia="方正大标宋简体" w:cs="Times New Roman"/>
          <w:snapToGrid/>
          <w:kern w:val="2"/>
          <w:sz w:val="44"/>
          <w:szCs w:val="44"/>
          <w:lang w:eastAsia="zh-CN"/>
        </w:rPr>
        <w:t>农业农村</w:t>
      </w:r>
      <w:r>
        <w:rPr>
          <w:rFonts w:hint="eastAsia" w:ascii="方正大标宋简体" w:hAnsi="Times New Roman" w:eastAsia="方正大标宋简体" w:cs="Times New Roman"/>
          <w:snapToGrid/>
          <w:kern w:val="2"/>
          <w:sz w:val="44"/>
          <w:szCs w:val="44"/>
        </w:rPr>
        <w:t>局202</w:t>
      </w:r>
      <w:r>
        <w:rPr>
          <w:rFonts w:hint="eastAsia" w:ascii="方正大标宋简体" w:hAnsi="Times New Roman" w:eastAsia="方正大标宋简体" w:cs="Times New Roman"/>
          <w:snapToGrid/>
          <w:kern w:val="2"/>
          <w:sz w:val="44"/>
          <w:szCs w:val="44"/>
          <w:lang w:val="en-US" w:eastAsia="zh-CN"/>
        </w:rPr>
        <w:t>5</w:t>
      </w:r>
      <w:r>
        <w:rPr>
          <w:rFonts w:hint="eastAsia" w:ascii="方正大标宋简体" w:hAnsi="Times New Roman" w:eastAsia="方正大标宋简体" w:cs="Times New Roman"/>
          <w:snapToGrid/>
          <w:kern w:val="2"/>
          <w:sz w:val="44"/>
          <w:szCs w:val="44"/>
        </w:rPr>
        <w:t>年部门预算</w:t>
      </w:r>
    </w:p>
    <w:p w14:paraId="727312EA">
      <w:pPr>
        <w:spacing w:before="143" w:line="219" w:lineRule="auto"/>
        <w:ind w:firstLine="1146"/>
        <w:jc w:val="center"/>
        <w:rPr>
          <w:rFonts w:ascii="宋体" w:hAnsi="宋体" w:eastAsia="宋体" w:cs="宋体"/>
          <w:spacing w:val="2"/>
          <w:sz w:val="44"/>
          <w:szCs w:val="44"/>
          <w14:textOutline w14:w="7988" w14:cap="flat" w14:cmpd="sng" w14:algn="ctr">
            <w14:solidFill>
              <w14:srgbClr w14:val="000000"/>
            </w14:solidFill>
            <w14:prstDash w14:val="solid"/>
            <w14:miter w14:val="0"/>
          </w14:textOutline>
        </w:rPr>
      </w:pPr>
    </w:p>
    <w:p w14:paraId="10240355">
      <w:pPr>
        <w:spacing w:line="334" w:lineRule="auto"/>
      </w:pPr>
    </w:p>
    <w:p w14:paraId="11860D2B">
      <w:pPr>
        <w:spacing w:line="334" w:lineRule="auto"/>
        <w:rPr>
          <w:rFonts w:eastAsia="宋体"/>
        </w:rPr>
      </w:pPr>
    </w:p>
    <w:p w14:paraId="16676064">
      <w:pPr>
        <w:widowControl w:val="0"/>
        <w:kinsoku/>
        <w:autoSpaceDE/>
        <w:autoSpaceDN/>
        <w:adjustRightInd/>
        <w:snapToGrid/>
        <w:jc w:val="center"/>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目    录</w:t>
      </w:r>
    </w:p>
    <w:p w14:paraId="7DAFBC30">
      <w:pPr>
        <w:spacing w:line="347" w:lineRule="auto"/>
      </w:pPr>
    </w:p>
    <w:p w14:paraId="6150BA8F">
      <w:pPr>
        <w:spacing w:line="347" w:lineRule="auto"/>
      </w:pPr>
    </w:p>
    <w:p w14:paraId="14EA8FBF">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第一部分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局概况</w:t>
      </w:r>
    </w:p>
    <w:p w14:paraId="227F421D">
      <w:pPr>
        <w:spacing w:before="207"/>
        <w:ind w:firstLine="632" w:firstLineChars="200"/>
        <w:rPr>
          <w:rFonts w:ascii="楷体" w:hAnsi="楷体" w:eastAsia="楷体" w:cs="楷体"/>
          <w:sz w:val="32"/>
          <w:szCs w:val="32"/>
        </w:rPr>
      </w:pPr>
      <w:r>
        <w:rPr>
          <w:rFonts w:ascii="楷体" w:hAnsi="楷体" w:eastAsia="楷体" w:cs="楷体"/>
          <w:spacing w:val="-2"/>
          <w:sz w:val="32"/>
          <w:szCs w:val="32"/>
        </w:rPr>
        <w:t>一、部门主要职责</w:t>
      </w:r>
    </w:p>
    <w:p w14:paraId="7D92DF9C">
      <w:pPr>
        <w:spacing w:before="200"/>
        <w:ind w:firstLine="644" w:firstLineChars="200"/>
        <w:rPr>
          <w:rFonts w:ascii="楷体" w:hAnsi="楷体" w:eastAsia="楷体" w:cs="楷体"/>
          <w:sz w:val="32"/>
          <w:szCs w:val="32"/>
        </w:rPr>
      </w:pPr>
      <w:r>
        <w:rPr>
          <w:rFonts w:ascii="楷体" w:hAnsi="楷体" w:eastAsia="楷体" w:cs="楷体"/>
          <w:spacing w:val="1"/>
          <w:sz w:val="32"/>
          <w:szCs w:val="32"/>
        </w:rPr>
        <w:t>二、机构设置及人员情况</w:t>
      </w:r>
    </w:p>
    <w:p w14:paraId="5052DDB9">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第二部分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w:t>
      </w:r>
      <w:r>
        <w:rPr>
          <w:rFonts w:hint="eastAsia" w:ascii="黑体" w:hAnsi="黑体" w:eastAsia="黑体" w:cs="黑体"/>
          <w:snapToGrid/>
          <w:kern w:val="2"/>
          <w:sz w:val="32"/>
          <w:szCs w:val="32"/>
          <w:lang w:val="en-US" w:eastAsia="zh-CN"/>
        </w:rPr>
        <w:t>25</w:t>
      </w:r>
      <w:r>
        <w:rPr>
          <w:rFonts w:hint="eastAsia" w:ascii="黑体" w:hAnsi="黑体" w:eastAsia="黑体" w:cs="黑体"/>
          <w:snapToGrid/>
          <w:kern w:val="2"/>
          <w:sz w:val="32"/>
          <w:szCs w:val="32"/>
        </w:rPr>
        <w:t>年部门预算表</w:t>
      </w:r>
    </w:p>
    <w:p w14:paraId="4BD29561">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一、《收支预算总表》</w:t>
      </w:r>
    </w:p>
    <w:p w14:paraId="2E679292">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二、《部门收入总表》</w:t>
      </w:r>
    </w:p>
    <w:p w14:paraId="47A5C93A">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三、《部门支出总表》</w:t>
      </w:r>
    </w:p>
    <w:p w14:paraId="72B030DA">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四、《财政拨款收支总表》</w:t>
      </w:r>
    </w:p>
    <w:p w14:paraId="689C45AB">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五、《一般公共预算支出表》</w:t>
      </w:r>
    </w:p>
    <w:p w14:paraId="25A09A0F">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六、《一般公共预算基本支出表》</w:t>
      </w:r>
    </w:p>
    <w:p w14:paraId="59AEC967">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七、《一般公共预算"三公"经费支出表》</w:t>
      </w:r>
    </w:p>
    <w:p w14:paraId="0CC466CD">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八、《政府性基金预算支出表》</w:t>
      </w:r>
    </w:p>
    <w:p w14:paraId="33C7D6D6">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九、《国有资本经营预算支出表》</w:t>
      </w:r>
    </w:p>
    <w:p w14:paraId="158A11D5">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十、《部门整体支出绩效目标表》</w:t>
      </w:r>
    </w:p>
    <w:p w14:paraId="661A86FE">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十一、《项目绩效目标表》</w:t>
      </w:r>
    </w:p>
    <w:p w14:paraId="45F11F75">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第三部分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局202</w:t>
      </w:r>
      <w:r>
        <w:rPr>
          <w:rFonts w:hint="eastAsia" w:ascii="黑体" w:hAnsi="黑体" w:eastAsia="黑体" w:cs="黑体"/>
          <w:snapToGrid/>
          <w:kern w:val="2"/>
          <w:sz w:val="32"/>
          <w:szCs w:val="32"/>
          <w:lang w:val="en-US" w:eastAsia="zh-CN"/>
        </w:rPr>
        <w:t>5</w:t>
      </w:r>
      <w:r>
        <w:rPr>
          <w:rFonts w:hint="eastAsia" w:ascii="黑体" w:hAnsi="黑体" w:eastAsia="黑体" w:cs="黑体"/>
          <w:snapToGrid/>
          <w:kern w:val="2"/>
          <w:sz w:val="32"/>
          <w:szCs w:val="32"/>
        </w:rPr>
        <w:t>年部门预算情况说明</w:t>
      </w:r>
    </w:p>
    <w:p w14:paraId="0EE15650">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一、20</w:t>
      </w:r>
      <w:r>
        <w:rPr>
          <w:rFonts w:hint="eastAsia" w:ascii="楷体" w:hAnsi="楷体" w:eastAsia="楷体" w:cs="楷体"/>
          <w:spacing w:val="1"/>
          <w:sz w:val="32"/>
          <w:szCs w:val="32"/>
          <w:lang w:val="en-US" w:eastAsia="zh-CN"/>
        </w:rPr>
        <w:t>25</w:t>
      </w:r>
      <w:r>
        <w:rPr>
          <w:rFonts w:hint="eastAsia" w:ascii="楷体" w:hAnsi="楷体" w:eastAsia="楷体" w:cs="楷体"/>
          <w:spacing w:val="1"/>
          <w:sz w:val="32"/>
          <w:szCs w:val="32"/>
        </w:rPr>
        <w:t>年部门预算收支情况说明</w:t>
      </w:r>
    </w:p>
    <w:p w14:paraId="41B70656">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二、20</w:t>
      </w:r>
      <w:r>
        <w:rPr>
          <w:rFonts w:hint="eastAsia" w:ascii="楷体" w:hAnsi="楷体" w:eastAsia="楷体" w:cs="楷体"/>
          <w:spacing w:val="1"/>
          <w:sz w:val="32"/>
          <w:szCs w:val="32"/>
          <w:lang w:val="en-US" w:eastAsia="zh-CN"/>
        </w:rPr>
        <w:t>25</w:t>
      </w:r>
      <w:r>
        <w:rPr>
          <w:rFonts w:hint="eastAsia" w:ascii="楷体" w:hAnsi="楷体" w:eastAsia="楷体" w:cs="楷体"/>
          <w:spacing w:val="1"/>
          <w:sz w:val="32"/>
          <w:szCs w:val="32"/>
        </w:rPr>
        <w:t>年"三公”经费预算情况说明</w:t>
      </w:r>
    </w:p>
    <w:p w14:paraId="5E242C48">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第四部分 名词解释</w:t>
      </w:r>
    </w:p>
    <w:p w14:paraId="28C89FA1"/>
    <w:p w14:paraId="20E1EDA1"/>
    <w:p w14:paraId="49D620EF"/>
    <w:p w14:paraId="06CCF8DE"/>
    <w:p w14:paraId="53E866DB"/>
    <w:p w14:paraId="2D8BE5B7">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6B1D1CE5">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06C6147">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72E28489">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7665D0D3">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71DDDCD3">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3EA69850">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7D458EC3">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64902A54">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260FF488">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4882B2A3">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40B65B76">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41BF0E82">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6CE55388">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246F65B7">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27DD4E82">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31C9F765">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B5645FB">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19D55FE">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B75D4FA">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2113882A">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18992B23">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6EFC18B6">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4D33EC54">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6D8C3D7B">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4CCA869">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155E9F01">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57CB00A2">
      <w:pPr>
        <w:widowControl w:val="0"/>
        <w:kinsoku/>
        <w:autoSpaceDE/>
        <w:autoSpaceDN/>
        <w:adjustRightInd/>
        <w:snapToGrid/>
        <w:jc w:val="center"/>
        <w:textAlignment w:val="auto"/>
        <w:rPr>
          <w:rFonts w:hint="eastAsia" w:ascii="黑体" w:hAnsi="黑体" w:eastAsia="黑体" w:cs="黑体"/>
          <w:snapToGrid/>
          <w:kern w:val="2"/>
          <w:sz w:val="32"/>
          <w:szCs w:val="32"/>
        </w:rPr>
      </w:pPr>
    </w:p>
    <w:p w14:paraId="00D4E72D">
      <w:pPr>
        <w:widowControl w:val="0"/>
        <w:kinsoku/>
        <w:autoSpaceDE/>
        <w:autoSpaceDN/>
        <w:adjustRightInd/>
        <w:snapToGrid/>
        <w:jc w:val="center"/>
        <w:textAlignment w:val="auto"/>
      </w:pPr>
      <w:r>
        <w:rPr>
          <w:rFonts w:hint="eastAsia" w:ascii="黑体" w:hAnsi="黑体" w:eastAsia="黑体" w:cs="黑体"/>
          <w:snapToGrid/>
          <w:kern w:val="2"/>
          <w:sz w:val="32"/>
          <w:szCs w:val="32"/>
        </w:rPr>
        <w:t xml:space="preserve">第一部分 </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局概况</w:t>
      </w:r>
    </w:p>
    <w:p w14:paraId="59849D1D">
      <w:pPr>
        <w:spacing w:before="214"/>
        <w:rPr>
          <w:rFonts w:ascii="楷体" w:hAnsi="楷体" w:eastAsia="楷体" w:cs="楷体"/>
          <w:spacing w:val="13"/>
          <w:sz w:val="32"/>
          <w:szCs w:val="32"/>
        </w:rPr>
      </w:pPr>
      <w:r>
        <w:rPr>
          <w:rFonts w:hint="eastAsia" w:ascii="楷体" w:hAnsi="楷体" w:eastAsia="楷体" w:cs="楷体"/>
          <w:spacing w:val="13"/>
          <w:sz w:val="32"/>
          <w:szCs w:val="32"/>
        </w:rPr>
        <w:t>一、部门主要职责</w:t>
      </w:r>
    </w:p>
    <w:p w14:paraId="4CAA5A94">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一）统筹研究和组织实施全县以乡村振兴为重心的“三农”工作发展战略、中长期规划、重大政策。组织起草农业农村和乡村振兴有关规范性文件，落实农业农村和乡村振兴有关政策。参与涉农的财税、价格、收储、金融保险、进出口等政策制定。</w:t>
      </w:r>
    </w:p>
    <w:p w14:paraId="26DF20D4">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（二）统筹推动发展全县农村社会事业、农村公共服务、农村文化、农村基础设施和乡村治理。牵头组织改善农村人居环境。指导农村精神文明和优秀农耕文化建设。指导全县农业行业安全生产工作。</w:t>
      </w:r>
    </w:p>
    <w:p w14:paraId="1B90C904">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三）负责农民承包耕地、农村宅基地、农村集体产权制度改革和管理有关工作。拟订深化全县农村经济体制改革和巩固完善农村基本经营制度的政策。指导全县农村集体经济组织发展和集体资产管理工作。指导全县农民合作经济组织、农业社会化服务体系、新型农业经营主体建设与发展。监督减轻农民负担和村民筹资筹劳管理工作。</w:t>
      </w:r>
    </w:p>
    <w:p w14:paraId="5F1F87EB">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四）负责全县巩固拓展脱贫攻坚成果有关工作。牵头开展防止返贫监测和帮扶，组织拟订乡村振兴重点帮扶村的帮扶政策，组织开展定点帮扶、社会帮扶，负责实施过渡期内巩固拓展脱贫攻坚成果相关考核评估工作，研究提出财政衔接推进乡村振兴相关资金分配建议方案并指导、监督资金使用，推动乡村帮扶产业发展。承担全县农村低收入人口和欠发达地区常态化帮扶有关工作，构建长效帮扶机制。</w:t>
      </w:r>
    </w:p>
    <w:p w14:paraId="1165CBA1">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五）负责拟订全县农业产业化经营发展政策措施并组织实施。负责指导全县乡村特色产业、农产品加工业、休闲农业和乡镇企业发展工作，推进乡村民宿产业发展，推动延长农产品产业链。提出促进大宗农产品流通的建议，培育、保护农业品牌。发布全县农业农村经济信息，监测分析全县农业农村经济运行。承担全县农业农村信息化有关工作。</w:t>
      </w:r>
    </w:p>
    <w:p w14:paraId="150EC540">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六）负责全县种植业、畜牧业、渔业、农业机械化、农垦等农业各产业发展的政策制定、组织实施和监督管理。指导粮食等农产品生产，组织协调“菜篮子”工作，推进构建多元化食物供给体系。组织构建全县现代农业产业体系、生产体系、经营体系，指导农业标准化生产。</w:t>
      </w:r>
    </w:p>
    <w:p w14:paraId="2F660906">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（七）负责全县农产品质量安全监督管理。组织开展农产品质量安全监测、追溯、风险评估。指导全县农业检验检测体系建设。组织农产品质量安全重大事故的调查处理和突发事件的应对工作。</w:t>
      </w:r>
    </w:p>
    <w:p w14:paraId="1A0B840E">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（八）负责全县耕地、永久基本农田质量保护和高标准农田建设与管理工作。组织全县农业资源区划工作。指导农用地、渔业水域以及农业生物物种资源的保护与管理，负责水生野生动植物保护工作。</w:t>
      </w:r>
    </w:p>
    <w:p w14:paraId="3F406C6A">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九）负责农业领域生态环境保护和节能减排工作。牵头负责农业污染源头减量和废弃物资源化利用。指导农产品产地环境管理和农业清洁生产。指导全县设施农业、生态循环农业、节水农业发展以及农村可再生能源综合开发利用、农业生物质产业发展。牵头管理外来物种。</w:t>
      </w:r>
    </w:p>
    <w:p w14:paraId="1AAC9D3A">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负责全县有关农业生产资料和农业投入品的监督管理。组织全县农业生产资料市场体系建设，拟订有关农业生产资料地方标准并监督实施。拟订全县种业振兴政策并组织实施。负责全县农药、肥料、饲料、饲料添加剂管理。组织兽医医政、兽药药政药检工作，负责执业兽医和畜禽屠宰行业管理。</w:t>
      </w:r>
    </w:p>
    <w:p w14:paraId="7E67D2B0">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一）负责全县农业防灾减灾、农作物重大病虫害防治工作。监测、报告、发布农业灾情，组织农业救灾物资储备和调拨，提出生产救灾资金安排建议，指导紧急救灾和灾后生产恢复。指导全县动植物防疫检疫体系建设，组织、监督县内动植物防疫检疫工作，发布疫情并组织扑灭。</w:t>
      </w:r>
    </w:p>
    <w:p w14:paraId="7FFFC944">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二）负责农业投资管理。提出全县农业投融资体制机制改革建议。编制县级投资安排的农业投资项目建设规划，提出农业投资规模和方向、扶持农业农村发展财政项目的建议，负责农业投资项目资金安排和监督管理。</w:t>
      </w:r>
    </w:p>
    <w:p w14:paraId="12F0B352">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三）参与拟订全县农业农村科技发展规划和政策。指导全县农业农村科技进步，推动全县农业农村科技体制改革和科技创新体系建设。组织开展农业应用技术研究、现代农业产业技术体系建设、关键核心技术攻关、科技成果转化。指导全县农技推广体系建设和农技推广工作。参与县级农业科技项目绩效评价。负责全县农业转基因生物安全监督管理和农业植物新品种保护。</w:t>
      </w:r>
    </w:p>
    <w:p w14:paraId="2FB9C7EB">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（十四）指导全县农业农村人才工作。拟订全县农业农村人才队伍建设规划并组织实施，指导农业教育和农业职业技能开发，指导高素质农民培育、农业科技人才培养和农村实用人才培训工作。</w:t>
      </w:r>
    </w:p>
    <w:p w14:paraId="534F31C0">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（十五）承担开展全县农业对外合作工作。承办政府间农业涉外事务，组织开展农业贸易促进和有关国际国内交流合作。</w:t>
      </w:r>
    </w:p>
    <w:p w14:paraId="7D4AA7D9">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（十六）统筹管理农业综合执法工作，按照法律法规依法赋予的执法职责和范围开展行政执法工作，监督指导各乡镇农业行政执法工作。</w:t>
      </w:r>
    </w:p>
    <w:p w14:paraId="27BB2394">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（十七）贯彻执行国家和省有关粮食流通管理的法律法规，起草全县粮食流通管理的有关政策并组织实施。研究提出全县粮食流通体制改革方案并组织实施。负责粮食流通的对外合作与交流。</w:t>
      </w:r>
    </w:p>
    <w:p w14:paraId="29531759">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八）承担全县粮食流通的宏观调控工作。指导协调地方储备粮管理，负责县级储备粮行政管理。负责粮食流通统计工作。拟订全县粮食市场体系建设及粮食流通设施建设规划并组织实施。负责政策性粮食供应及军粮供应与管理。研究提出全县生活救灾类粮、油储备规划和品种目录的建议并组织实施。拟订全县粮食流通设施建设规划和粮食流通有关标准并组织实施。拟定全县粮、油储备仓储管理有关技术标准和规范并组织实施。负责全县粮食流通行业管理，制定行业发展规划、政策。负责粮食流通监督检查和行业安全生产工作监督管理。组织实施全县粮食库存检查工作。承担粮食安全责任制考核日常工作。</w:t>
      </w:r>
    </w:p>
    <w:p w14:paraId="4B2A971E">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（十九）完成县委、县政府和县委农村工作领导小组交办的其他任务。</w:t>
      </w:r>
    </w:p>
    <w:p w14:paraId="7F71B758">
      <w:pPr>
        <w:spacing w:before="214"/>
        <w:rPr>
          <w:rFonts w:hint="eastAsia" w:ascii="楷体" w:hAnsi="楷体" w:eastAsia="楷体" w:cs="楷体"/>
          <w:spacing w:val="13"/>
          <w:sz w:val="32"/>
          <w:szCs w:val="32"/>
        </w:rPr>
      </w:pPr>
      <w:r>
        <w:rPr>
          <w:rFonts w:hint="eastAsia" w:ascii="楷体" w:hAnsi="楷体" w:eastAsia="楷体" w:cs="楷体"/>
          <w:spacing w:val="13"/>
          <w:sz w:val="32"/>
          <w:szCs w:val="32"/>
        </w:rPr>
        <w:t>二、机构设置及人员情况</w:t>
      </w:r>
    </w:p>
    <w:p w14:paraId="2D847426">
      <w:pPr>
        <w:keepNext w:val="0"/>
        <w:keepLines w:val="0"/>
        <w:pageBreakBefore w:val="0"/>
        <w:widowControl/>
        <w:kinsoku w:val="0"/>
        <w:wordWrap/>
        <w:overflowPunct/>
        <w:topLinePunct w:val="0"/>
        <w:autoSpaceDE w:val="0"/>
        <w:autoSpaceDN w:val="0"/>
        <w:bidi w:val="0"/>
        <w:adjustRightInd w:val="0"/>
        <w:snapToGrid w:val="0"/>
        <w:spacing w:before="214" w:line="600" w:lineRule="exact"/>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rPr>
        <w:t>纳入本套部门预算汇编范围的单位共</w:t>
      </w:r>
      <w:r>
        <w:rPr>
          <w:rFonts w:hint="eastAsia" w:ascii="仿宋" w:hAnsi="仿宋" w:eastAsia="仿宋" w:cs="仿宋"/>
          <w:spacing w:val="-2"/>
          <w:sz w:val="32"/>
          <w:szCs w:val="32"/>
          <w:lang w:val="en-US" w:eastAsia="zh-CN"/>
        </w:rPr>
        <w:t>4</w:t>
      </w:r>
      <w:r>
        <w:rPr>
          <w:rFonts w:hint="eastAsia" w:ascii="仿宋" w:hAnsi="仿宋" w:eastAsia="仿宋" w:cs="仿宋"/>
          <w:spacing w:val="-2"/>
          <w:sz w:val="32"/>
          <w:szCs w:val="32"/>
        </w:rPr>
        <w:t>个，包括：浮梁县农业</w:t>
      </w:r>
      <w:r>
        <w:rPr>
          <w:rFonts w:hint="eastAsia" w:ascii="仿宋" w:hAnsi="仿宋" w:eastAsia="仿宋" w:cs="仿宋"/>
          <w:spacing w:val="-2"/>
          <w:sz w:val="32"/>
          <w:szCs w:val="32"/>
          <w:lang w:eastAsia="zh-CN"/>
        </w:rPr>
        <w:t>农村</w:t>
      </w:r>
      <w:r>
        <w:rPr>
          <w:rFonts w:hint="eastAsia" w:ascii="仿宋" w:hAnsi="仿宋" w:eastAsia="仿宋" w:cs="仿宋"/>
          <w:spacing w:val="-2"/>
          <w:sz w:val="32"/>
          <w:szCs w:val="32"/>
        </w:rPr>
        <w:t>局机关、浮梁县农业技术推广中心、浮梁县农业综合执法大队</w:t>
      </w:r>
      <w:r>
        <w:rPr>
          <w:rFonts w:hint="eastAsia" w:ascii="仿宋" w:hAnsi="仿宋" w:eastAsia="仿宋" w:cs="仿宋"/>
          <w:spacing w:val="-2"/>
          <w:sz w:val="32"/>
          <w:szCs w:val="32"/>
          <w:lang w:eastAsia="zh-CN"/>
        </w:rPr>
        <w:t>、浮梁县农业农村产业发展服务中心。</w:t>
      </w:r>
    </w:p>
    <w:p w14:paraId="025D3DEF">
      <w:pPr>
        <w:keepNext w:val="0"/>
        <w:keepLines w:val="0"/>
        <w:pageBreakBefore w:val="0"/>
        <w:widowControl/>
        <w:kinsoku w:val="0"/>
        <w:wordWrap/>
        <w:overflowPunct/>
        <w:topLinePunct w:val="0"/>
        <w:autoSpaceDE w:val="0"/>
        <w:autoSpaceDN w:val="0"/>
        <w:bidi w:val="0"/>
        <w:adjustRightInd w:val="0"/>
        <w:snapToGrid w:val="0"/>
        <w:spacing w:before="214" w:line="600" w:lineRule="exact"/>
        <w:ind w:firstLine="632" w:firstLineChars="200"/>
        <w:textAlignment w:val="baseline"/>
        <w:rPr>
          <w:rFonts w:hint="eastAsia" w:ascii="仿宋" w:hAnsi="仿宋" w:eastAsia="仿宋" w:cs="仿宋"/>
          <w:spacing w:val="-2"/>
          <w:sz w:val="32"/>
          <w:szCs w:val="32"/>
          <w:highlight w:val="none"/>
          <w:lang w:eastAsia="zh-CN"/>
        </w:rPr>
      </w:pPr>
      <w:r>
        <w:rPr>
          <w:rFonts w:hint="eastAsia" w:ascii="仿宋" w:hAnsi="仿宋" w:eastAsia="仿宋" w:cs="仿宋"/>
          <w:spacing w:val="-2"/>
          <w:sz w:val="32"/>
          <w:szCs w:val="32"/>
          <w:highlight w:val="none"/>
          <w:lang w:eastAsia="zh-CN"/>
        </w:rPr>
        <w:t>纳入本套部门预算汇编范围的编制人数共</w:t>
      </w:r>
      <w:r>
        <w:rPr>
          <w:rFonts w:hint="eastAsia" w:ascii="仿宋" w:hAnsi="仿宋" w:eastAsia="仿宋" w:cs="仿宋"/>
          <w:spacing w:val="-2"/>
          <w:sz w:val="32"/>
          <w:szCs w:val="32"/>
          <w:highlight w:val="none"/>
          <w:lang w:val="en-US" w:eastAsia="zh-CN"/>
        </w:rPr>
        <w:t>104</w:t>
      </w:r>
      <w:r>
        <w:rPr>
          <w:rFonts w:hint="eastAsia" w:ascii="仿宋" w:hAnsi="仿宋" w:eastAsia="仿宋" w:cs="仿宋"/>
          <w:spacing w:val="-2"/>
          <w:sz w:val="32"/>
          <w:szCs w:val="32"/>
          <w:highlight w:val="none"/>
          <w:lang w:eastAsia="zh-CN"/>
        </w:rPr>
        <w:t>人，其中行政编制38人，事业编</w:t>
      </w:r>
      <w:r>
        <w:rPr>
          <w:rFonts w:hint="eastAsia" w:ascii="仿宋" w:hAnsi="仿宋" w:eastAsia="仿宋" w:cs="仿宋"/>
          <w:spacing w:val="-2"/>
          <w:sz w:val="32"/>
          <w:szCs w:val="32"/>
          <w:highlight w:val="none"/>
          <w:lang w:val="en-US" w:eastAsia="zh-CN"/>
        </w:rPr>
        <w:t>66</w:t>
      </w:r>
      <w:r>
        <w:rPr>
          <w:rFonts w:hint="eastAsia" w:ascii="仿宋" w:hAnsi="仿宋" w:eastAsia="仿宋" w:cs="仿宋"/>
          <w:spacing w:val="-2"/>
          <w:sz w:val="32"/>
          <w:szCs w:val="32"/>
          <w:highlight w:val="none"/>
          <w:lang w:eastAsia="zh-CN"/>
        </w:rPr>
        <w:t>人；在职人数</w:t>
      </w:r>
      <w:r>
        <w:rPr>
          <w:rFonts w:hint="eastAsia" w:ascii="仿宋" w:hAnsi="仿宋" w:eastAsia="仿宋" w:cs="仿宋"/>
          <w:spacing w:val="-2"/>
          <w:sz w:val="32"/>
          <w:szCs w:val="32"/>
          <w:highlight w:val="none"/>
          <w:lang w:val="en-US" w:eastAsia="zh-CN"/>
        </w:rPr>
        <w:t>84</w:t>
      </w:r>
      <w:r>
        <w:rPr>
          <w:rFonts w:hint="eastAsia" w:ascii="仿宋" w:hAnsi="仿宋" w:eastAsia="仿宋" w:cs="仿宋"/>
          <w:spacing w:val="-2"/>
          <w:sz w:val="32"/>
          <w:szCs w:val="32"/>
          <w:highlight w:val="none"/>
          <w:lang w:eastAsia="zh-CN"/>
        </w:rPr>
        <w:t>人，退休人员</w:t>
      </w:r>
      <w:r>
        <w:rPr>
          <w:rFonts w:hint="eastAsia" w:ascii="仿宋" w:hAnsi="仿宋" w:eastAsia="仿宋" w:cs="仿宋"/>
          <w:spacing w:val="-2"/>
          <w:sz w:val="32"/>
          <w:szCs w:val="32"/>
          <w:highlight w:val="none"/>
          <w:lang w:val="en-US" w:eastAsia="zh-CN"/>
        </w:rPr>
        <w:t>97</w:t>
      </w:r>
      <w:r>
        <w:rPr>
          <w:rFonts w:hint="eastAsia" w:ascii="仿宋" w:hAnsi="仿宋" w:eastAsia="仿宋" w:cs="仿宋"/>
          <w:spacing w:val="-2"/>
          <w:sz w:val="32"/>
          <w:szCs w:val="32"/>
          <w:highlight w:val="none"/>
          <w:lang w:eastAsia="zh-CN"/>
        </w:rPr>
        <w:t>人、遗嘱</w:t>
      </w:r>
      <w:r>
        <w:rPr>
          <w:rFonts w:hint="eastAsia" w:ascii="仿宋" w:hAnsi="仿宋" w:eastAsia="仿宋" w:cs="仿宋"/>
          <w:spacing w:val="-2"/>
          <w:sz w:val="32"/>
          <w:szCs w:val="32"/>
          <w:highlight w:val="none"/>
          <w:lang w:val="en-US" w:eastAsia="zh-CN"/>
        </w:rPr>
        <w:t>8</w:t>
      </w:r>
      <w:r>
        <w:rPr>
          <w:rFonts w:hint="eastAsia" w:ascii="仿宋" w:hAnsi="仿宋" w:eastAsia="仿宋" w:cs="仿宋"/>
          <w:spacing w:val="-2"/>
          <w:sz w:val="32"/>
          <w:szCs w:val="32"/>
          <w:highlight w:val="none"/>
          <w:lang w:eastAsia="zh-CN"/>
        </w:rPr>
        <w:t>人。</w:t>
      </w:r>
    </w:p>
    <w:p w14:paraId="2FC08D62">
      <w:pPr>
        <w:keepNext w:val="0"/>
        <w:keepLines w:val="0"/>
        <w:pageBreakBefore w:val="0"/>
        <w:widowControl/>
        <w:kinsoku w:val="0"/>
        <w:wordWrap/>
        <w:overflowPunct/>
        <w:topLinePunct w:val="0"/>
        <w:autoSpaceDE w:val="0"/>
        <w:autoSpaceDN w:val="0"/>
        <w:bidi w:val="0"/>
        <w:adjustRightInd w:val="0"/>
        <w:snapToGrid w:val="0"/>
        <w:spacing w:before="214" w:line="600" w:lineRule="exact"/>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 xml:space="preserve"> </w:t>
      </w:r>
    </w:p>
    <w:p w14:paraId="48DF54A2">
      <w:pPr>
        <w:widowControl w:val="0"/>
        <w:kinsoku/>
        <w:autoSpaceDE/>
        <w:autoSpaceDN/>
        <w:adjustRightInd/>
        <w:snapToGrid/>
        <w:jc w:val="center"/>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第二部分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局202</w:t>
      </w:r>
      <w:r>
        <w:rPr>
          <w:rFonts w:hint="eastAsia" w:ascii="黑体" w:hAnsi="黑体" w:eastAsia="黑体" w:cs="黑体"/>
          <w:snapToGrid/>
          <w:kern w:val="2"/>
          <w:sz w:val="32"/>
          <w:szCs w:val="32"/>
          <w:lang w:val="en-US" w:eastAsia="zh-CN"/>
        </w:rPr>
        <w:t>4</w:t>
      </w:r>
      <w:r>
        <w:rPr>
          <w:rFonts w:hint="eastAsia" w:ascii="黑体" w:hAnsi="黑体" w:eastAsia="黑体" w:cs="黑体"/>
          <w:snapToGrid/>
          <w:kern w:val="2"/>
          <w:sz w:val="32"/>
          <w:szCs w:val="32"/>
        </w:rPr>
        <w:t>年部门预算表</w:t>
      </w:r>
    </w:p>
    <w:p w14:paraId="16145E2E">
      <w:pPr>
        <w:spacing w:before="215"/>
        <w:ind w:firstLine="3550"/>
        <w:rPr>
          <w:rFonts w:ascii="仿宋" w:hAnsi="仿宋" w:eastAsia="仿宋" w:cs="仿宋"/>
          <w:spacing w:val="17"/>
          <w:sz w:val="32"/>
          <w:szCs w:val="32"/>
        </w:rPr>
      </w:pPr>
      <w:r>
        <w:rPr>
          <w:rFonts w:ascii="仿宋" w:hAnsi="仿宋" w:eastAsia="仿宋" w:cs="仿宋"/>
          <w:spacing w:val="17"/>
          <w:sz w:val="32"/>
          <w:szCs w:val="32"/>
        </w:rPr>
        <w:t>(详见附表)</w:t>
      </w:r>
    </w:p>
    <w:p w14:paraId="3B31B7A3">
      <w:pPr>
        <w:spacing w:before="215"/>
        <w:ind w:firstLine="3550"/>
        <w:rPr>
          <w:rFonts w:ascii="仿宋" w:hAnsi="仿宋" w:eastAsia="仿宋" w:cs="仿宋"/>
          <w:spacing w:val="17"/>
          <w:sz w:val="32"/>
          <w:szCs w:val="32"/>
        </w:rPr>
      </w:pPr>
    </w:p>
    <w:p w14:paraId="76E8F00A"/>
    <w:p w14:paraId="6C00D070">
      <w:pPr>
        <w:widowControl w:val="0"/>
        <w:kinsoku/>
        <w:autoSpaceDE/>
        <w:autoSpaceDN/>
        <w:adjustRightInd/>
        <w:snapToGrid/>
        <w:jc w:val="center"/>
        <w:textAlignment w:val="auto"/>
      </w:pPr>
      <w:r>
        <w:rPr>
          <w:rFonts w:hint="eastAsia" w:ascii="黑体" w:hAnsi="黑体" w:eastAsia="黑体" w:cs="黑体"/>
          <w:snapToGrid/>
          <w:kern w:val="2"/>
          <w:sz w:val="32"/>
          <w:szCs w:val="32"/>
        </w:rPr>
        <w:t>第三部分 浮梁县农业农村局202</w:t>
      </w:r>
      <w:r>
        <w:rPr>
          <w:rFonts w:hint="eastAsia" w:ascii="黑体" w:hAnsi="黑体" w:eastAsia="黑体" w:cs="黑体"/>
          <w:snapToGrid/>
          <w:kern w:val="2"/>
          <w:sz w:val="32"/>
          <w:szCs w:val="32"/>
          <w:lang w:val="en-US" w:eastAsia="zh-CN"/>
        </w:rPr>
        <w:t>5</w:t>
      </w:r>
      <w:r>
        <w:rPr>
          <w:rFonts w:hint="eastAsia" w:ascii="黑体" w:hAnsi="黑体" w:eastAsia="黑体" w:cs="黑体"/>
          <w:snapToGrid/>
          <w:kern w:val="2"/>
          <w:sz w:val="32"/>
          <w:szCs w:val="32"/>
        </w:rPr>
        <w:t>年部门预算情况说明</w:t>
      </w:r>
    </w:p>
    <w:p w14:paraId="1EE89F5C">
      <w:pPr>
        <w:spacing w:before="214"/>
        <w:ind w:firstLine="692" w:firstLineChars="200"/>
        <w:rPr>
          <w:rFonts w:ascii="楷体" w:hAnsi="楷体" w:eastAsia="楷体" w:cs="楷体"/>
          <w:spacing w:val="13"/>
          <w:sz w:val="32"/>
          <w:szCs w:val="32"/>
        </w:rPr>
      </w:pPr>
      <w:r>
        <w:rPr>
          <w:rFonts w:hint="eastAsia" w:ascii="楷体" w:hAnsi="楷体" w:eastAsia="楷体" w:cs="楷体"/>
          <w:spacing w:val="13"/>
          <w:sz w:val="32"/>
          <w:szCs w:val="32"/>
        </w:rPr>
        <w:t>一、202</w:t>
      </w:r>
      <w:r>
        <w:rPr>
          <w:rFonts w:hint="eastAsia" w:ascii="楷体" w:hAnsi="楷体" w:eastAsia="楷体" w:cs="楷体"/>
          <w:spacing w:val="13"/>
          <w:sz w:val="32"/>
          <w:szCs w:val="32"/>
          <w:lang w:val="en-US" w:eastAsia="zh-CN"/>
        </w:rPr>
        <w:t>5</w:t>
      </w:r>
      <w:r>
        <w:rPr>
          <w:rFonts w:hint="eastAsia" w:ascii="楷体" w:hAnsi="楷体" w:eastAsia="楷体" w:cs="楷体"/>
          <w:spacing w:val="13"/>
          <w:sz w:val="32"/>
          <w:szCs w:val="32"/>
        </w:rPr>
        <w:t>年部门预算收支情况说明</w:t>
      </w:r>
    </w:p>
    <w:p w14:paraId="3EF09632">
      <w:pPr>
        <w:widowControl w:val="0"/>
        <w:kinsoku/>
        <w:autoSpaceDE/>
        <w:autoSpaceDN/>
        <w:adjustRightInd/>
        <w:snapToGrid/>
        <w:ind w:firstLine="640" w:firstLineChars="200"/>
        <w:jc w:val="both"/>
        <w:textAlignment w:val="auto"/>
        <w:rPr>
          <w:rFonts w:ascii="仿宋_GB2312" w:hAnsi="Times New Roman" w:eastAsia="仿宋_GB2312" w:cs="Times New Roman"/>
          <w:snapToGrid/>
          <w:kern w:val="2"/>
          <w:sz w:val="32"/>
          <w:szCs w:val="32"/>
        </w:rPr>
      </w:pPr>
      <w:r>
        <w:rPr>
          <w:rFonts w:hint="eastAsia" w:ascii="仿宋_GB2312" w:hAnsi="Times New Roman" w:eastAsia="仿宋_GB2312" w:cs="Times New Roman"/>
          <w:snapToGrid/>
          <w:kern w:val="2"/>
          <w:sz w:val="32"/>
          <w:szCs w:val="32"/>
        </w:rPr>
        <w:t>(一)收入预算情况</w:t>
      </w:r>
    </w:p>
    <w:p w14:paraId="7EB0E882">
      <w:pPr>
        <w:keepNext w:val="0"/>
        <w:keepLines w:val="0"/>
        <w:pageBreakBefore w:val="0"/>
        <w:wordWrap/>
        <w:overflowPunct/>
        <w:topLinePunct w:val="0"/>
        <w:bidi w:val="0"/>
        <w:spacing w:line="600" w:lineRule="exact"/>
        <w:ind w:firstLine="640" w:firstLineChars="200"/>
        <w:rPr>
          <w:rFonts w:ascii="仿宋" w:hAnsi="仿宋" w:eastAsia="仿宋" w:cs="Arial"/>
          <w:color w:val="FF0000"/>
          <w:sz w:val="32"/>
          <w:szCs w:val="32"/>
          <w:u w:val="single"/>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年收入预算总额</w:t>
      </w:r>
      <w:r>
        <w:rPr>
          <w:rFonts w:hint="eastAsia" w:ascii="仿宋" w:hAnsi="仿宋" w:eastAsia="仿宋" w:cs="Arial"/>
          <w:sz w:val="32"/>
          <w:szCs w:val="32"/>
          <w:lang w:val="en-US" w:eastAsia="zh-CN"/>
        </w:rPr>
        <w:t>10674.48</w:t>
      </w:r>
      <w:r>
        <w:rPr>
          <w:rFonts w:hint="eastAsia" w:ascii="仿宋" w:hAnsi="仿宋" w:eastAsia="仿宋" w:cs="Arial"/>
          <w:sz w:val="32"/>
          <w:szCs w:val="32"/>
        </w:rPr>
        <w:t>万元，其中公共财政拨款收入</w:t>
      </w:r>
      <w:r>
        <w:rPr>
          <w:rFonts w:hint="eastAsia" w:ascii="仿宋" w:hAnsi="仿宋" w:eastAsia="仿宋" w:cs="Arial"/>
          <w:sz w:val="32"/>
          <w:szCs w:val="32"/>
          <w:lang w:val="en-US" w:eastAsia="zh-CN"/>
        </w:rPr>
        <w:t>2300</w:t>
      </w:r>
      <w:r>
        <w:rPr>
          <w:rFonts w:hint="eastAsia" w:ascii="仿宋" w:hAnsi="仿宋" w:eastAsia="仿宋" w:cs="Arial"/>
          <w:sz w:val="32"/>
          <w:szCs w:val="32"/>
        </w:rPr>
        <w:t>万元，</w:t>
      </w:r>
      <w:r>
        <w:rPr>
          <w:rFonts w:hint="eastAsia" w:ascii="仿宋" w:hAnsi="仿宋" w:eastAsia="仿宋" w:cs="Arial"/>
          <w:sz w:val="32"/>
          <w:szCs w:val="32"/>
          <w:lang w:eastAsia="zh-CN"/>
        </w:rPr>
        <w:t>其他收入</w:t>
      </w:r>
      <w:r>
        <w:rPr>
          <w:rFonts w:hint="eastAsia" w:ascii="仿宋" w:hAnsi="仿宋" w:eastAsia="仿宋" w:cs="Arial"/>
          <w:sz w:val="32"/>
          <w:szCs w:val="32"/>
          <w:lang w:val="en-US" w:eastAsia="zh-CN"/>
        </w:rPr>
        <w:t>2438万元，上年国库集中支付结转5936.28，</w:t>
      </w:r>
      <w:r>
        <w:rPr>
          <w:rFonts w:hint="eastAsia" w:ascii="仿宋" w:hAnsi="仿宋" w:eastAsia="仿宋" w:cs="Arial"/>
          <w:sz w:val="32"/>
          <w:szCs w:val="32"/>
        </w:rPr>
        <w:t>预算总额比去年</w:t>
      </w:r>
      <w:r>
        <w:rPr>
          <w:rFonts w:hint="eastAsia" w:ascii="仿宋" w:hAnsi="仿宋" w:eastAsia="仿宋" w:cs="Arial"/>
          <w:sz w:val="32"/>
          <w:szCs w:val="32"/>
          <w:lang w:eastAsia="zh-CN"/>
        </w:rPr>
        <w:t>增加</w:t>
      </w:r>
      <w:r>
        <w:rPr>
          <w:rFonts w:hint="eastAsia" w:ascii="仿宋" w:hAnsi="仿宋" w:eastAsia="仿宋" w:cs="Arial"/>
          <w:sz w:val="32"/>
          <w:szCs w:val="32"/>
          <w:lang w:val="en-US" w:eastAsia="zh-CN"/>
        </w:rPr>
        <w:t>5620.06</w:t>
      </w:r>
      <w:r>
        <w:rPr>
          <w:rFonts w:hint="eastAsia" w:ascii="仿宋" w:hAnsi="仿宋" w:eastAsia="仿宋" w:cs="Arial"/>
          <w:sz w:val="32"/>
          <w:szCs w:val="32"/>
        </w:rPr>
        <w:t>万元，</w:t>
      </w:r>
      <w:r>
        <w:rPr>
          <w:rFonts w:ascii="仿宋" w:hAnsi="仿宋" w:eastAsia="仿宋" w:cs="仿宋"/>
          <w:i w:val="0"/>
          <w:iCs w:val="0"/>
          <w:caps w:val="0"/>
          <w:color w:val="000000"/>
          <w:spacing w:val="0"/>
          <w:sz w:val="31"/>
          <w:szCs w:val="31"/>
        </w:rPr>
        <w:t>主要</w:t>
      </w:r>
      <w:r>
        <w:rPr>
          <w:rFonts w:hint="eastAsia" w:ascii="仿宋" w:hAnsi="仿宋" w:eastAsia="仿宋" w:cs="仿宋"/>
          <w:i w:val="0"/>
          <w:iCs w:val="0"/>
          <w:caps w:val="0"/>
          <w:color w:val="000000"/>
          <w:spacing w:val="0"/>
          <w:sz w:val="31"/>
          <w:szCs w:val="31"/>
          <w:lang w:eastAsia="zh-CN"/>
        </w:rPr>
        <w:t>原因是本年度把上年国库集中支付结转资金纳入年初预算</w:t>
      </w:r>
      <w:r>
        <w:rPr>
          <w:rFonts w:ascii="仿宋" w:hAnsi="仿宋" w:eastAsia="仿宋" w:cs="仿宋"/>
          <w:i w:val="0"/>
          <w:iCs w:val="0"/>
          <w:caps w:val="0"/>
          <w:color w:val="000000"/>
          <w:spacing w:val="0"/>
          <w:sz w:val="31"/>
          <w:szCs w:val="31"/>
        </w:rPr>
        <w:t>。</w:t>
      </w:r>
    </w:p>
    <w:p w14:paraId="44D04ED2">
      <w:pPr>
        <w:widowControl w:val="0"/>
        <w:kinsoku/>
        <w:autoSpaceDE/>
        <w:autoSpaceDN/>
        <w:adjustRightInd/>
        <w:snapToGrid/>
        <w:ind w:firstLine="640" w:firstLineChars="200"/>
        <w:jc w:val="both"/>
        <w:textAlignment w:val="auto"/>
        <w:rPr>
          <w:rFonts w:ascii="仿宋_GB2312" w:hAnsi="Times New Roman" w:eastAsia="仿宋_GB2312" w:cs="Times New Roman"/>
          <w:snapToGrid/>
          <w:kern w:val="2"/>
          <w:sz w:val="32"/>
          <w:szCs w:val="32"/>
        </w:rPr>
      </w:pPr>
      <w:r>
        <w:rPr>
          <w:rFonts w:hint="eastAsia" w:ascii="仿宋_GB2312" w:hAnsi="Times New Roman" w:eastAsia="仿宋_GB2312" w:cs="Times New Roman"/>
          <w:snapToGrid/>
          <w:kern w:val="2"/>
          <w:sz w:val="32"/>
          <w:szCs w:val="32"/>
        </w:rPr>
        <w:t>(二)支出预算情况</w:t>
      </w:r>
    </w:p>
    <w:p w14:paraId="77CDADD8">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年支出预算总额为</w:t>
      </w:r>
      <w:r>
        <w:rPr>
          <w:rFonts w:hint="eastAsia" w:ascii="仿宋" w:hAnsi="仿宋" w:eastAsia="仿宋" w:cs="Arial"/>
          <w:sz w:val="32"/>
          <w:szCs w:val="32"/>
          <w:lang w:val="en-US" w:eastAsia="zh-CN"/>
        </w:rPr>
        <w:t>10674.48</w:t>
      </w:r>
      <w:r>
        <w:rPr>
          <w:rFonts w:hint="eastAsia" w:ascii="仿宋" w:hAnsi="仿宋" w:eastAsia="仿宋" w:cs="Arial"/>
          <w:sz w:val="32"/>
          <w:szCs w:val="32"/>
        </w:rPr>
        <w:t>万元，比去年支出</w:t>
      </w:r>
      <w:r>
        <w:rPr>
          <w:rFonts w:hint="eastAsia" w:ascii="仿宋" w:hAnsi="仿宋" w:eastAsia="仿宋" w:cs="Arial"/>
          <w:sz w:val="32"/>
          <w:szCs w:val="32"/>
          <w:lang w:eastAsia="zh-CN"/>
        </w:rPr>
        <w:t>增加</w:t>
      </w:r>
      <w:r>
        <w:rPr>
          <w:rFonts w:hint="eastAsia" w:ascii="仿宋" w:hAnsi="仿宋" w:eastAsia="仿宋" w:cs="Arial"/>
          <w:sz w:val="32"/>
          <w:szCs w:val="32"/>
          <w:lang w:val="en-US" w:eastAsia="zh-CN"/>
        </w:rPr>
        <w:t>5620.06</w:t>
      </w:r>
      <w:r>
        <w:rPr>
          <w:rFonts w:hint="eastAsia" w:ascii="仿宋" w:hAnsi="仿宋" w:eastAsia="仿宋" w:cs="Arial"/>
          <w:sz w:val="32"/>
          <w:szCs w:val="32"/>
        </w:rPr>
        <w:t>万元，</w:t>
      </w:r>
      <w:r>
        <w:rPr>
          <w:rFonts w:ascii="仿宋" w:hAnsi="仿宋" w:eastAsia="仿宋" w:cs="仿宋"/>
          <w:i w:val="0"/>
          <w:iCs w:val="0"/>
          <w:caps w:val="0"/>
          <w:color w:val="000000"/>
          <w:spacing w:val="0"/>
          <w:sz w:val="31"/>
          <w:szCs w:val="31"/>
        </w:rPr>
        <w:t>主要</w:t>
      </w:r>
      <w:r>
        <w:rPr>
          <w:rFonts w:hint="eastAsia" w:ascii="仿宋" w:hAnsi="仿宋" w:eastAsia="仿宋" w:cs="仿宋"/>
          <w:i w:val="0"/>
          <w:iCs w:val="0"/>
          <w:caps w:val="0"/>
          <w:color w:val="000000"/>
          <w:spacing w:val="0"/>
          <w:sz w:val="31"/>
          <w:szCs w:val="31"/>
          <w:lang w:eastAsia="zh-CN"/>
        </w:rPr>
        <w:t>原因是本年度把上年国库集中支付结转资金纳入年初预算</w:t>
      </w:r>
      <w:r>
        <w:rPr>
          <w:rFonts w:ascii="仿宋" w:hAnsi="仿宋" w:eastAsia="仿宋" w:cs="仿宋"/>
          <w:i w:val="0"/>
          <w:iCs w:val="0"/>
          <w:caps w:val="0"/>
          <w:color w:val="000000"/>
          <w:spacing w:val="0"/>
          <w:sz w:val="31"/>
          <w:szCs w:val="31"/>
        </w:rPr>
        <w:t>。</w:t>
      </w:r>
    </w:p>
    <w:p w14:paraId="3DDCE128">
      <w:pPr>
        <w:keepNext w:val="0"/>
        <w:keepLines w:val="0"/>
        <w:pageBreakBefore w:val="0"/>
        <w:wordWrap/>
        <w:overflowPunct/>
        <w:topLinePunct w:val="0"/>
        <w:bidi w:val="0"/>
        <w:spacing w:line="600" w:lineRule="exact"/>
        <w:ind w:firstLine="640" w:firstLineChars="200"/>
        <w:rPr>
          <w:rFonts w:hint="eastAsia" w:ascii="仿宋_GB2312" w:hAnsi="Times New Roman" w:eastAsia="仿宋_GB2312" w:cs="Times New Roman"/>
          <w:snapToGrid/>
          <w:kern w:val="2"/>
          <w:sz w:val="32"/>
          <w:szCs w:val="32"/>
        </w:rPr>
      </w:pPr>
      <w:r>
        <w:rPr>
          <w:rFonts w:hint="eastAsia" w:ascii="仿宋" w:hAnsi="仿宋" w:eastAsia="仿宋" w:cs="Arial"/>
          <w:sz w:val="32"/>
          <w:szCs w:val="32"/>
        </w:rPr>
        <w:t>按支出项目类别划分：基本支出</w:t>
      </w:r>
      <w:r>
        <w:rPr>
          <w:rFonts w:hint="eastAsia" w:ascii="仿宋" w:hAnsi="仿宋" w:eastAsia="仿宋" w:cs="Arial"/>
          <w:sz w:val="32"/>
          <w:szCs w:val="32"/>
          <w:lang w:val="en-US" w:eastAsia="zh-CN"/>
        </w:rPr>
        <w:t>1469.81</w:t>
      </w:r>
      <w:r>
        <w:rPr>
          <w:rFonts w:hint="eastAsia" w:ascii="仿宋" w:hAnsi="仿宋" w:eastAsia="仿宋" w:cs="Arial"/>
          <w:sz w:val="32"/>
          <w:szCs w:val="32"/>
        </w:rPr>
        <w:t>万元，项目支出</w:t>
      </w:r>
      <w:r>
        <w:rPr>
          <w:rFonts w:hint="eastAsia" w:ascii="仿宋" w:hAnsi="仿宋" w:eastAsia="仿宋" w:cs="Arial"/>
          <w:sz w:val="32"/>
          <w:szCs w:val="32"/>
          <w:lang w:val="en-US" w:eastAsia="zh-CN"/>
        </w:rPr>
        <w:t>9204.67</w:t>
      </w:r>
      <w:r>
        <w:rPr>
          <w:rFonts w:hint="eastAsia" w:ascii="仿宋" w:hAnsi="仿宋" w:eastAsia="仿宋" w:cs="Arial"/>
          <w:sz w:val="32"/>
          <w:szCs w:val="32"/>
        </w:rPr>
        <w:t>万元</w:t>
      </w:r>
      <w:r>
        <w:rPr>
          <w:rFonts w:hint="eastAsia" w:ascii="仿宋_GB2312" w:hAnsi="Times New Roman" w:eastAsia="仿宋_GB2312" w:cs="Times New Roman"/>
          <w:snapToGrid/>
          <w:kern w:val="2"/>
          <w:sz w:val="32"/>
          <w:szCs w:val="32"/>
        </w:rPr>
        <w:t>。</w:t>
      </w:r>
    </w:p>
    <w:p w14:paraId="478C98A4">
      <w:pPr>
        <w:keepNext w:val="0"/>
        <w:keepLines w:val="0"/>
        <w:pageBreakBefore w:val="0"/>
        <w:wordWrap/>
        <w:overflowPunct/>
        <w:topLinePunct w:val="0"/>
        <w:bidi w:val="0"/>
        <w:spacing w:line="600" w:lineRule="exact"/>
        <w:ind w:firstLine="640" w:firstLineChars="200"/>
        <w:rPr>
          <w:rFonts w:hint="default" w:ascii="仿宋" w:hAnsi="仿宋" w:eastAsia="仿宋" w:cs="Arial"/>
          <w:sz w:val="32"/>
          <w:szCs w:val="32"/>
          <w:lang w:val="en-US" w:eastAsia="zh-CN"/>
        </w:rPr>
      </w:pPr>
      <w:r>
        <w:rPr>
          <w:rFonts w:hint="eastAsia" w:ascii="仿宋" w:hAnsi="仿宋" w:eastAsia="仿宋" w:cs="Arial"/>
          <w:sz w:val="32"/>
          <w:szCs w:val="32"/>
          <w:highlight w:val="none"/>
        </w:rPr>
        <w:t>按支出功能科目分类：</w:t>
      </w:r>
      <w:r>
        <w:rPr>
          <w:rFonts w:hint="eastAsia" w:ascii="仿宋" w:hAnsi="仿宋" w:eastAsia="仿宋" w:cs="Arial"/>
          <w:sz w:val="32"/>
          <w:szCs w:val="32"/>
          <w:highlight w:val="none"/>
          <w:lang w:eastAsia="zh-CN"/>
        </w:rPr>
        <w:t>机关事业单位基本养老保险缴费支出</w:t>
      </w:r>
      <w:r>
        <w:rPr>
          <w:rFonts w:hint="eastAsia" w:ascii="仿宋" w:hAnsi="仿宋" w:eastAsia="仿宋" w:cs="Arial"/>
          <w:sz w:val="32"/>
          <w:szCs w:val="32"/>
          <w:highlight w:val="none"/>
          <w:lang w:val="en-US" w:eastAsia="zh-CN"/>
        </w:rPr>
        <w:t>128.48万元；机关事业单位职业年金缴费64.05万元；行政单位医疗8.28万元；事业单位医疗16.57万元；其他行政事业单位医疗支出0.67万元；农村基础设施建设支出330.60万元；农业生产发展支出758.00万元；行政运行465.64万元；一般行政管理事务214.80万元；事业运行9</w:t>
      </w:r>
      <w:r>
        <w:rPr>
          <w:rFonts w:hint="eastAsia" w:ascii="仿宋" w:hAnsi="仿宋" w:eastAsia="仿宋" w:cs="Arial"/>
          <w:sz w:val="32"/>
          <w:szCs w:val="32"/>
          <w:lang w:val="en-US" w:eastAsia="zh-CN"/>
        </w:rPr>
        <w:t>05.16万元；科技转化与推广服务219.21万元；病虫害控制30万元；农产品质量安全21.73万元；防灾救灾1.66万元；稳定农民收入补贴33.75万元；农业生产发展1253.11万元；农村合作经济514.89万元；农业生态资源保护52.02万元；耕地建设与利用1903.59万元；其他农业农村支出2421.80万元；其他巩固脱贫攻坚成果衔接乡村振兴支出49.00万元；对村级公益事业建设的补助0.12万元；其他农村综合改革支出14.12万元；住房公积金96.08万元；其他粮油储备支出19.02万元；其他地方自行试点项目收益专项债券收入安排的支出1152.13万元。</w:t>
      </w:r>
    </w:p>
    <w:p w14:paraId="691A1394">
      <w:pPr>
        <w:keepNext w:val="0"/>
        <w:keepLines w:val="0"/>
        <w:pageBreakBefore w:val="0"/>
        <w:wordWrap/>
        <w:overflowPunct/>
        <w:topLinePunct w:val="0"/>
        <w:bidi w:val="0"/>
        <w:spacing w:line="600" w:lineRule="exact"/>
        <w:ind w:firstLine="640" w:firstLineChars="200"/>
        <w:rPr>
          <w:rFonts w:hint="default" w:ascii="仿宋" w:hAnsi="仿宋" w:eastAsia="仿宋" w:cs="Arial"/>
          <w:sz w:val="32"/>
          <w:szCs w:val="32"/>
          <w:lang w:val="en-US" w:eastAsia="zh-CN"/>
        </w:rPr>
      </w:pPr>
      <w:r>
        <w:rPr>
          <w:rFonts w:hint="eastAsia" w:ascii="仿宋" w:hAnsi="仿宋" w:eastAsia="仿宋" w:cs="Arial"/>
          <w:sz w:val="32"/>
          <w:szCs w:val="32"/>
        </w:rPr>
        <w:t>按经济功能科目分类：工资福利支出</w:t>
      </w:r>
      <w:r>
        <w:rPr>
          <w:rFonts w:hint="eastAsia" w:ascii="仿宋" w:hAnsi="仿宋" w:eastAsia="仿宋" w:cs="Arial"/>
          <w:sz w:val="32"/>
          <w:szCs w:val="32"/>
          <w:lang w:val="en-US" w:eastAsia="zh-CN"/>
        </w:rPr>
        <w:t>1371.05</w:t>
      </w:r>
      <w:r>
        <w:rPr>
          <w:rFonts w:hint="eastAsia" w:ascii="仿宋" w:hAnsi="仿宋" w:eastAsia="仿宋" w:cs="Arial"/>
          <w:sz w:val="32"/>
          <w:szCs w:val="32"/>
        </w:rPr>
        <w:t>万元</w:t>
      </w:r>
      <w:r>
        <w:rPr>
          <w:rFonts w:hint="eastAsia" w:ascii="仿宋" w:hAnsi="仿宋" w:eastAsia="仿宋" w:cs="Arial"/>
          <w:sz w:val="32"/>
          <w:szCs w:val="32"/>
          <w:lang w:eastAsia="zh-CN"/>
        </w:rPr>
        <w:t>；对个人和家庭的补助</w:t>
      </w:r>
      <w:r>
        <w:rPr>
          <w:rFonts w:hint="eastAsia" w:ascii="仿宋" w:hAnsi="仿宋" w:eastAsia="仿宋" w:cs="Arial"/>
          <w:sz w:val="32"/>
          <w:szCs w:val="32"/>
          <w:lang w:val="en-US" w:eastAsia="zh-CN"/>
        </w:rPr>
        <w:t>9.88万元；</w:t>
      </w:r>
      <w:r>
        <w:rPr>
          <w:rFonts w:hint="eastAsia" w:ascii="仿宋" w:hAnsi="仿宋" w:eastAsia="仿宋" w:cs="Arial"/>
          <w:sz w:val="32"/>
          <w:szCs w:val="32"/>
        </w:rPr>
        <w:t>商品服务支出</w:t>
      </w:r>
      <w:r>
        <w:rPr>
          <w:rFonts w:hint="eastAsia" w:ascii="仿宋" w:hAnsi="仿宋" w:eastAsia="仿宋" w:cs="Arial"/>
          <w:sz w:val="32"/>
          <w:szCs w:val="32"/>
          <w:lang w:val="en-US" w:eastAsia="zh-CN"/>
        </w:rPr>
        <w:t>87.98</w:t>
      </w:r>
      <w:r>
        <w:rPr>
          <w:rFonts w:hint="eastAsia" w:ascii="仿宋" w:hAnsi="仿宋" w:eastAsia="仿宋" w:cs="Arial"/>
          <w:sz w:val="32"/>
          <w:szCs w:val="32"/>
        </w:rPr>
        <w:t>万元，</w:t>
      </w:r>
      <w:r>
        <w:rPr>
          <w:rFonts w:hint="eastAsia" w:ascii="仿宋" w:hAnsi="仿宋" w:eastAsia="仿宋" w:cs="Arial"/>
          <w:sz w:val="32"/>
          <w:szCs w:val="32"/>
          <w:lang w:eastAsia="zh-CN"/>
        </w:rPr>
        <w:t>资本性支出</w:t>
      </w:r>
      <w:r>
        <w:rPr>
          <w:rFonts w:hint="eastAsia" w:ascii="仿宋" w:hAnsi="仿宋" w:eastAsia="仿宋" w:cs="Arial"/>
          <w:sz w:val="32"/>
          <w:szCs w:val="32"/>
          <w:lang w:val="en-US" w:eastAsia="zh-CN"/>
        </w:rPr>
        <w:t>0.90万元；特定目标类工资福利支出10万元；商品和服务支出3190.86万元；</w:t>
      </w:r>
      <w:r>
        <w:rPr>
          <w:rFonts w:hint="eastAsia" w:ascii="仿宋" w:hAnsi="仿宋" w:eastAsia="仿宋" w:cs="Arial"/>
          <w:sz w:val="32"/>
          <w:szCs w:val="32"/>
          <w:lang w:eastAsia="zh-CN"/>
        </w:rPr>
        <w:t>资本性支出（基本建设）</w:t>
      </w:r>
      <w:r>
        <w:rPr>
          <w:rFonts w:hint="eastAsia" w:ascii="仿宋" w:hAnsi="仿宋" w:eastAsia="仿宋" w:cs="Arial"/>
          <w:sz w:val="32"/>
          <w:szCs w:val="32"/>
          <w:lang w:val="en-US" w:eastAsia="zh-CN"/>
        </w:rPr>
        <w:t>634.67万元；资本性支出30万元；其他支出5339.14万元。</w:t>
      </w:r>
    </w:p>
    <w:p w14:paraId="7FCABCC9">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(三)财政拨款支出情况</w:t>
      </w:r>
    </w:p>
    <w:p w14:paraId="35E3B4F3">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202</w:t>
      </w:r>
      <w:r>
        <w:rPr>
          <w:rFonts w:hint="eastAsia" w:ascii="仿宋" w:hAnsi="仿宋" w:eastAsia="仿宋" w:cs="Arial"/>
          <w:sz w:val="32"/>
          <w:szCs w:val="32"/>
          <w:highlight w:val="none"/>
          <w:lang w:val="en-US" w:eastAsia="zh-CN"/>
        </w:rPr>
        <w:t>5</w:t>
      </w:r>
      <w:r>
        <w:rPr>
          <w:rFonts w:hint="eastAsia" w:ascii="仿宋" w:hAnsi="仿宋" w:eastAsia="仿宋" w:cs="Arial"/>
          <w:sz w:val="32"/>
          <w:szCs w:val="32"/>
          <w:highlight w:val="none"/>
        </w:rPr>
        <w:t>年</w:t>
      </w:r>
      <w:r>
        <w:rPr>
          <w:rFonts w:hint="eastAsia" w:ascii="仿宋" w:hAnsi="仿宋" w:eastAsia="仿宋" w:cs="Arial"/>
          <w:sz w:val="32"/>
          <w:szCs w:val="32"/>
          <w:highlight w:val="none"/>
          <w:lang w:eastAsia="zh-CN"/>
        </w:rPr>
        <w:t>一般</w:t>
      </w:r>
      <w:r>
        <w:rPr>
          <w:rFonts w:hint="eastAsia" w:ascii="仿宋" w:hAnsi="仿宋" w:eastAsia="仿宋" w:cs="Arial"/>
          <w:sz w:val="32"/>
          <w:szCs w:val="32"/>
          <w:highlight w:val="none"/>
        </w:rPr>
        <w:t>公共财政拨款支出预算为</w:t>
      </w:r>
      <w:r>
        <w:rPr>
          <w:rFonts w:hint="eastAsia" w:ascii="仿宋" w:hAnsi="仿宋" w:eastAsia="仿宋" w:cs="Arial"/>
          <w:sz w:val="32"/>
          <w:szCs w:val="32"/>
          <w:highlight w:val="none"/>
          <w:lang w:val="en-US" w:eastAsia="zh-CN"/>
        </w:rPr>
        <w:t>10674.48</w:t>
      </w:r>
      <w:r>
        <w:rPr>
          <w:rFonts w:hint="eastAsia" w:ascii="仿宋" w:hAnsi="仿宋" w:eastAsia="仿宋" w:cs="Arial"/>
          <w:sz w:val="32"/>
          <w:szCs w:val="32"/>
          <w:highlight w:val="none"/>
        </w:rPr>
        <w:t>万元，较上年</w:t>
      </w:r>
      <w:r>
        <w:rPr>
          <w:rFonts w:hint="eastAsia" w:ascii="仿宋" w:hAnsi="仿宋" w:eastAsia="仿宋" w:cs="Arial"/>
          <w:sz w:val="32"/>
          <w:szCs w:val="32"/>
          <w:highlight w:val="none"/>
          <w:lang w:eastAsia="zh-CN"/>
        </w:rPr>
        <w:t>增加</w:t>
      </w:r>
      <w:r>
        <w:rPr>
          <w:rFonts w:hint="eastAsia" w:ascii="仿宋" w:hAnsi="仿宋" w:eastAsia="仿宋" w:cs="Arial"/>
          <w:sz w:val="32"/>
          <w:szCs w:val="32"/>
          <w:highlight w:val="none"/>
          <w:lang w:val="en-US" w:eastAsia="zh-CN"/>
        </w:rPr>
        <w:t>5620.06万元</w:t>
      </w:r>
      <w:r>
        <w:rPr>
          <w:rFonts w:hint="eastAsia" w:ascii="仿宋" w:hAnsi="仿宋" w:eastAsia="仿宋" w:cs="Arial"/>
          <w:sz w:val="32"/>
          <w:szCs w:val="32"/>
          <w:highlight w:val="none"/>
        </w:rPr>
        <w:t>。</w:t>
      </w:r>
      <w:r>
        <w:rPr>
          <w:rFonts w:ascii="仿宋" w:hAnsi="仿宋" w:eastAsia="仿宋" w:cs="仿宋"/>
          <w:i w:val="0"/>
          <w:iCs w:val="0"/>
          <w:caps w:val="0"/>
          <w:color w:val="000000"/>
          <w:spacing w:val="0"/>
          <w:sz w:val="31"/>
          <w:szCs w:val="31"/>
        </w:rPr>
        <w:t>主要</w:t>
      </w:r>
      <w:r>
        <w:rPr>
          <w:rFonts w:hint="eastAsia" w:ascii="仿宋" w:hAnsi="仿宋" w:eastAsia="仿宋" w:cs="仿宋"/>
          <w:i w:val="0"/>
          <w:iCs w:val="0"/>
          <w:caps w:val="0"/>
          <w:color w:val="000000"/>
          <w:spacing w:val="0"/>
          <w:sz w:val="31"/>
          <w:szCs w:val="31"/>
          <w:lang w:eastAsia="zh-CN"/>
        </w:rPr>
        <w:t>原因是本年度把上年国库集中支付结转资金纳入年初预算</w:t>
      </w:r>
      <w:r>
        <w:rPr>
          <w:rFonts w:ascii="仿宋" w:hAnsi="仿宋" w:eastAsia="仿宋" w:cs="仿宋"/>
          <w:i w:val="0"/>
          <w:iCs w:val="0"/>
          <w:caps w:val="0"/>
          <w:color w:val="000000"/>
          <w:spacing w:val="0"/>
          <w:sz w:val="31"/>
          <w:szCs w:val="31"/>
        </w:rPr>
        <w:t>。</w:t>
      </w:r>
      <w:r>
        <w:rPr>
          <w:rFonts w:hint="eastAsia" w:ascii="仿宋" w:hAnsi="仿宋" w:eastAsia="仿宋" w:cs="Arial"/>
          <w:sz w:val="32"/>
          <w:szCs w:val="32"/>
          <w:highlight w:val="none"/>
        </w:rPr>
        <w:t>按支出项目类别划分：基本支出</w:t>
      </w:r>
      <w:r>
        <w:rPr>
          <w:rFonts w:hint="eastAsia" w:ascii="仿宋" w:hAnsi="仿宋" w:eastAsia="仿宋" w:cs="Arial"/>
          <w:sz w:val="32"/>
          <w:szCs w:val="32"/>
          <w:highlight w:val="none"/>
          <w:lang w:val="en-US" w:eastAsia="zh-CN"/>
        </w:rPr>
        <w:t>1469.81</w:t>
      </w:r>
      <w:r>
        <w:rPr>
          <w:rFonts w:hint="eastAsia" w:ascii="仿宋" w:hAnsi="仿宋" w:eastAsia="仿宋" w:cs="Arial"/>
          <w:sz w:val="32"/>
          <w:szCs w:val="32"/>
          <w:highlight w:val="none"/>
        </w:rPr>
        <w:t>万元，较上年</w:t>
      </w:r>
      <w:r>
        <w:rPr>
          <w:rFonts w:hint="eastAsia" w:ascii="仿宋" w:hAnsi="仿宋" w:eastAsia="仿宋" w:cs="Arial"/>
          <w:sz w:val="32"/>
          <w:szCs w:val="32"/>
          <w:highlight w:val="none"/>
          <w:lang w:eastAsia="zh-CN"/>
        </w:rPr>
        <w:t>增加</w:t>
      </w:r>
      <w:r>
        <w:rPr>
          <w:rFonts w:hint="eastAsia" w:ascii="仿宋" w:hAnsi="仿宋" w:eastAsia="仿宋" w:cs="Arial"/>
          <w:sz w:val="32"/>
          <w:szCs w:val="32"/>
          <w:highlight w:val="none"/>
          <w:lang w:val="en-US" w:eastAsia="zh-CN"/>
        </w:rPr>
        <w:t>39.97万元</w:t>
      </w:r>
      <w:r>
        <w:rPr>
          <w:rFonts w:hint="eastAsia" w:ascii="仿宋" w:hAnsi="仿宋" w:eastAsia="仿宋" w:cs="Arial"/>
          <w:sz w:val="32"/>
          <w:szCs w:val="32"/>
          <w:highlight w:val="none"/>
        </w:rPr>
        <w:t>。其中：工资福利支出</w:t>
      </w:r>
      <w:r>
        <w:rPr>
          <w:rFonts w:hint="eastAsia" w:ascii="仿宋" w:hAnsi="仿宋" w:eastAsia="仿宋" w:cs="Arial"/>
          <w:sz w:val="32"/>
          <w:szCs w:val="32"/>
          <w:highlight w:val="none"/>
          <w:lang w:val="en-US" w:eastAsia="zh-CN"/>
        </w:rPr>
        <w:t>1371.05</w:t>
      </w:r>
      <w:r>
        <w:rPr>
          <w:rFonts w:hint="eastAsia" w:ascii="仿宋" w:hAnsi="仿宋" w:eastAsia="仿宋" w:cs="Arial"/>
          <w:sz w:val="32"/>
          <w:szCs w:val="32"/>
          <w:highlight w:val="none"/>
        </w:rPr>
        <w:t>万元，商品和服务支出</w:t>
      </w:r>
      <w:r>
        <w:rPr>
          <w:rFonts w:hint="eastAsia" w:ascii="仿宋" w:hAnsi="仿宋" w:eastAsia="仿宋" w:cs="Arial"/>
          <w:sz w:val="32"/>
          <w:szCs w:val="32"/>
          <w:highlight w:val="none"/>
          <w:lang w:val="en-US" w:eastAsia="zh-CN"/>
        </w:rPr>
        <w:t>87.98</w:t>
      </w:r>
      <w:r>
        <w:rPr>
          <w:rFonts w:hint="eastAsia" w:ascii="仿宋" w:hAnsi="仿宋" w:eastAsia="仿宋" w:cs="Arial"/>
          <w:sz w:val="32"/>
          <w:szCs w:val="32"/>
          <w:highlight w:val="none"/>
        </w:rPr>
        <w:t>万元，对个人和家庭的补助</w:t>
      </w:r>
      <w:r>
        <w:rPr>
          <w:rFonts w:hint="eastAsia" w:ascii="仿宋" w:hAnsi="仿宋" w:eastAsia="仿宋" w:cs="Arial"/>
          <w:sz w:val="32"/>
          <w:szCs w:val="32"/>
          <w:highlight w:val="none"/>
          <w:lang w:val="en-US" w:eastAsia="zh-CN"/>
        </w:rPr>
        <w:t>9.88</w:t>
      </w:r>
      <w:r>
        <w:rPr>
          <w:rFonts w:hint="eastAsia" w:ascii="仿宋" w:hAnsi="仿宋" w:eastAsia="仿宋" w:cs="Arial"/>
          <w:sz w:val="32"/>
          <w:szCs w:val="32"/>
          <w:highlight w:val="none"/>
        </w:rPr>
        <w:t>万元</w:t>
      </w:r>
      <w:r>
        <w:rPr>
          <w:rFonts w:hint="eastAsia" w:ascii="仿宋" w:hAnsi="仿宋" w:eastAsia="仿宋" w:cs="Arial"/>
          <w:sz w:val="32"/>
          <w:szCs w:val="32"/>
          <w:highlight w:val="none"/>
          <w:lang w:eastAsia="zh-CN"/>
        </w:rPr>
        <w:t>；资本性支出</w:t>
      </w:r>
      <w:r>
        <w:rPr>
          <w:rFonts w:hint="eastAsia" w:ascii="仿宋" w:hAnsi="仿宋" w:eastAsia="仿宋" w:cs="Arial"/>
          <w:sz w:val="32"/>
          <w:szCs w:val="32"/>
          <w:highlight w:val="none"/>
          <w:lang w:val="en-US" w:eastAsia="zh-CN"/>
        </w:rPr>
        <w:t>0.90万元</w:t>
      </w:r>
      <w:r>
        <w:rPr>
          <w:rFonts w:hint="eastAsia" w:ascii="仿宋" w:hAnsi="仿宋" w:eastAsia="仿宋" w:cs="Arial"/>
          <w:sz w:val="32"/>
          <w:szCs w:val="32"/>
          <w:highlight w:val="none"/>
        </w:rPr>
        <w:t>。项目支出</w:t>
      </w:r>
      <w:r>
        <w:rPr>
          <w:rFonts w:hint="eastAsia" w:ascii="仿宋" w:hAnsi="仿宋" w:eastAsia="仿宋" w:cs="Arial"/>
          <w:sz w:val="32"/>
          <w:szCs w:val="32"/>
          <w:highlight w:val="none"/>
          <w:lang w:val="en-US" w:eastAsia="zh-CN"/>
        </w:rPr>
        <w:t>9204.67</w:t>
      </w:r>
      <w:r>
        <w:rPr>
          <w:rFonts w:hint="eastAsia" w:ascii="仿宋" w:hAnsi="仿宋" w:eastAsia="仿宋" w:cs="Arial"/>
          <w:sz w:val="32"/>
          <w:szCs w:val="32"/>
          <w:highlight w:val="none"/>
        </w:rPr>
        <w:t>万元，较上年</w:t>
      </w:r>
      <w:r>
        <w:rPr>
          <w:rFonts w:hint="eastAsia" w:ascii="仿宋" w:hAnsi="仿宋" w:eastAsia="仿宋" w:cs="Arial"/>
          <w:sz w:val="32"/>
          <w:szCs w:val="32"/>
          <w:highlight w:val="none"/>
          <w:lang w:eastAsia="zh-CN"/>
        </w:rPr>
        <w:t>增加</w:t>
      </w:r>
      <w:r>
        <w:rPr>
          <w:rFonts w:hint="eastAsia" w:ascii="仿宋" w:hAnsi="仿宋" w:eastAsia="仿宋" w:cs="Arial"/>
          <w:sz w:val="32"/>
          <w:szCs w:val="32"/>
          <w:highlight w:val="none"/>
          <w:lang w:val="en-US" w:eastAsia="zh-CN"/>
        </w:rPr>
        <w:t>5580.09</w:t>
      </w:r>
      <w:r>
        <w:rPr>
          <w:rFonts w:hint="eastAsia" w:ascii="仿宋" w:hAnsi="仿宋" w:eastAsia="仿宋" w:cs="Arial"/>
          <w:sz w:val="32"/>
          <w:szCs w:val="32"/>
          <w:highlight w:val="none"/>
        </w:rPr>
        <w:t>万元。</w:t>
      </w:r>
    </w:p>
    <w:p w14:paraId="0B2AD7C5">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(四)政府性基金情况</w:t>
      </w:r>
    </w:p>
    <w:p w14:paraId="3EC5AA2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eastAsia="zh-CN"/>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年无政府性基金</w:t>
      </w:r>
      <w:r>
        <w:rPr>
          <w:rFonts w:hint="eastAsia" w:ascii="仿宋" w:hAnsi="仿宋" w:eastAsia="仿宋" w:cs="Arial"/>
          <w:sz w:val="32"/>
          <w:szCs w:val="32"/>
          <w:lang w:eastAsia="zh-CN"/>
        </w:rPr>
        <w:t>预算收入。</w:t>
      </w:r>
    </w:p>
    <w:p w14:paraId="66DA7E8F">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(五)国有资本经营情况</w:t>
      </w:r>
    </w:p>
    <w:p w14:paraId="542CADD0">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w:t>
      </w:r>
      <w:r>
        <w:rPr>
          <w:rFonts w:hint="eastAsia" w:ascii="仿宋" w:hAnsi="仿宋" w:eastAsia="仿宋" w:cs="Arial"/>
          <w:sz w:val="32"/>
          <w:szCs w:val="32"/>
          <w:lang w:eastAsia="zh-CN"/>
        </w:rPr>
        <w:t>无</w:t>
      </w:r>
      <w:r>
        <w:rPr>
          <w:rFonts w:hint="eastAsia" w:ascii="仿宋" w:hAnsi="仿宋" w:eastAsia="仿宋" w:cs="Arial"/>
          <w:sz w:val="32"/>
          <w:szCs w:val="32"/>
        </w:rPr>
        <w:t>国有资本经营</w:t>
      </w:r>
      <w:r>
        <w:rPr>
          <w:rFonts w:hint="eastAsia" w:ascii="仿宋" w:hAnsi="仿宋" w:eastAsia="仿宋" w:cs="Arial"/>
          <w:sz w:val="32"/>
          <w:szCs w:val="32"/>
          <w:lang w:eastAsia="zh-CN"/>
        </w:rPr>
        <w:t>预算收入</w:t>
      </w:r>
      <w:r>
        <w:rPr>
          <w:rFonts w:hint="eastAsia" w:ascii="仿宋" w:hAnsi="仿宋" w:eastAsia="仿宋" w:cs="Arial"/>
          <w:sz w:val="32"/>
          <w:szCs w:val="32"/>
        </w:rPr>
        <w:t>。</w:t>
      </w:r>
    </w:p>
    <w:p w14:paraId="13E6F07C">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bookmarkStart w:id="0" w:name="_GoBack"/>
      <w:r>
        <w:rPr>
          <w:rFonts w:hint="eastAsia" w:ascii="仿宋" w:hAnsi="仿宋" w:eastAsia="仿宋" w:cs="Arial"/>
          <w:sz w:val="32"/>
          <w:szCs w:val="32"/>
          <w:highlight w:val="none"/>
        </w:rPr>
        <w:t>(六)机关运行经费等重要事项的说明</w:t>
      </w:r>
    </w:p>
    <w:p w14:paraId="63195D22">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202</w:t>
      </w:r>
      <w:r>
        <w:rPr>
          <w:rFonts w:hint="eastAsia" w:ascii="仿宋" w:hAnsi="仿宋" w:eastAsia="仿宋" w:cs="Arial"/>
          <w:sz w:val="32"/>
          <w:szCs w:val="32"/>
          <w:highlight w:val="none"/>
          <w:lang w:val="en-US" w:eastAsia="zh-CN"/>
        </w:rPr>
        <w:t>4</w:t>
      </w:r>
      <w:r>
        <w:rPr>
          <w:rFonts w:hint="eastAsia" w:ascii="仿宋" w:hAnsi="仿宋" w:eastAsia="仿宋" w:cs="Arial"/>
          <w:sz w:val="32"/>
          <w:szCs w:val="32"/>
          <w:highlight w:val="none"/>
        </w:rPr>
        <w:t>年部门机关运行费预算</w:t>
      </w:r>
      <w:r>
        <w:rPr>
          <w:rFonts w:hint="eastAsia" w:ascii="仿宋" w:hAnsi="仿宋" w:eastAsia="仿宋" w:cs="Arial"/>
          <w:sz w:val="32"/>
          <w:szCs w:val="32"/>
          <w:highlight w:val="none"/>
          <w:lang w:val="en-US" w:eastAsia="zh-CN"/>
        </w:rPr>
        <w:t>96.65</w:t>
      </w:r>
      <w:r>
        <w:rPr>
          <w:rFonts w:hint="eastAsia" w:ascii="仿宋" w:hAnsi="仿宋" w:eastAsia="仿宋" w:cs="Arial"/>
          <w:sz w:val="32"/>
          <w:szCs w:val="32"/>
          <w:highlight w:val="none"/>
        </w:rPr>
        <w:t>元，比202</w:t>
      </w:r>
      <w:r>
        <w:rPr>
          <w:rFonts w:hint="eastAsia" w:ascii="仿宋" w:hAnsi="仿宋" w:eastAsia="仿宋" w:cs="Arial"/>
          <w:sz w:val="32"/>
          <w:szCs w:val="32"/>
          <w:highlight w:val="none"/>
          <w:lang w:val="en-US" w:eastAsia="zh-CN"/>
        </w:rPr>
        <w:t>4</w:t>
      </w:r>
      <w:r>
        <w:rPr>
          <w:rFonts w:hint="eastAsia" w:ascii="仿宋" w:hAnsi="仿宋" w:eastAsia="仿宋" w:cs="Arial"/>
          <w:sz w:val="32"/>
          <w:szCs w:val="32"/>
          <w:highlight w:val="none"/>
        </w:rPr>
        <w:t>年预算</w:t>
      </w:r>
      <w:r>
        <w:rPr>
          <w:rFonts w:hint="eastAsia" w:ascii="仿宋" w:hAnsi="仿宋" w:eastAsia="仿宋" w:cs="Arial"/>
          <w:sz w:val="32"/>
          <w:szCs w:val="32"/>
          <w:highlight w:val="none"/>
          <w:lang w:eastAsia="zh-CN"/>
        </w:rPr>
        <w:t>减少</w:t>
      </w:r>
      <w:r>
        <w:rPr>
          <w:rFonts w:hint="eastAsia" w:ascii="仿宋" w:hAnsi="仿宋" w:eastAsia="仿宋" w:cs="Arial"/>
          <w:sz w:val="32"/>
          <w:szCs w:val="32"/>
          <w:highlight w:val="none"/>
          <w:lang w:val="en-US" w:eastAsia="zh-CN"/>
        </w:rPr>
        <w:t>14.6</w:t>
      </w:r>
      <w:r>
        <w:rPr>
          <w:rFonts w:hint="eastAsia" w:ascii="仿宋" w:hAnsi="仿宋" w:eastAsia="仿宋" w:cs="Arial"/>
          <w:sz w:val="32"/>
          <w:szCs w:val="32"/>
          <w:highlight w:val="none"/>
        </w:rPr>
        <w:t>万元，</w:t>
      </w:r>
      <w:r>
        <w:rPr>
          <w:rFonts w:hint="eastAsia" w:ascii="仿宋" w:hAnsi="仿宋" w:eastAsia="仿宋" w:cs="Arial"/>
          <w:sz w:val="32"/>
          <w:szCs w:val="32"/>
          <w:highlight w:val="none"/>
          <w:lang w:eastAsia="zh-CN"/>
        </w:rPr>
        <w:t>减少</w:t>
      </w:r>
      <w:r>
        <w:rPr>
          <w:rFonts w:hint="eastAsia" w:ascii="仿宋" w:hAnsi="仿宋" w:eastAsia="仿宋" w:cs="Arial"/>
          <w:sz w:val="32"/>
          <w:szCs w:val="32"/>
          <w:highlight w:val="none"/>
          <w:lang w:val="en-US" w:eastAsia="zh-CN"/>
        </w:rPr>
        <w:t>13.13%</w:t>
      </w:r>
      <w:r>
        <w:rPr>
          <w:rFonts w:hint="eastAsia" w:ascii="仿宋" w:hAnsi="仿宋" w:eastAsia="仿宋" w:cs="Arial"/>
          <w:sz w:val="32"/>
          <w:szCs w:val="32"/>
          <w:highlight w:val="none"/>
        </w:rPr>
        <w:t>。</w:t>
      </w:r>
    </w:p>
    <w:bookmarkEnd w:id="0"/>
    <w:p w14:paraId="47FF0FA2">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14:paraId="22F2FEF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(七)政府采购情况</w:t>
      </w:r>
    </w:p>
    <w:p w14:paraId="09E6CD28">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年部门所属各单位政府采购总额</w:t>
      </w:r>
      <w:r>
        <w:rPr>
          <w:rFonts w:hint="eastAsia" w:ascii="仿宋" w:hAnsi="仿宋" w:eastAsia="仿宋" w:cs="Arial"/>
          <w:sz w:val="32"/>
          <w:szCs w:val="32"/>
          <w:lang w:val="en-US" w:eastAsia="zh-CN"/>
        </w:rPr>
        <w:t>30</w:t>
      </w:r>
      <w:r>
        <w:rPr>
          <w:rFonts w:hint="eastAsia" w:ascii="仿宋" w:hAnsi="仿宋" w:eastAsia="仿宋" w:cs="Arial"/>
          <w:sz w:val="32"/>
          <w:szCs w:val="32"/>
        </w:rPr>
        <w:t>万元，其中:政府采购货物预算</w:t>
      </w:r>
      <w:r>
        <w:rPr>
          <w:rFonts w:hint="eastAsia" w:ascii="仿宋" w:hAnsi="仿宋" w:eastAsia="仿宋" w:cs="Arial"/>
          <w:sz w:val="32"/>
          <w:szCs w:val="32"/>
          <w:lang w:val="en-US" w:eastAsia="zh-CN"/>
        </w:rPr>
        <w:t>21</w:t>
      </w:r>
      <w:r>
        <w:rPr>
          <w:rFonts w:hint="eastAsia" w:ascii="仿宋" w:hAnsi="仿宋" w:eastAsia="仿宋" w:cs="Arial"/>
          <w:sz w:val="32"/>
          <w:szCs w:val="32"/>
        </w:rPr>
        <w:t>万元、政府采购工程预算</w:t>
      </w:r>
      <w:r>
        <w:rPr>
          <w:rFonts w:hint="eastAsia" w:ascii="仿宋" w:hAnsi="仿宋" w:eastAsia="仿宋" w:cs="Arial"/>
          <w:sz w:val="32"/>
          <w:szCs w:val="32"/>
          <w:lang w:val="en-US" w:eastAsia="zh-CN"/>
        </w:rPr>
        <w:t>0</w:t>
      </w:r>
      <w:r>
        <w:rPr>
          <w:rFonts w:hint="eastAsia" w:ascii="仿宋" w:hAnsi="仿宋" w:eastAsia="仿宋" w:cs="Arial"/>
          <w:sz w:val="32"/>
          <w:szCs w:val="32"/>
        </w:rPr>
        <w:t>万元、政府采购服务预算</w:t>
      </w:r>
      <w:r>
        <w:rPr>
          <w:rFonts w:hint="eastAsia" w:ascii="仿宋" w:hAnsi="仿宋" w:eastAsia="仿宋" w:cs="Arial"/>
          <w:sz w:val="32"/>
          <w:szCs w:val="32"/>
          <w:lang w:val="en-US" w:eastAsia="zh-CN"/>
        </w:rPr>
        <w:t>9</w:t>
      </w:r>
      <w:r>
        <w:rPr>
          <w:rFonts w:hint="eastAsia" w:ascii="仿宋" w:hAnsi="仿宋" w:eastAsia="仿宋" w:cs="Arial"/>
          <w:sz w:val="32"/>
          <w:szCs w:val="32"/>
        </w:rPr>
        <w:t>万元。</w:t>
      </w:r>
    </w:p>
    <w:p w14:paraId="033207E6">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(八)国有资产占有使用情况</w:t>
      </w:r>
    </w:p>
    <w:p w14:paraId="0284832C">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截至202</w:t>
      </w:r>
      <w:r>
        <w:rPr>
          <w:rFonts w:hint="eastAsia" w:ascii="仿宋" w:hAnsi="仿宋" w:eastAsia="仿宋" w:cs="Arial"/>
          <w:sz w:val="32"/>
          <w:szCs w:val="32"/>
          <w:highlight w:val="none"/>
          <w:lang w:val="en-US" w:eastAsia="zh-CN"/>
        </w:rPr>
        <w:t>4</w:t>
      </w:r>
      <w:r>
        <w:rPr>
          <w:rFonts w:hint="eastAsia" w:ascii="仿宋" w:hAnsi="仿宋" w:eastAsia="仿宋" w:cs="Arial"/>
          <w:sz w:val="32"/>
          <w:szCs w:val="32"/>
          <w:highlight w:val="none"/>
        </w:rPr>
        <w:t>年12月31日，部门共有车辆</w:t>
      </w:r>
      <w:r>
        <w:rPr>
          <w:rFonts w:hint="eastAsia" w:ascii="仿宋" w:hAnsi="仿宋" w:eastAsia="仿宋" w:cs="Arial"/>
          <w:sz w:val="32"/>
          <w:szCs w:val="32"/>
          <w:highlight w:val="none"/>
          <w:lang w:val="en-US" w:eastAsia="zh-CN"/>
        </w:rPr>
        <w:t>3</w:t>
      </w:r>
      <w:r>
        <w:rPr>
          <w:rFonts w:hint="eastAsia" w:ascii="仿宋" w:hAnsi="仿宋" w:eastAsia="仿宋" w:cs="Arial"/>
          <w:sz w:val="32"/>
          <w:szCs w:val="32"/>
          <w:highlight w:val="none"/>
        </w:rPr>
        <w:t>辆，其中，一般公务用车</w:t>
      </w:r>
      <w:r>
        <w:rPr>
          <w:rFonts w:hint="eastAsia" w:ascii="仿宋" w:hAnsi="仿宋" w:eastAsia="仿宋" w:cs="Arial"/>
          <w:sz w:val="32"/>
          <w:szCs w:val="32"/>
          <w:highlight w:val="none"/>
          <w:lang w:val="en-US" w:eastAsia="zh-CN"/>
        </w:rPr>
        <w:t>2</w:t>
      </w:r>
      <w:r>
        <w:rPr>
          <w:rFonts w:hint="eastAsia" w:ascii="仿宋" w:hAnsi="仿宋" w:eastAsia="仿宋" w:cs="Arial"/>
          <w:sz w:val="32"/>
          <w:szCs w:val="32"/>
          <w:highlight w:val="none"/>
        </w:rPr>
        <w:t>辆，执法执勤用车</w:t>
      </w:r>
      <w:r>
        <w:rPr>
          <w:rFonts w:hint="eastAsia" w:ascii="仿宋" w:hAnsi="仿宋" w:eastAsia="仿宋" w:cs="Arial"/>
          <w:sz w:val="32"/>
          <w:szCs w:val="32"/>
          <w:highlight w:val="none"/>
          <w:lang w:val="en-US" w:eastAsia="zh-CN"/>
        </w:rPr>
        <w:t>1</w:t>
      </w:r>
      <w:r>
        <w:rPr>
          <w:rFonts w:hint="eastAsia" w:ascii="仿宋" w:hAnsi="仿宋" w:eastAsia="仿宋" w:cs="Arial"/>
          <w:sz w:val="32"/>
          <w:szCs w:val="32"/>
          <w:highlight w:val="none"/>
        </w:rPr>
        <w:t>辆。</w:t>
      </w:r>
    </w:p>
    <w:p w14:paraId="66BF6173">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eastAsia="zh-CN"/>
        </w:rPr>
      </w:pPr>
      <w:r>
        <w:rPr>
          <w:rFonts w:hint="eastAsia" w:ascii="仿宋" w:hAnsi="仿宋" w:eastAsia="仿宋" w:cs="Arial"/>
          <w:sz w:val="32"/>
          <w:szCs w:val="32"/>
          <w:highlight w:val="none"/>
        </w:rPr>
        <w:t>202</w:t>
      </w:r>
      <w:r>
        <w:rPr>
          <w:rFonts w:hint="eastAsia" w:ascii="仿宋" w:hAnsi="仿宋" w:eastAsia="仿宋" w:cs="Arial"/>
          <w:sz w:val="32"/>
          <w:szCs w:val="32"/>
          <w:highlight w:val="none"/>
          <w:lang w:val="en-US" w:eastAsia="zh-CN"/>
        </w:rPr>
        <w:t>5</w:t>
      </w:r>
      <w:r>
        <w:rPr>
          <w:rFonts w:hint="eastAsia" w:ascii="仿宋" w:hAnsi="仿宋" w:eastAsia="仿宋" w:cs="Arial"/>
          <w:sz w:val="32"/>
          <w:szCs w:val="32"/>
          <w:highlight w:val="none"/>
        </w:rPr>
        <w:t>年部门预算安排购置车辆</w:t>
      </w:r>
      <w:r>
        <w:rPr>
          <w:rFonts w:hint="eastAsia" w:ascii="仿宋" w:hAnsi="仿宋" w:eastAsia="仿宋" w:cs="Arial"/>
          <w:sz w:val="32"/>
          <w:szCs w:val="32"/>
          <w:highlight w:val="none"/>
          <w:lang w:val="en-US" w:eastAsia="zh-CN"/>
        </w:rPr>
        <w:t>0</w:t>
      </w:r>
      <w:r>
        <w:rPr>
          <w:rFonts w:hint="eastAsia" w:ascii="仿宋" w:hAnsi="仿宋" w:eastAsia="仿宋" w:cs="Arial"/>
          <w:sz w:val="32"/>
          <w:szCs w:val="32"/>
        </w:rPr>
        <w:t>辆</w:t>
      </w:r>
      <w:r>
        <w:rPr>
          <w:rFonts w:hint="eastAsia" w:ascii="仿宋" w:hAnsi="仿宋" w:eastAsia="仿宋" w:cs="Arial"/>
          <w:sz w:val="32"/>
          <w:szCs w:val="32"/>
          <w:lang w:eastAsia="zh-CN"/>
        </w:rPr>
        <w:t>。</w:t>
      </w:r>
    </w:p>
    <w:p w14:paraId="307DDEB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(九)项目情况说明</w:t>
      </w:r>
    </w:p>
    <w:p w14:paraId="4DBFB998">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val="en-US" w:eastAsia="zh-CN"/>
        </w:rPr>
      </w:pPr>
      <w:r>
        <w:rPr>
          <w:rFonts w:hint="eastAsia" w:ascii="仿宋" w:hAnsi="仿宋" w:eastAsia="仿宋" w:cs="Arial"/>
          <w:sz w:val="32"/>
          <w:szCs w:val="32"/>
        </w:rPr>
        <w:t>详见项目支出绩效目标表</w:t>
      </w:r>
      <w:r>
        <w:rPr>
          <w:rFonts w:hint="eastAsia" w:ascii="仿宋" w:hAnsi="仿宋" w:eastAsia="仿宋" w:cs="Arial"/>
          <w:sz w:val="32"/>
          <w:szCs w:val="32"/>
          <w:lang w:val="en-US" w:eastAsia="zh-CN"/>
        </w:rPr>
        <w:t>.</w:t>
      </w:r>
    </w:p>
    <w:p w14:paraId="4BC29184">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二、202</w:t>
      </w:r>
      <w:r>
        <w:rPr>
          <w:rFonts w:hint="eastAsia" w:ascii="仿宋" w:hAnsi="仿宋" w:eastAsia="仿宋" w:cs="Arial"/>
          <w:sz w:val="32"/>
          <w:szCs w:val="32"/>
          <w:lang w:val="en-US" w:eastAsia="zh-CN"/>
        </w:rPr>
        <w:t>5</w:t>
      </w:r>
      <w:r>
        <w:rPr>
          <w:rFonts w:hint="eastAsia" w:ascii="仿宋" w:hAnsi="仿宋" w:eastAsia="仿宋" w:cs="Arial"/>
          <w:sz w:val="32"/>
          <w:szCs w:val="32"/>
        </w:rPr>
        <w:t>年"三公”经费预算情况说明</w:t>
      </w:r>
    </w:p>
    <w:p w14:paraId="5610A1CD">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5</w:t>
      </w:r>
      <w:r>
        <w:rPr>
          <w:rFonts w:hint="eastAsia" w:ascii="仿宋" w:hAnsi="仿宋" w:eastAsia="仿宋" w:cs="Arial"/>
          <w:sz w:val="32"/>
          <w:szCs w:val="32"/>
        </w:rPr>
        <w:t>年</w:t>
      </w:r>
      <w:r>
        <w:rPr>
          <w:rFonts w:hint="eastAsia" w:ascii="仿宋" w:hAnsi="仿宋" w:eastAsia="仿宋" w:cs="Arial"/>
          <w:sz w:val="32"/>
          <w:szCs w:val="32"/>
          <w:lang w:eastAsia="zh-CN"/>
        </w:rPr>
        <w:t>浮梁县农业农村</w:t>
      </w:r>
      <w:r>
        <w:rPr>
          <w:rFonts w:hint="eastAsia" w:ascii="仿宋" w:hAnsi="仿宋" w:eastAsia="仿宋" w:cs="Arial"/>
          <w:sz w:val="32"/>
          <w:szCs w:val="32"/>
        </w:rPr>
        <w:t>局"三公"经费一般公共预算安排</w:t>
      </w:r>
      <w:r>
        <w:rPr>
          <w:rFonts w:hint="eastAsia" w:ascii="仿宋" w:hAnsi="仿宋" w:eastAsia="仿宋" w:cs="Arial"/>
          <w:sz w:val="32"/>
          <w:szCs w:val="32"/>
          <w:lang w:val="en-US" w:eastAsia="zh-CN"/>
        </w:rPr>
        <w:t>9.80</w:t>
      </w:r>
      <w:r>
        <w:rPr>
          <w:rFonts w:hint="eastAsia" w:ascii="仿宋" w:hAnsi="仿宋" w:eastAsia="仿宋" w:cs="Arial"/>
          <w:sz w:val="32"/>
          <w:szCs w:val="32"/>
        </w:rPr>
        <w:t>万元。其中:</w:t>
      </w:r>
    </w:p>
    <w:p w14:paraId="2A4C28E3">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因公出国(境)费</w:t>
      </w:r>
      <w:r>
        <w:rPr>
          <w:rFonts w:hint="eastAsia" w:ascii="仿宋" w:hAnsi="仿宋" w:eastAsia="仿宋" w:cs="Arial"/>
          <w:sz w:val="32"/>
          <w:szCs w:val="32"/>
          <w:lang w:val="en-US" w:eastAsia="zh-CN"/>
        </w:rPr>
        <w:t>0</w:t>
      </w:r>
      <w:r>
        <w:rPr>
          <w:rFonts w:hint="eastAsia" w:ascii="仿宋" w:hAnsi="仿宋" w:eastAsia="仿宋" w:cs="Arial"/>
          <w:sz w:val="32"/>
          <w:szCs w:val="32"/>
        </w:rPr>
        <w:t>万元，</w:t>
      </w:r>
      <w:r>
        <w:rPr>
          <w:rFonts w:hint="eastAsia" w:ascii="仿宋" w:hAnsi="仿宋" w:eastAsia="仿宋" w:cs="Arial"/>
          <w:sz w:val="32"/>
          <w:szCs w:val="32"/>
          <w:lang w:eastAsia="zh-CN"/>
        </w:rPr>
        <w:t>较上年无变动</w:t>
      </w:r>
      <w:r>
        <w:rPr>
          <w:rFonts w:hint="eastAsia" w:ascii="仿宋" w:hAnsi="仿宋" w:eastAsia="仿宋" w:cs="Arial"/>
          <w:sz w:val="32"/>
          <w:szCs w:val="32"/>
        </w:rPr>
        <w:t>。</w:t>
      </w:r>
    </w:p>
    <w:p w14:paraId="2615FABC">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公务接待费</w:t>
      </w:r>
      <w:r>
        <w:rPr>
          <w:rFonts w:hint="eastAsia" w:ascii="仿宋" w:hAnsi="仿宋" w:eastAsia="仿宋" w:cs="Arial"/>
          <w:sz w:val="32"/>
          <w:szCs w:val="32"/>
          <w:lang w:val="en-US" w:eastAsia="zh-CN"/>
        </w:rPr>
        <w:t>9.80</w:t>
      </w:r>
      <w:r>
        <w:rPr>
          <w:rFonts w:hint="eastAsia" w:ascii="仿宋" w:hAnsi="仿宋" w:eastAsia="仿宋" w:cs="Arial"/>
          <w:sz w:val="32"/>
          <w:szCs w:val="32"/>
        </w:rPr>
        <w:t>万元，比上年</w:t>
      </w:r>
      <w:r>
        <w:rPr>
          <w:rFonts w:hint="eastAsia" w:ascii="仿宋" w:hAnsi="仿宋" w:eastAsia="仿宋" w:cs="Arial"/>
          <w:sz w:val="32"/>
          <w:szCs w:val="32"/>
          <w:lang w:eastAsia="zh-CN"/>
        </w:rPr>
        <w:t>下降</w:t>
      </w:r>
      <w:r>
        <w:rPr>
          <w:rFonts w:hint="eastAsia" w:ascii="仿宋" w:hAnsi="仿宋" w:eastAsia="仿宋" w:cs="Arial"/>
          <w:sz w:val="32"/>
          <w:szCs w:val="32"/>
          <w:lang w:val="en-US" w:eastAsia="zh-CN"/>
        </w:rPr>
        <w:t>11.7</w:t>
      </w:r>
      <w:r>
        <w:rPr>
          <w:rFonts w:hint="eastAsia" w:ascii="仿宋" w:hAnsi="仿宋" w:eastAsia="仿宋" w:cs="Arial"/>
          <w:sz w:val="32"/>
          <w:szCs w:val="32"/>
        </w:rPr>
        <w:t>万元，主要原因</w:t>
      </w:r>
    </w:p>
    <w:p w14:paraId="6383D61E">
      <w:pPr>
        <w:keepNext w:val="0"/>
        <w:keepLines w:val="0"/>
        <w:pageBreakBefore w:val="0"/>
        <w:wordWrap/>
        <w:overflowPunct/>
        <w:topLinePunct w:val="0"/>
        <w:bidi w:val="0"/>
        <w:spacing w:line="600" w:lineRule="exact"/>
        <w:rPr>
          <w:rFonts w:hint="eastAsia" w:ascii="仿宋" w:hAnsi="仿宋" w:eastAsia="仿宋" w:cs="Arial"/>
          <w:sz w:val="32"/>
          <w:szCs w:val="32"/>
          <w:highlight w:val="none"/>
        </w:rPr>
      </w:pPr>
      <w:r>
        <w:rPr>
          <w:rFonts w:hint="eastAsia" w:ascii="仿宋" w:hAnsi="仿宋" w:eastAsia="仿宋" w:cs="Arial"/>
          <w:sz w:val="32"/>
          <w:szCs w:val="32"/>
          <w:highlight w:val="none"/>
        </w:rPr>
        <w:t>是</w:t>
      </w:r>
      <w:r>
        <w:rPr>
          <w:rFonts w:hint="eastAsia" w:ascii="仿宋" w:hAnsi="仿宋" w:eastAsia="仿宋" w:cs="Arial"/>
          <w:sz w:val="32"/>
          <w:szCs w:val="32"/>
          <w:highlight w:val="none"/>
          <w:lang w:eastAsia="zh-CN"/>
        </w:rPr>
        <w:t>开源节流，控制单位公务接待费用开支</w:t>
      </w:r>
      <w:r>
        <w:rPr>
          <w:rFonts w:hint="eastAsia" w:ascii="仿宋" w:hAnsi="仿宋" w:eastAsia="仿宋" w:cs="Arial"/>
          <w:sz w:val="32"/>
          <w:szCs w:val="32"/>
          <w:highlight w:val="none"/>
          <w:lang w:val="en-US" w:eastAsia="zh-CN"/>
        </w:rPr>
        <w:t>。</w:t>
      </w:r>
    </w:p>
    <w:p w14:paraId="26087A3C">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公务用车运行维护费</w:t>
      </w:r>
      <w:r>
        <w:rPr>
          <w:rFonts w:hint="eastAsia" w:ascii="仿宋" w:hAnsi="仿宋" w:eastAsia="仿宋" w:cs="Arial"/>
          <w:sz w:val="32"/>
          <w:szCs w:val="32"/>
          <w:highlight w:val="none"/>
          <w:lang w:val="en-US" w:eastAsia="zh-CN"/>
        </w:rPr>
        <w:t>7.77</w:t>
      </w:r>
      <w:r>
        <w:rPr>
          <w:rFonts w:hint="eastAsia" w:ascii="仿宋" w:hAnsi="仿宋" w:eastAsia="仿宋" w:cs="Arial"/>
          <w:sz w:val="32"/>
          <w:szCs w:val="32"/>
          <w:highlight w:val="none"/>
        </w:rPr>
        <w:t>万元，</w:t>
      </w:r>
      <w:r>
        <w:rPr>
          <w:rFonts w:hint="eastAsia" w:ascii="仿宋" w:hAnsi="仿宋" w:eastAsia="仿宋" w:cs="Arial"/>
          <w:sz w:val="32"/>
          <w:szCs w:val="32"/>
          <w:highlight w:val="none"/>
          <w:lang w:eastAsia="zh-CN"/>
        </w:rPr>
        <w:t>较上年无变动。</w:t>
      </w:r>
    </w:p>
    <w:p w14:paraId="7BEC51EA">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highlight w:val="none"/>
        </w:rPr>
      </w:pPr>
      <w:r>
        <w:rPr>
          <w:rFonts w:hint="eastAsia" w:ascii="仿宋" w:hAnsi="仿宋" w:eastAsia="仿宋" w:cs="Arial"/>
          <w:sz w:val="32"/>
          <w:szCs w:val="32"/>
          <w:highlight w:val="none"/>
        </w:rPr>
        <w:t>公务用车购置费</w:t>
      </w:r>
      <w:r>
        <w:rPr>
          <w:rFonts w:hint="eastAsia" w:ascii="仿宋" w:hAnsi="仿宋" w:eastAsia="仿宋" w:cs="Arial"/>
          <w:sz w:val="32"/>
          <w:szCs w:val="32"/>
          <w:highlight w:val="none"/>
          <w:lang w:val="en-US" w:eastAsia="zh-CN"/>
        </w:rPr>
        <w:t>0</w:t>
      </w:r>
      <w:r>
        <w:rPr>
          <w:rFonts w:hint="eastAsia" w:ascii="仿宋" w:hAnsi="仿宋" w:eastAsia="仿宋" w:cs="Arial"/>
          <w:sz w:val="32"/>
          <w:szCs w:val="32"/>
          <w:highlight w:val="none"/>
        </w:rPr>
        <w:t>万元，</w:t>
      </w:r>
      <w:r>
        <w:rPr>
          <w:rFonts w:hint="eastAsia" w:ascii="仿宋" w:hAnsi="仿宋" w:eastAsia="仿宋" w:cs="Arial"/>
          <w:sz w:val="32"/>
          <w:szCs w:val="32"/>
          <w:highlight w:val="none"/>
          <w:lang w:eastAsia="zh-CN"/>
        </w:rPr>
        <w:t>较上年无变动。</w:t>
      </w:r>
    </w:p>
    <w:p w14:paraId="0E5483DA">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p>
    <w:p w14:paraId="71234208">
      <w:pPr>
        <w:widowControl w:val="0"/>
        <w:kinsoku/>
        <w:autoSpaceDE/>
        <w:autoSpaceDN/>
        <w:adjustRightInd/>
        <w:snapToGrid/>
        <w:jc w:val="center"/>
        <w:textAlignment w:val="auto"/>
        <w:rPr>
          <w:rFonts w:hint="eastAsia" w:ascii="黑体" w:hAnsi="黑体" w:eastAsia="黑体" w:cs="黑体"/>
          <w:snapToGrid/>
          <w:kern w:val="2"/>
          <w:sz w:val="32"/>
          <w:szCs w:val="32"/>
        </w:rPr>
      </w:pPr>
      <w:r>
        <w:rPr>
          <w:rFonts w:hint="eastAsia" w:ascii="黑体" w:hAnsi="黑体" w:eastAsia="黑体" w:cs="黑体"/>
          <w:snapToGrid/>
          <w:kern w:val="2"/>
          <w:sz w:val="32"/>
          <w:szCs w:val="32"/>
        </w:rPr>
        <w:t>第四部分   名词解释</w:t>
      </w:r>
    </w:p>
    <w:p w14:paraId="3D4E2AE1">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一、收入科目</w:t>
      </w:r>
    </w:p>
    <w:p w14:paraId="3FC3C287">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各部门结合实际进行解释。</w:t>
      </w:r>
    </w:p>
    <w:p w14:paraId="6AB2743F">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(一)财政拨款:指省级财政当年拨付的资金。</w:t>
      </w:r>
    </w:p>
    <w:p w14:paraId="68B46A46">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(二)教育收费资金收入:反映实行专项管理的高中以上学费、住宿费，高校委托培养费，函大、电大、夜大及短训班培训费等教育收费取得的收入。</w:t>
      </w:r>
    </w:p>
    <w:p w14:paraId="735404D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(三)事业收入:指事业单位开展专业业务活动及辅助活动取得的收入。</w:t>
      </w:r>
    </w:p>
    <w:p w14:paraId="10DB7CA9">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(四)事业单位经营收入:指事业单位在专业业务活动及辅助活动之外开展非独立核算经营活动取得的收入。</w:t>
      </w:r>
    </w:p>
    <w:p w14:paraId="5CC74D87">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(五)附属单位上缴收入:反映事业单位附属的独立核算单位按规定标准或比例缴纳的各项收入。包括附属的事业单位上缴的收入和附属的企业上缴的利润等。</w:t>
      </w:r>
    </w:p>
    <w:p w14:paraId="5C8665DD">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(六)上级补助收入:反映事业单位从主管部门和上级单位取得的非财政补助收入。</w:t>
      </w:r>
    </w:p>
    <w:p w14:paraId="7250A18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(七)其他收入:指除财政拨款、事业收入、事业单位经营收入等以外的各项收入。</w:t>
      </w:r>
    </w:p>
    <w:p w14:paraId="52AEC64B">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(八)使用非财政拨款结余:填列历年滚存的非限定用途的非统计财政拨款结余弥补202</w:t>
      </w:r>
      <w:r>
        <w:rPr>
          <w:rFonts w:hint="eastAsia" w:ascii="仿宋" w:hAnsi="仿宋" w:eastAsia="仿宋" w:cs="Arial"/>
          <w:sz w:val="32"/>
          <w:szCs w:val="32"/>
          <w:lang w:val="en-US" w:eastAsia="zh-CN"/>
        </w:rPr>
        <w:t>5</w:t>
      </w:r>
      <w:r>
        <w:rPr>
          <w:rFonts w:hint="eastAsia" w:ascii="仿宋" w:hAnsi="仿宋" w:eastAsia="仿宋" w:cs="Arial"/>
          <w:sz w:val="32"/>
          <w:szCs w:val="32"/>
        </w:rPr>
        <w:t>年收支差额的数额。</w:t>
      </w:r>
    </w:p>
    <w:p w14:paraId="47605B82">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(九)上年结转和结余:填列202</w:t>
      </w:r>
      <w:r>
        <w:rPr>
          <w:rFonts w:hint="eastAsia" w:ascii="仿宋" w:hAnsi="仿宋" w:eastAsia="仿宋" w:cs="Arial"/>
          <w:sz w:val="32"/>
          <w:szCs w:val="32"/>
          <w:lang w:val="en-US" w:eastAsia="zh-CN"/>
        </w:rPr>
        <w:t>4</w:t>
      </w:r>
      <w:r>
        <w:rPr>
          <w:rFonts w:hint="eastAsia" w:ascii="仿宋" w:hAnsi="仿宋" w:eastAsia="仿宋" w:cs="Arial"/>
          <w:sz w:val="32"/>
          <w:szCs w:val="32"/>
        </w:rPr>
        <w:t>年全部结转和结余的资金数，包括当年结转结余资金和历年滚存结转结余资金。</w:t>
      </w:r>
    </w:p>
    <w:p w14:paraId="4299DD7E">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二、支出科目</w:t>
      </w:r>
    </w:p>
    <w:p w14:paraId="59759507">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对部门预算中涉及的支出功能分类科目(明细到项级)，结合部门实际，参照《202</w:t>
      </w:r>
      <w:r>
        <w:rPr>
          <w:rFonts w:hint="eastAsia" w:ascii="仿宋" w:hAnsi="仿宋" w:eastAsia="仿宋" w:cs="Arial"/>
          <w:sz w:val="32"/>
          <w:szCs w:val="32"/>
          <w:lang w:val="en-US" w:eastAsia="zh-CN"/>
        </w:rPr>
        <w:t>5</w:t>
      </w:r>
      <w:r>
        <w:rPr>
          <w:rFonts w:hint="eastAsia" w:ascii="仿宋" w:hAnsi="仿宋" w:eastAsia="仿宋" w:cs="Arial"/>
          <w:sz w:val="32"/>
          <w:szCs w:val="32"/>
        </w:rPr>
        <w:t>年政府收支分类科目》的规范说明进行解释。</w:t>
      </w:r>
    </w:p>
    <w:p w14:paraId="08FDA2E8">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三、部门涉及的专业名词</w:t>
      </w:r>
    </w:p>
    <w:p w14:paraId="146B28F5">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由部门结合实际填写。</w:t>
      </w:r>
    </w:p>
    <w:sectPr>
      <w:pgSz w:w="11900" w:h="16820"/>
      <w:pgMar w:top="1429" w:right="1647" w:bottom="1319" w:left="1539" w:header="0" w:footer="109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A3ZGY0NmNmZWRlNjI2ZDhmNTYyMWExZWU3NTBiOTQifQ=="/>
  </w:docVars>
  <w:rsids>
    <w:rsidRoot w:val="00E637E3"/>
    <w:rsid w:val="0028241F"/>
    <w:rsid w:val="007D2708"/>
    <w:rsid w:val="00A55E03"/>
    <w:rsid w:val="00E637E3"/>
    <w:rsid w:val="180A0D7A"/>
    <w:rsid w:val="1BD25925"/>
    <w:rsid w:val="20554276"/>
    <w:rsid w:val="28B74E8B"/>
    <w:rsid w:val="2CC35517"/>
    <w:rsid w:val="311741D6"/>
    <w:rsid w:val="325D7BAC"/>
    <w:rsid w:val="3B64626A"/>
    <w:rsid w:val="3DF76F24"/>
    <w:rsid w:val="43890680"/>
    <w:rsid w:val="474E6296"/>
    <w:rsid w:val="476D2917"/>
    <w:rsid w:val="535A3AA7"/>
    <w:rsid w:val="584E5EBC"/>
    <w:rsid w:val="5CB32D31"/>
    <w:rsid w:val="5D24489D"/>
    <w:rsid w:val="5DD36312"/>
    <w:rsid w:val="5E7D0438"/>
    <w:rsid w:val="5E7F36BA"/>
    <w:rsid w:val="5F60247D"/>
    <w:rsid w:val="66F83066"/>
    <w:rsid w:val="67512C89"/>
    <w:rsid w:val="6C0006DE"/>
    <w:rsid w:val="6E82642B"/>
    <w:rsid w:val="70980824"/>
    <w:rsid w:val="75C3212D"/>
    <w:rsid w:val="7D06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3">
    <w:name w:val="Normal (Web)"/>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val="en-US" w:eastAsia="zh-CN"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4509</Words>
  <Characters>4864</Characters>
  <Lines>14</Lines>
  <Paragraphs>4</Paragraphs>
  <TotalTime>46</TotalTime>
  <ScaleCrop>false</ScaleCrop>
  <LinksUpToDate>false</LinksUpToDate>
  <CharactersWithSpaces>4879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2022-02-17T11:46:00Z</dcterms:created>
  <dc:creator>Administrator</dc:creator>
  <cp:lastModifiedBy>鸩</cp:lastModifiedBy>
  <dcterms:modified xsi:type="dcterms:W3CDTF">2025-06-05T07:20:24Z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wqlLaW5nc29mdCBQREYgdG8gV1BTIDcw</vt:lpwstr>
  </property>
  <property fmtid="{D5CDD505-2E9C-101B-9397-08002B2CF9AE}" pid="3" name="Created">
    <vt:filetime>2022-02-17T19:44:23Z</vt:filetime>
  </property>
  <property fmtid="{D5CDD505-2E9C-101B-9397-08002B2CF9AE}" pid="4" name="KSOProductBuildVer">
    <vt:lpwstr>2052-12.1.0.21171</vt:lpwstr>
  </property>
  <property fmtid="{D5CDD505-2E9C-101B-9397-08002B2CF9AE}" pid="5" name="ICV">
    <vt:lpwstr>88DC4E5DA5774A45A9990BB4EE0325F1</vt:lpwstr>
  </property>
  <property fmtid="{D5CDD505-2E9C-101B-9397-08002B2CF9AE}" pid="6" name="KSOTemplateDocerSaveRecord">
    <vt:lpwstr>eyJoZGlkIjoiODA3ZGY0NmNmZWRlNjI2ZDhmNTYyMWExZWU3NTBiOTQiLCJ1c2VySWQiOiIzMTQ0Njc3MTkifQ==</vt:lpwstr>
  </property>
</Properties>
</file>