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浮梁县经济作物局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浮梁县经济作物局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cols w:space="720" w:num="1"/>
        </w:sect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6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浮梁县经济作物局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一、单位主要职责</w:t>
      </w:r>
    </w:p>
    <w:p>
      <w:pPr>
        <w:spacing w:before="183" w:line="336" w:lineRule="auto"/>
        <w:ind w:right="7" w:firstLine="599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rPr>
          <w:rFonts w:hint="eastAsia" w:ascii="仿宋" w:hAnsi="仿宋" w:eastAsia="仿宋" w:cs="仿宋"/>
          <w:spacing w:val="6"/>
          <w:sz w:val="33"/>
          <w:szCs w:val="33"/>
          <w:lang w:val="en-US" w:eastAsia="zh-CN"/>
        </w:rPr>
        <w:t>协调农业各产业和农村经济发展；指导农村二、三产业发展，扶持发展农产品加工流通业、乡村旅游等服务业。承办县委、县人民政府和上级业务部门交办的其他事项。</w:t>
      </w:r>
    </w:p>
    <w:p>
      <w:pPr>
        <w:spacing w:before="20" w:line="94" w:lineRule="exact"/>
        <w:ind w:left="819"/>
        <w:rPr>
          <w:rFonts w:ascii="宋体" w:hAnsi="宋体" w:eastAsia="宋体" w:cs="宋体"/>
          <w:sz w:val="6"/>
          <w:szCs w:val="6"/>
        </w:rPr>
      </w:pPr>
      <w:r>
        <w:rPr>
          <w:rFonts w:ascii="宋体" w:hAnsi="宋体" w:eastAsia="宋体" w:cs="宋体"/>
          <w:spacing w:val="-4"/>
          <w:position w:val="1"/>
          <w:sz w:val="6"/>
          <w:szCs w:val="6"/>
        </w:rPr>
        <w:t>………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spacing w:before="212" w:line="221" w:lineRule="auto"/>
        <w:ind w:left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sz w:val="33"/>
          <w:szCs w:val="33"/>
        </w:rPr>
        <w:t>本单位设立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ascii="仿宋" w:hAnsi="仿宋" w:eastAsia="仿宋" w:cs="仿宋"/>
          <w:spacing w:val="-11"/>
          <w:sz w:val="33"/>
          <w:szCs w:val="33"/>
        </w:rPr>
        <w:t>个内设机构，是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浮梁县经济作物局</w:t>
      </w:r>
      <w:r>
        <w:rPr>
          <w:rFonts w:ascii="仿宋" w:hAnsi="仿宋" w:eastAsia="仿宋" w:cs="仿宋"/>
          <w:spacing w:val="-11"/>
          <w:sz w:val="33"/>
          <w:szCs w:val="33"/>
        </w:rPr>
        <w:t>。</w:t>
      </w:r>
    </w:p>
    <w:p>
      <w:pPr>
        <w:spacing w:before="183" w:line="336" w:lineRule="auto"/>
        <w:ind w:right="7" w:firstLine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本单位2022年年末实有人数</w:t>
      </w:r>
      <w:r>
        <w:rPr>
          <w:rFonts w:hint="eastAsia" w:ascii="仿宋" w:hAnsi="仿宋" w:eastAsia="仿宋" w:cs="仿宋"/>
          <w:spacing w:val="55"/>
          <w:sz w:val="33"/>
          <w:szCs w:val="33"/>
          <w:lang w:val="en-US" w:eastAsia="zh-CN"/>
        </w:rPr>
        <w:t>9</w:t>
      </w:r>
      <w:r>
        <w:rPr>
          <w:rFonts w:ascii="仿宋" w:hAnsi="仿宋" w:eastAsia="仿宋" w:cs="仿宋"/>
          <w:spacing w:val="-8"/>
          <w:sz w:val="33"/>
          <w:szCs w:val="33"/>
        </w:rPr>
        <w:t>人，其中在职人员</w:t>
      </w:r>
      <w:r>
        <w:rPr>
          <w:rFonts w:hint="eastAsia" w:ascii="仿宋" w:hAnsi="仿宋" w:eastAsia="仿宋" w:cs="仿宋"/>
          <w:spacing w:val="123"/>
          <w:sz w:val="33"/>
          <w:szCs w:val="33"/>
          <w:lang w:val="en-US" w:eastAsia="zh-CN"/>
        </w:rPr>
        <w:t>6</w:t>
      </w:r>
      <w:r>
        <w:rPr>
          <w:rFonts w:ascii="仿宋" w:hAnsi="仿宋" w:eastAsia="仿宋" w:cs="仿宋"/>
          <w:spacing w:val="-8"/>
          <w:sz w:val="33"/>
          <w:szCs w:val="33"/>
        </w:rPr>
        <w:t>人，</w:t>
      </w:r>
      <w:r>
        <w:rPr>
          <w:rFonts w:ascii="仿宋" w:hAnsi="仿宋" w:eastAsia="仿宋" w:cs="仿宋"/>
          <w:spacing w:val="6"/>
          <w:sz w:val="33"/>
          <w:szCs w:val="33"/>
        </w:rPr>
        <w:t>离休人员</w:t>
      </w:r>
      <w:r>
        <w:rPr>
          <w:rFonts w:hint="eastAsia" w:ascii="仿宋" w:hAnsi="仿宋" w:eastAsia="仿宋" w:cs="仿宋"/>
          <w:spacing w:val="49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6"/>
          <w:sz w:val="33"/>
          <w:szCs w:val="33"/>
        </w:rPr>
        <w:t>人，退休人员</w:t>
      </w:r>
      <w:r>
        <w:rPr>
          <w:rFonts w:hint="eastAsia" w:ascii="仿宋" w:hAnsi="仿宋" w:eastAsia="仿宋" w:cs="仿宋"/>
          <w:spacing w:val="6"/>
          <w:sz w:val="33"/>
          <w:szCs w:val="33"/>
          <w:lang w:val="en-US" w:eastAsia="zh-CN"/>
        </w:rPr>
        <w:t>3</w:t>
      </w:r>
      <w:r>
        <w:rPr>
          <w:rFonts w:ascii="仿宋" w:hAnsi="仿宋" w:eastAsia="仿宋" w:cs="仿宋"/>
          <w:spacing w:val="6"/>
          <w:sz w:val="33"/>
          <w:szCs w:val="33"/>
        </w:rPr>
        <w:t>人(不含由养老保险基金发放养</w:t>
      </w:r>
      <w:r>
        <w:rPr>
          <w:rFonts w:ascii="仿宋" w:hAnsi="仿宋" w:eastAsia="仿宋" w:cs="仿宋"/>
          <w:spacing w:val="-14"/>
          <w:sz w:val="33"/>
          <w:szCs w:val="33"/>
        </w:rPr>
        <w:t>老金的离退休人员);年末其他人员</w:t>
      </w:r>
      <w:r>
        <w:rPr>
          <w:rFonts w:hint="eastAsia" w:ascii="仿宋" w:hAnsi="仿宋" w:eastAsia="仿宋" w:cs="仿宋"/>
          <w:spacing w:val="38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4"/>
          <w:sz w:val="33"/>
          <w:szCs w:val="33"/>
        </w:rPr>
        <w:t>人；年末学生</w:t>
      </w:r>
      <w:r>
        <w:rPr>
          <w:rFonts w:ascii="仿宋" w:hAnsi="仿宋" w:eastAsia="仿宋" w:cs="仿宋"/>
          <w:spacing w:val="-15"/>
          <w:sz w:val="33"/>
          <w:szCs w:val="33"/>
        </w:rPr>
        <w:t>人数</w:t>
      </w:r>
      <w:r>
        <w:rPr>
          <w:rFonts w:hint="eastAsia" w:ascii="仿宋" w:hAnsi="仿宋" w:eastAsia="仿宋" w:cs="仿宋"/>
          <w:spacing w:val="50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5"/>
          <w:sz w:val="33"/>
          <w:szCs w:val="33"/>
        </w:rPr>
        <w:t>人；</w:t>
      </w:r>
    </w:p>
    <w:p>
      <w:pPr>
        <w:spacing w:line="220" w:lineRule="auto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2"/>
          <w:sz w:val="33"/>
          <w:szCs w:val="33"/>
        </w:rPr>
        <w:t>由养老保险基金发放养老金的离退休人员</w:t>
      </w:r>
      <w:r>
        <w:rPr>
          <w:rFonts w:hint="eastAsia" w:ascii="仿宋" w:hAnsi="仿宋" w:eastAsia="仿宋" w:cs="仿宋"/>
          <w:spacing w:val="18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2"/>
          <w:sz w:val="33"/>
          <w:szCs w:val="33"/>
        </w:rPr>
        <w:t>人。</w:t>
      </w:r>
    </w:p>
    <w:p>
      <w:pPr>
        <w:spacing w:line="220" w:lineRule="auto"/>
        <w:rPr>
          <w:rFonts w:ascii="仿宋" w:hAnsi="仿宋" w:eastAsia="仿宋" w:cs="仿宋"/>
          <w:sz w:val="33"/>
          <w:szCs w:val="33"/>
        </w:rPr>
        <w:sectPr>
          <w:footerReference r:id="rId8" w:type="default"/>
          <w:pgSz w:w="11840" w:h="16780"/>
          <w:pgMar w:top="400" w:right="1462" w:bottom="1651" w:left="1650" w:header="0" w:footer="1324" w:gutter="0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cols w:space="720" w:num="1"/>
        </w:sectPr>
      </w:pPr>
      <w:r>
        <w:drawing>
          <wp:inline distT="0" distB="0" distL="114300" distR="114300">
            <wp:extent cx="5490210" cy="5096510"/>
            <wp:effectExtent l="0" t="0" r="152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509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17"/>
      </w:pPr>
      <w:r>
        <w:drawing>
          <wp:inline distT="0" distB="0" distL="114300" distR="114300">
            <wp:extent cx="5549265" cy="2148840"/>
            <wp:effectExtent l="0" t="0" r="1333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49265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drawing>
          <wp:inline distT="0" distB="0" distL="114300" distR="114300">
            <wp:extent cx="5557520" cy="2622550"/>
            <wp:effectExtent l="0" t="0" r="5080" b="6350"/>
            <wp:docPr id="257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752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drawing>
          <wp:inline distT="0" distB="0" distL="114300" distR="114300">
            <wp:extent cx="5670550" cy="3830320"/>
            <wp:effectExtent l="0" t="0" r="6350" b="17780"/>
            <wp:docPr id="258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47360" cy="3379470"/>
            <wp:effectExtent l="0" t="0" r="15240" b="11430"/>
            <wp:docPr id="259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37810" cy="3733165"/>
            <wp:effectExtent l="0" t="0" r="15240" b="635"/>
            <wp:docPr id="260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7810" cy="373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6540" cy="3026410"/>
            <wp:effectExtent l="0" t="0" r="16510" b="2540"/>
            <wp:docPr id="261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6540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4635" cy="1707515"/>
            <wp:effectExtent l="0" t="0" r="18415" b="6985"/>
            <wp:docPr id="262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kinsoku w:val="0"/>
        <w:autoSpaceDE w:val="0"/>
        <w:autoSpaceDN w:val="0"/>
        <w:adjustRightInd w:val="0"/>
        <w:snapToGrid w:val="0"/>
        <w:spacing w:line="32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3" w:lineRule="auto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840" w:h="16780"/>
          <w:pgMar w:top="400" w:right="1776" w:bottom="400" w:left="1650" w:header="0" w:footer="0" w:gutter="0"/>
          <w:cols w:space="720" w:num="1"/>
        </w:sectPr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1170" cy="2404745"/>
            <wp:effectExtent l="0" t="0" r="11430" b="14605"/>
            <wp:docPr id="380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7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8155" cy="3113405"/>
            <wp:effectExtent l="0" t="0" r="4445" b="10795"/>
            <wp:docPr id="450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8155" cy="311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8305" cy="4827905"/>
            <wp:effectExtent l="0" t="0" r="17145" b="10795"/>
            <wp:docPr id="451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4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48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9425" cy="3616960"/>
            <wp:effectExtent l="0" t="0" r="3175" b="2540"/>
            <wp:docPr id="452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4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59425" cy="361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0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本单位2022年度收入总计82.88万元，其中年初结转和结余0万元;本年收入合计82.88万元，由于是2022年度新增做决算单位，故无法和上年比较。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本年收入的具体构成为：财政拨款收入82.88万元，占100%;事业收入0万元，占0%;经营收入0万元，占0%;其他收入0万元，占0%。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本单位2022年度支出总计82.88万元。其中本年支出合计82.88万元;年末结转和结余0万元，由于是2022年度新增做决算单位，故无法和上年比较。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本年支出的具体构成为：基本支出82.88万元，占100%;项目支出0万元，占0%;经营支出0万元，占0%;其他支出(对附属单位补助支出、上缴上级支出)0万元，占0%。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本单位2022年度财政拨款本年支出年初预算数为81.45万元决算数为82.88万元，完成年初预算的101.76%其中：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(一)人员经费支出年初预算数为：76.55万元，决算数为77.98万元，完成年初预算的101.86%,主要原因是：基本养老保险基数调整，人员经费增加。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(二)公用经费支出年初预算数为：4.9万元，决算数为4.9万元，完成年初预算的100%。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四、一般公共预算财政拨款基本支出决算情况说明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本单位2022年度一般公共预算财政拨款基本支出万其中：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(一)工资福利支出76.48万元，由于是2022年度新增做决算单位，故无法和上年比较。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(二)商品和服务支出4.9万元，由于是2022年度新增做决算单位，故无法和上年比较。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(三)对个人和家庭补助支出1.5万元，由于是2022年度新增做决算单位，故无法和上年比较。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本单位2022年度财政拨款“三公”经费支出全年预算数为2万元，决算数为2万元，完成全年预算的100%,由于是2022年度新增做决算单位，故无法和上年比较。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%,由于是2022年度新增做决算单位，故无法和上年比较。全年国内公务接待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154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4.9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七、政府采购支出情况说明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本单位2022年度政府采购支出总额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295275</wp:posOffset>
            </wp:positionV>
            <wp:extent cx="5540375" cy="3561080"/>
            <wp:effectExtent l="0" t="0" r="3175" b="1270"/>
            <wp:wrapNone/>
            <wp:docPr id="454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40375" cy="356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九、预算绩效评价情况说明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2022年度没有项目纳入年初部门预算。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0" w:line="219" w:lineRule="auto"/>
        <w:ind w:left="2406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bookmarkStart w:id="0" w:name="_GoBack"/>
      <w:bookmarkEnd w:id="0"/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17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9105144"/>
    <w:rsid w:val="3A135FC9"/>
    <w:rsid w:val="53A07C03"/>
    <w:rsid w:val="761E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2023-12-12T02:05:35Z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