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4" w:line="224" w:lineRule="auto"/>
        <w:ind w:left="20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16"/>
          <w:sz w:val="32"/>
          <w:szCs w:val="32"/>
        </w:rPr>
        <w:t>附件2</w:t>
      </w:r>
    </w:p>
    <w:p>
      <w:pPr>
        <w:kinsoku w:val="0"/>
        <w:autoSpaceDE w:val="0"/>
        <w:autoSpaceDN w:val="0"/>
        <w:adjustRightInd w:val="0"/>
        <w:snapToGrid w:val="0"/>
        <w:spacing w:line="284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8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146" w:line="219" w:lineRule="auto"/>
        <w:jc w:val="center"/>
        <w:rPr>
          <w:rFonts w:ascii="宋体" w:hAnsi="宋体" w:eastAsia="宋体" w:cs="宋体"/>
          <w:sz w:val="45"/>
          <w:szCs w:val="45"/>
        </w:rPr>
      </w:pPr>
      <w:r>
        <w:rPr>
          <w:rFonts w:hint="eastAsia" w:ascii="宋体" w:hAnsi="宋体" w:eastAsia="宋体" w:cs="宋体"/>
          <w:b/>
          <w:bCs/>
          <w:spacing w:val="-8"/>
          <w:sz w:val="45"/>
          <w:szCs w:val="45"/>
          <w:lang w:eastAsia="zh-CN"/>
        </w:rPr>
        <w:t>浮梁县农村经营管理局</w:t>
      </w:r>
      <w:r>
        <w:rPr>
          <w:rFonts w:ascii="宋体" w:hAnsi="宋体" w:eastAsia="宋体" w:cs="宋体"/>
          <w:b/>
          <w:bCs/>
          <w:spacing w:val="-8"/>
          <w:sz w:val="45"/>
          <w:szCs w:val="45"/>
        </w:rPr>
        <w:t>2022年度决算</w:t>
      </w:r>
    </w:p>
    <w:p>
      <w:pPr>
        <w:kinsoku w:val="0"/>
        <w:autoSpaceDE w:val="0"/>
        <w:autoSpaceDN w:val="0"/>
        <w:adjustRightInd w:val="0"/>
        <w:snapToGrid w:val="0"/>
        <w:spacing w:line="33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33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104" w:line="222" w:lineRule="auto"/>
        <w:ind w:left="3754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30"/>
          <w:sz w:val="32"/>
          <w:szCs w:val="32"/>
        </w:rPr>
        <w:t>目</w:t>
      </w:r>
      <w:r>
        <w:rPr>
          <w:rFonts w:hint="eastAsia" w:ascii="黑体" w:hAnsi="黑体" w:eastAsia="黑体" w:cs="黑体"/>
          <w:b/>
          <w:bCs/>
          <w:spacing w:val="-30"/>
          <w:sz w:val="32"/>
          <w:szCs w:val="32"/>
          <w:lang w:val="en-US" w:eastAsia="zh-CN"/>
        </w:rPr>
        <w:t xml:space="preserve">  </w:t>
      </w:r>
      <w:r>
        <w:rPr>
          <w:rFonts w:ascii="黑体" w:hAnsi="黑体" w:eastAsia="黑体" w:cs="黑体"/>
          <w:b/>
          <w:bCs/>
          <w:spacing w:val="-30"/>
          <w:sz w:val="32"/>
          <w:szCs w:val="32"/>
        </w:rPr>
        <w:t>录</w:t>
      </w:r>
    </w:p>
    <w:p>
      <w:pPr>
        <w:kinsoku w:val="0"/>
        <w:autoSpaceDE w:val="0"/>
        <w:autoSpaceDN w:val="0"/>
        <w:adjustRightInd w:val="0"/>
        <w:snapToGrid w:val="0"/>
        <w:spacing w:line="357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358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105" w:line="221" w:lineRule="auto"/>
        <w:ind w:left="664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8"/>
          <w:sz w:val="32"/>
          <w:szCs w:val="32"/>
        </w:rPr>
        <w:t>第一部分</w:t>
      </w:r>
      <w:r>
        <w:rPr>
          <w:rFonts w:hint="eastAsia" w:ascii="黑体" w:hAnsi="黑体" w:eastAsia="黑体" w:cs="黑体"/>
          <w:b/>
          <w:bCs/>
          <w:spacing w:val="-8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bCs/>
          <w:spacing w:val="-8"/>
          <w:sz w:val="32"/>
          <w:szCs w:val="32"/>
          <w:lang w:eastAsia="zh-CN"/>
        </w:rPr>
        <w:t>浮梁县农村经营管理局</w:t>
      </w:r>
      <w:r>
        <w:rPr>
          <w:rFonts w:ascii="黑体" w:hAnsi="黑体" w:eastAsia="黑体" w:cs="黑体"/>
          <w:b/>
          <w:bCs/>
          <w:spacing w:val="-8"/>
          <w:sz w:val="32"/>
          <w:szCs w:val="32"/>
        </w:rPr>
        <w:t>单位概况</w:t>
      </w:r>
    </w:p>
    <w:p>
      <w:pPr>
        <w:spacing w:before="219" w:line="610" w:lineRule="exact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7"/>
          <w:position w:val="21"/>
          <w:sz w:val="32"/>
          <w:szCs w:val="32"/>
        </w:rPr>
        <w:t>一、单位主要职责</w:t>
      </w:r>
    </w:p>
    <w:p>
      <w:pPr>
        <w:spacing w:before="1" w:line="220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5"/>
          <w:sz w:val="32"/>
          <w:szCs w:val="32"/>
        </w:rPr>
        <w:t>二、单位基本情况</w:t>
      </w:r>
    </w:p>
    <w:p>
      <w:pPr>
        <w:spacing w:before="196" w:line="222" w:lineRule="auto"/>
        <w:ind w:left="674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第二部分</w:t>
      </w:r>
      <w:r>
        <w:rPr>
          <w:rFonts w:hint="eastAsia" w:ascii="黑体" w:hAnsi="黑体" w:eastAsia="黑体" w:cs="黑体"/>
          <w:b/>
          <w:bCs/>
          <w:spacing w:val="-2"/>
          <w:sz w:val="32"/>
          <w:szCs w:val="32"/>
          <w:lang w:val="en-US" w:eastAsia="zh-CN"/>
        </w:rPr>
        <w:t xml:space="preserve">  </w:t>
      </w: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2022年度单位决算表</w:t>
      </w:r>
    </w:p>
    <w:p>
      <w:pPr>
        <w:spacing w:before="248" w:line="590" w:lineRule="exact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6"/>
          <w:position w:val="19"/>
          <w:sz w:val="32"/>
          <w:szCs w:val="32"/>
        </w:rPr>
        <w:t>一、收入支出决算总表</w:t>
      </w:r>
    </w:p>
    <w:p>
      <w:pPr>
        <w:spacing w:before="1" w:line="221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9"/>
          <w:sz w:val="32"/>
          <w:szCs w:val="32"/>
        </w:rPr>
        <w:t>二、收入决算表</w:t>
      </w:r>
    </w:p>
    <w:p>
      <w:pPr>
        <w:spacing w:before="215" w:line="222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0"/>
          <w:sz w:val="32"/>
          <w:szCs w:val="32"/>
        </w:rPr>
        <w:t>三、支出决算表</w:t>
      </w:r>
    </w:p>
    <w:p>
      <w:pPr>
        <w:spacing w:before="225" w:line="222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7"/>
          <w:sz w:val="32"/>
          <w:szCs w:val="32"/>
        </w:rPr>
        <w:t>四、财政拨款收入支出决算总表</w:t>
      </w:r>
    </w:p>
    <w:p>
      <w:pPr>
        <w:spacing w:before="216" w:line="222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1"/>
          <w:sz w:val="32"/>
          <w:szCs w:val="32"/>
        </w:rPr>
        <w:t>五、一般公共预算财政拨款支出决算表</w:t>
      </w:r>
    </w:p>
    <w:p>
      <w:pPr>
        <w:spacing w:before="235" w:line="222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9"/>
          <w:sz w:val="32"/>
          <w:szCs w:val="32"/>
        </w:rPr>
        <w:t>六、一般公共预算财政拨款基本支出决算表</w:t>
      </w:r>
    </w:p>
    <w:p>
      <w:pPr>
        <w:spacing w:before="193" w:line="220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sz w:val="32"/>
          <w:szCs w:val="32"/>
        </w:rPr>
        <w:t>七、政府性基金预算财政拨款收入支出决算表</w:t>
      </w:r>
    </w:p>
    <w:p>
      <w:pPr>
        <w:spacing w:before="241" w:line="590" w:lineRule="exact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8"/>
          <w:position w:val="19"/>
          <w:sz w:val="32"/>
          <w:szCs w:val="32"/>
        </w:rPr>
        <w:t>八、国有资本经营预算财政拨款支出决算表</w:t>
      </w:r>
    </w:p>
    <w:p>
      <w:pPr>
        <w:spacing w:before="1" w:line="221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"/>
          <w:sz w:val="32"/>
          <w:szCs w:val="32"/>
        </w:rPr>
        <w:t>九、财政拨款“三公”经费支出决算表</w:t>
      </w:r>
    </w:p>
    <w:p>
      <w:pPr>
        <w:spacing w:before="208" w:line="222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3"/>
          <w:sz w:val="32"/>
          <w:szCs w:val="32"/>
        </w:rPr>
        <w:t>十、国有资产占用情况表</w:t>
      </w:r>
    </w:p>
    <w:p>
      <w:pPr>
        <w:spacing w:line="222" w:lineRule="auto"/>
        <w:rPr>
          <w:rFonts w:ascii="仿宋" w:hAnsi="仿宋" w:eastAsia="仿宋" w:cs="仿宋"/>
          <w:sz w:val="32"/>
          <w:szCs w:val="32"/>
        </w:rPr>
        <w:sectPr>
          <w:headerReference r:id="rId5" w:type="default"/>
          <w:footerReference r:id="rId6" w:type="default"/>
          <w:pgSz w:w="11840" w:h="16780"/>
          <w:pgMar w:top="400" w:right="1482" w:bottom="1635" w:left="1610" w:header="0" w:footer="1317" w:gutter="0"/>
          <w:pgNumType w:fmt="decimal"/>
          <w:cols w:space="720" w:num="1"/>
        </w:sectPr>
      </w:pPr>
    </w:p>
    <w:p>
      <w:pPr>
        <w:spacing w:before="101" w:line="221" w:lineRule="auto"/>
        <w:ind w:firstLine="646" w:firstLineChars="20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6"/>
          <w:sz w:val="31"/>
          <w:szCs w:val="31"/>
        </w:rPr>
        <w:t>第三部分</w:t>
      </w:r>
      <w:r>
        <w:rPr>
          <w:rFonts w:hint="eastAsia" w:ascii="黑体" w:hAnsi="黑体" w:eastAsia="黑体" w:cs="黑体"/>
          <w:b/>
          <w:bCs/>
          <w:spacing w:val="6"/>
          <w:sz w:val="31"/>
          <w:szCs w:val="31"/>
          <w:lang w:val="en-US" w:eastAsia="zh-CN"/>
        </w:rPr>
        <w:t xml:space="preserve">  </w:t>
      </w:r>
      <w:r>
        <w:rPr>
          <w:rFonts w:ascii="黑体" w:hAnsi="黑体" w:eastAsia="黑体" w:cs="黑体"/>
          <w:b/>
          <w:bCs/>
          <w:spacing w:val="6"/>
          <w:sz w:val="31"/>
          <w:szCs w:val="31"/>
        </w:rPr>
        <w:t>2022年度单位决算情况说明</w:t>
      </w:r>
    </w:p>
    <w:p>
      <w:pPr>
        <w:spacing w:before="232" w:line="620" w:lineRule="exact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position w:val="23"/>
          <w:sz w:val="31"/>
          <w:szCs w:val="31"/>
        </w:rPr>
        <w:t>一、收入决算情况说明</w:t>
      </w:r>
    </w:p>
    <w:p>
      <w:pPr>
        <w:spacing w:before="1" w:line="221" w:lineRule="auto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0"/>
          <w:sz w:val="31"/>
          <w:szCs w:val="31"/>
        </w:rPr>
        <w:t>二、支出决算情况说明</w:t>
      </w:r>
    </w:p>
    <w:p>
      <w:pPr>
        <w:spacing w:before="217" w:line="222" w:lineRule="auto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三、财政拨款支出决算情况说明</w:t>
      </w:r>
    </w:p>
    <w:p>
      <w:pPr>
        <w:spacing w:before="227" w:line="600" w:lineRule="exact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position w:val="21"/>
          <w:sz w:val="31"/>
          <w:szCs w:val="31"/>
        </w:rPr>
        <w:t>四、一般公共预算财政拨款基本支出决算情况说明</w:t>
      </w:r>
    </w:p>
    <w:p>
      <w:pPr>
        <w:spacing w:before="1" w:line="221" w:lineRule="auto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五、财政拨款“三公”经费支出决算情况说明</w:t>
      </w:r>
    </w:p>
    <w:p>
      <w:pPr>
        <w:spacing w:before="236" w:line="221" w:lineRule="auto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六、机关运行经费支出情况说明</w:t>
      </w:r>
    </w:p>
    <w:p>
      <w:pPr>
        <w:spacing w:before="232" w:line="600" w:lineRule="exact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position w:val="21"/>
          <w:sz w:val="31"/>
          <w:szCs w:val="31"/>
        </w:rPr>
        <w:t>七、政府采购支出情况说明</w:t>
      </w:r>
    </w:p>
    <w:p>
      <w:pPr>
        <w:spacing w:line="222" w:lineRule="auto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八、国有资产占用情况说明</w:t>
      </w:r>
    </w:p>
    <w:p>
      <w:pPr>
        <w:spacing w:before="225" w:line="222" w:lineRule="auto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5"/>
          <w:sz w:val="31"/>
          <w:szCs w:val="31"/>
        </w:rPr>
        <w:t>九、预算绩效情况说明</w:t>
      </w:r>
    </w:p>
    <w:p>
      <w:pPr>
        <w:spacing w:before="225" w:line="222" w:lineRule="auto"/>
        <w:ind w:left="65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z w:val="31"/>
          <w:szCs w:val="31"/>
        </w:rPr>
        <w:t>第四部分</w:t>
      </w:r>
      <w:r>
        <w:rPr>
          <w:rFonts w:hint="eastAsia" w:ascii="黑体" w:hAnsi="黑体" w:eastAsia="黑体" w:cs="黑体"/>
          <w:b/>
          <w:bCs/>
          <w:sz w:val="31"/>
          <w:szCs w:val="31"/>
          <w:lang w:val="en-US" w:eastAsia="zh-CN"/>
        </w:rPr>
        <w:t xml:space="preserve">  </w:t>
      </w:r>
      <w:r>
        <w:rPr>
          <w:rFonts w:ascii="黑体" w:hAnsi="黑体" w:eastAsia="黑体" w:cs="黑体"/>
          <w:b/>
          <w:bCs/>
          <w:sz w:val="31"/>
          <w:szCs w:val="31"/>
        </w:rPr>
        <w:t>名词解释</w:t>
      </w:r>
    </w:p>
    <w:p>
      <w:pPr>
        <w:spacing w:line="222" w:lineRule="auto"/>
        <w:rPr>
          <w:rFonts w:ascii="黑体" w:hAnsi="黑体" w:eastAsia="黑体" w:cs="黑体"/>
          <w:sz w:val="31"/>
          <w:szCs w:val="31"/>
        </w:rPr>
        <w:sectPr>
          <w:footerReference r:id="rId7" w:type="default"/>
          <w:pgSz w:w="11840" w:h="16800"/>
          <w:pgMar w:top="400" w:right="1776" w:bottom="1607" w:left="1630" w:header="0" w:footer="1300" w:gutter="0"/>
          <w:pgNumType w:fmt="decimal"/>
          <w:cols w:space="720" w:num="1"/>
        </w:sectPr>
      </w:pPr>
    </w:p>
    <w:p>
      <w:pPr>
        <w:spacing w:before="140" w:line="219" w:lineRule="auto"/>
        <w:jc w:val="both"/>
        <w:rPr>
          <w:rFonts w:ascii="宋体" w:hAnsi="宋体" w:eastAsia="宋体" w:cs="宋体"/>
          <w:b/>
          <w:bCs/>
          <w:spacing w:val="-10"/>
          <w:sz w:val="43"/>
          <w:szCs w:val="43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b/>
          <w:bCs/>
          <w:spacing w:val="-10"/>
          <w:sz w:val="43"/>
          <w:szCs w:val="43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-10"/>
          <w:sz w:val="43"/>
          <w:szCs w:val="43"/>
        </w:rPr>
        <w:t>第一部分</w:t>
      </w:r>
      <w:r>
        <w:rPr>
          <w:rFonts w:hint="eastAsia" w:ascii="宋体" w:hAnsi="宋体" w:eastAsia="宋体" w:cs="宋体"/>
          <w:b/>
          <w:bCs/>
          <w:spacing w:val="-10"/>
          <w:sz w:val="43"/>
          <w:szCs w:val="43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pacing w:val="-10"/>
          <w:sz w:val="43"/>
          <w:szCs w:val="43"/>
          <w:lang w:eastAsia="zh-CN"/>
        </w:rPr>
        <w:t>浮梁县农村经营管理局</w:t>
      </w:r>
      <w:r>
        <w:rPr>
          <w:rFonts w:ascii="宋体" w:hAnsi="宋体" w:eastAsia="宋体" w:cs="宋体"/>
          <w:b/>
          <w:bCs/>
          <w:spacing w:val="-10"/>
          <w:sz w:val="43"/>
          <w:szCs w:val="43"/>
        </w:rPr>
        <w:t>概况</w:t>
      </w:r>
    </w:p>
    <w:p>
      <w:pPr>
        <w:kinsoku w:val="0"/>
        <w:autoSpaceDE w:val="0"/>
        <w:autoSpaceDN w:val="0"/>
        <w:adjustRightInd w:val="0"/>
        <w:snapToGrid w:val="0"/>
        <w:spacing w:line="33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33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107" w:line="221" w:lineRule="auto"/>
        <w:ind w:left="604"/>
        <w:outlineLvl w:val="0"/>
        <w:rPr>
          <w:rFonts w:ascii="黑体" w:hAnsi="黑体" w:eastAsia="黑体" w:cs="黑体"/>
          <w:sz w:val="33"/>
          <w:szCs w:val="33"/>
        </w:rPr>
      </w:pPr>
      <w:r>
        <w:rPr>
          <w:rFonts w:ascii="黑体" w:hAnsi="黑体" w:eastAsia="黑体" w:cs="黑体"/>
          <w:b/>
          <w:bCs/>
          <w:spacing w:val="-19"/>
          <w:sz w:val="33"/>
          <w:szCs w:val="33"/>
        </w:rPr>
        <w:t>一、单位主要职责</w:t>
      </w:r>
    </w:p>
    <w:p>
      <w:pPr>
        <w:spacing w:before="20" w:line="94" w:lineRule="exact"/>
        <w:ind w:left="819"/>
        <w:rPr>
          <w:rFonts w:ascii="宋体" w:hAnsi="宋体" w:eastAsia="宋体" w:cs="宋体"/>
          <w:spacing w:val="-4"/>
          <w:position w:val="1"/>
          <w:sz w:val="6"/>
          <w:szCs w:val="6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50000" w:fill="FFFFFF"/>
        <w:spacing w:before="0" w:beforeLines="0" w:beforeAutospacing="0" w:after="0" w:afterLines="0" w:afterAutospacing="0" w:line="560" w:lineRule="atLeast"/>
        <w:ind w:left="0" w:right="0" w:firstLine="64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color="090000" w:fill="FFFFFF"/>
          <w:lang w:val="en-US" w:eastAsia="zh-CN"/>
        </w:rPr>
        <w:t>承担完善农村经营管理体制的责任。深化农村经济体制改革和稳定完善农村基本经营制度，指导农村土地承包、耕地使用权流转和承包纠纷仲裁工作；指导、监督减轻农民负担和村民筹资筹劳管理工作，指导农村集体资产和财务管理工作；指导和扶持农业社会化服务体系、农村合作经济组织、农民专业合作社和农产品行业协会的建设与发展。</w:t>
      </w:r>
    </w:p>
    <w:p>
      <w:pPr>
        <w:spacing w:before="20" w:line="94" w:lineRule="exact"/>
        <w:ind w:left="819"/>
        <w:rPr>
          <w:rFonts w:ascii="宋体" w:hAnsi="宋体" w:eastAsia="宋体" w:cs="宋体"/>
          <w:sz w:val="6"/>
          <w:szCs w:val="6"/>
        </w:rPr>
      </w:pPr>
      <w:r>
        <w:rPr>
          <w:rFonts w:ascii="宋体" w:hAnsi="宋体" w:eastAsia="宋体" w:cs="宋体"/>
          <w:spacing w:val="-4"/>
          <w:position w:val="1"/>
          <w:sz w:val="6"/>
          <w:szCs w:val="6"/>
        </w:rPr>
        <w:t>………</w:t>
      </w:r>
    </w:p>
    <w:p>
      <w:pPr>
        <w:spacing w:before="296" w:line="222" w:lineRule="auto"/>
        <w:ind w:firstLine="587" w:firstLineChars="200"/>
        <w:outlineLvl w:val="0"/>
        <w:rPr>
          <w:rFonts w:ascii="黑体" w:hAnsi="黑体" w:eastAsia="黑体" w:cs="黑体"/>
          <w:sz w:val="33"/>
          <w:szCs w:val="33"/>
        </w:rPr>
      </w:pPr>
      <w:r>
        <w:rPr>
          <w:rFonts w:ascii="黑体" w:hAnsi="黑体" w:eastAsia="黑体" w:cs="黑体"/>
          <w:b/>
          <w:bCs/>
          <w:spacing w:val="-19"/>
          <w:sz w:val="33"/>
          <w:szCs w:val="33"/>
        </w:rPr>
        <w:t>二、单位基本情况</w:t>
      </w:r>
    </w:p>
    <w:p>
      <w:pPr>
        <w:spacing w:before="212" w:line="221" w:lineRule="auto"/>
        <w:ind w:left="599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spacing w:val="-11"/>
          <w:sz w:val="33"/>
          <w:szCs w:val="33"/>
        </w:rPr>
        <w:t>本单位设立</w:t>
      </w:r>
      <w:r>
        <w:rPr>
          <w:rFonts w:hint="eastAsia" w:ascii="仿宋" w:hAnsi="仿宋" w:eastAsia="仿宋" w:cs="仿宋"/>
          <w:spacing w:val="-11"/>
          <w:sz w:val="33"/>
          <w:szCs w:val="33"/>
          <w:lang w:val="en-US" w:eastAsia="zh-CN"/>
        </w:rPr>
        <w:t>1</w:t>
      </w:r>
      <w:r>
        <w:rPr>
          <w:rFonts w:ascii="仿宋" w:hAnsi="仿宋" w:eastAsia="仿宋" w:cs="仿宋"/>
          <w:spacing w:val="-11"/>
          <w:sz w:val="33"/>
          <w:szCs w:val="33"/>
        </w:rPr>
        <w:t>个内设机构，是</w:t>
      </w:r>
      <w:r>
        <w:rPr>
          <w:rFonts w:hint="eastAsia" w:ascii="仿宋" w:hAnsi="仿宋" w:eastAsia="仿宋" w:cs="仿宋"/>
          <w:spacing w:val="-11"/>
          <w:sz w:val="33"/>
          <w:szCs w:val="33"/>
          <w:lang w:eastAsia="zh-CN"/>
        </w:rPr>
        <w:t>浮梁县农村经营管理局</w:t>
      </w:r>
      <w:r>
        <w:rPr>
          <w:rFonts w:ascii="仿宋" w:hAnsi="仿宋" w:eastAsia="仿宋" w:cs="仿宋"/>
          <w:spacing w:val="-11"/>
          <w:sz w:val="33"/>
          <w:szCs w:val="33"/>
        </w:rPr>
        <w:t>。</w:t>
      </w:r>
    </w:p>
    <w:p>
      <w:pPr>
        <w:spacing w:before="183" w:line="336" w:lineRule="auto"/>
        <w:ind w:right="7" w:firstLine="599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spacing w:val="-8"/>
          <w:sz w:val="33"/>
          <w:szCs w:val="33"/>
        </w:rPr>
        <w:t>本单位2022年年末实有人数</w:t>
      </w:r>
      <w:r>
        <w:rPr>
          <w:rFonts w:hint="eastAsia" w:ascii="仿宋" w:hAnsi="仿宋" w:eastAsia="仿宋" w:cs="仿宋"/>
          <w:spacing w:val="55"/>
          <w:sz w:val="33"/>
          <w:szCs w:val="33"/>
          <w:lang w:val="en-US" w:eastAsia="zh-CN"/>
        </w:rPr>
        <w:t>9</w:t>
      </w:r>
      <w:r>
        <w:rPr>
          <w:rFonts w:ascii="仿宋" w:hAnsi="仿宋" w:eastAsia="仿宋" w:cs="仿宋"/>
          <w:spacing w:val="-8"/>
          <w:sz w:val="33"/>
          <w:szCs w:val="33"/>
        </w:rPr>
        <w:t>人，其中在职人员</w:t>
      </w:r>
      <w:r>
        <w:rPr>
          <w:rFonts w:hint="eastAsia" w:ascii="仿宋" w:hAnsi="仿宋" w:eastAsia="仿宋" w:cs="仿宋"/>
          <w:spacing w:val="123"/>
          <w:sz w:val="33"/>
          <w:szCs w:val="33"/>
          <w:lang w:val="en-US" w:eastAsia="zh-CN"/>
        </w:rPr>
        <w:t>5</w:t>
      </w:r>
      <w:r>
        <w:rPr>
          <w:rFonts w:ascii="仿宋" w:hAnsi="仿宋" w:eastAsia="仿宋" w:cs="仿宋"/>
          <w:spacing w:val="-8"/>
          <w:sz w:val="33"/>
          <w:szCs w:val="33"/>
        </w:rPr>
        <w:t>人，</w:t>
      </w:r>
      <w:r>
        <w:rPr>
          <w:rFonts w:ascii="仿宋" w:hAnsi="仿宋" w:eastAsia="仿宋" w:cs="仿宋"/>
          <w:spacing w:val="6"/>
          <w:sz w:val="33"/>
          <w:szCs w:val="33"/>
        </w:rPr>
        <w:t>离休人员</w:t>
      </w:r>
      <w:r>
        <w:rPr>
          <w:rFonts w:hint="eastAsia" w:ascii="仿宋" w:hAnsi="仿宋" w:eastAsia="仿宋" w:cs="仿宋"/>
          <w:spacing w:val="49"/>
          <w:sz w:val="33"/>
          <w:szCs w:val="33"/>
          <w:lang w:val="en-US" w:eastAsia="zh-CN"/>
        </w:rPr>
        <w:t>0</w:t>
      </w:r>
      <w:r>
        <w:rPr>
          <w:rFonts w:ascii="仿宋" w:hAnsi="仿宋" w:eastAsia="仿宋" w:cs="仿宋"/>
          <w:spacing w:val="6"/>
          <w:sz w:val="33"/>
          <w:szCs w:val="33"/>
        </w:rPr>
        <w:t>人，退休人员</w:t>
      </w:r>
      <w:r>
        <w:rPr>
          <w:rFonts w:hint="eastAsia" w:ascii="仿宋" w:hAnsi="仿宋" w:eastAsia="仿宋" w:cs="仿宋"/>
          <w:spacing w:val="6"/>
          <w:sz w:val="33"/>
          <w:szCs w:val="33"/>
          <w:lang w:val="en-US" w:eastAsia="zh-CN"/>
        </w:rPr>
        <w:t>2</w:t>
      </w:r>
      <w:r>
        <w:rPr>
          <w:rFonts w:ascii="仿宋" w:hAnsi="仿宋" w:eastAsia="仿宋" w:cs="仿宋"/>
          <w:spacing w:val="6"/>
          <w:sz w:val="33"/>
          <w:szCs w:val="33"/>
        </w:rPr>
        <w:t>人(不含由养老保险基金发放养</w:t>
      </w:r>
      <w:r>
        <w:rPr>
          <w:rFonts w:ascii="仿宋" w:hAnsi="仿宋" w:eastAsia="仿宋" w:cs="仿宋"/>
          <w:spacing w:val="-14"/>
          <w:sz w:val="33"/>
          <w:szCs w:val="33"/>
        </w:rPr>
        <w:t>老金的离退休人员);年末其他人员</w:t>
      </w:r>
      <w:r>
        <w:rPr>
          <w:rFonts w:hint="eastAsia" w:ascii="仿宋" w:hAnsi="仿宋" w:eastAsia="仿宋" w:cs="仿宋"/>
          <w:spacing w:val="38"/>
          <w:sz w:val="33"/>
          <w:szCs w:val="33"/>
          <w:lang w:val="en-US" w:eastAsia="zh-CN"/>
        </w:rPr>
        <w:t>2</w:t>
      </w:r>
      <w:r>
        <w:rPr>
          <w:rFonts w:ascii="仿宋" w:hAnsi="仿宋" w:eastAsia="仿宋" w:cs="仿宋"/>
          <w:spacing w:val="-14"/>
          <w:sz w:val="33"/>
          <w:szCs w:val="33"/>
        </w:rPr>
        <w:t>人；年末学生</w:t>
      </w:r>
      <w:r>
        <w:rPr>
          <w:rFonts w:ascii="仿宋" w:hAnsi="仿宋" w:eastAsia="仿宋" w:cs="仿宋"/>
          <w:spacing w:val="-15"/>
          <w:sz w:val="33"/>
          <w:szCs w:val="33"/>
        </w:rPr>
        <w:t>人数</w:t>
      </w:r>
      <w:r>
        <w:rPr>
          <w:rFonts w:hint="eastAsia" w:ascii="仿宋" w:hAnsi="仿宋" w:eastAsia="仿宋" w:cs="仿宋"/>
          <w:spacing w:val="50"/>
          <w:sz w:val="33"/>
          <w:szCs w:val="33"/>
          <w:lang w:val="en-US" w:eastAsia="zh-CN"/>
        </w:rPr>
        <w:t>0</w:t>
      </w:r>
      <w:r>
        <w:rPr>
          <w:rFonts w:ascii="仿宋" w:hAnsi="仿宋" w:eastAsia="仿宋" w:cs="仿宋"/>
          <w:spacing w:val="-15"/>
          <w:sz w:val="33"/>
          <w:szCs w:val="33"/>
        </w:rPr>
        <w:t>人；</w:t>
      </w:r>
      <w:r>
        <w:rPr>
          <w:rFonts w:ascii="仿宋" w:hAnsi="仿宋" w:eastAsia="仿宋" w:cs="仿宋"/>
          <w:spacing w:val="-12"/>
          <w:sz w:val="33"/>
          <w:szCs w:val="33"/>
        </w:rPr>
        <w:t>由养老保险基金发放养老金的离退休人员</w:t>
      </w:r>
      <w:r>
        <w:rPr>
          <w:rFonts w:hint="eastAsia" w:ascii="仿宋" w:hAnsi="仿宋" w:eastAsia="仿宋" w:cs="仿宋"/>
          <w:spacing w:val="18"/>
          <w:sz w:val="33"/>
          <w:szCs w:val="33"/>
          <w:lang w:val="en-US" w:eastAsia="zh-CN"/>
        </w:rPr>
        <w:t>0</w:t>
      </w:r>
      <w:r>
        <w:rPr>
          <w:rFonts w:ascii="仿宋" w:hAnsi="仿宋" w:eastAsia="仿宋" w:cs="仿宋"/>
          <w:spacing w:val="-12"/>
          <w:sz w:val="33"/>
          <w:szCs w:val="33"/>
        </w:rPr>
        <w:t>人。</w:t>
      </w:r>
    </w:p>
    <w:p>
      <w:pPr>
        <w:spacing w:line="220" w:lineRule="auto"/>
        <w:rPr>
          <w:rFonts w:ascii="仿宋" w:hAnsi="仿宋" w:eastAsia="仿宋" w:cs="仿宋"/>
          <w:sz w:val="33"/>
          <w:szCs w:val="33"/>
        </w:rPr>
        <w:sectPr>
          <w:footerReference r:id="rId8" w:type="default"/>
          <w:pgSz w:w="11840" w:h="16780"/>
          <w:pgMar w:top="400" w:right="1462" w:bottom="1651" w:left="1650" w:header="0" w:footer="1324" w:gutter="0"/>
          <w:pgNumType w:fmt="decimal"/>
          <w:cols w:space="720" w:num="1"/>
        </w:sectPr>
      </w:pPr>
    </w:p>
    <w:p>
      <w:pPr>
        <w:spacing w:before="140" w:line="219" w:lineRule="auto"/>
        <w:jc w:val="center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4"/>
          <w:sz w:val="43"/>
          <w:szCs w:val="43"/>
        </w:rPr>
        <w:t>第二部分</w:t>
      </w:r>
      <w:r>
        <w:rPr>
          <w:rFonts w:hint="eastAsia" w:ascii="宋体" w:hAnsi="宋体" w:eastAsia="宋体" w:cs="宋体"/>
          <w:b/>
          <w:bCs/>
          <w:spacing w:val="4"/>
          <w:sz w:val="43"/>
          <w:szCs w:val="43"/>
          <w:lang w:val="en-US" w:eastAsia="zh-CN"/>
        </w:rPr>
        <w:t xml:space="preserve">  </w:t>
      </w:r>
      <w:r>
        <w:rPr>
          <w:rFonts w:ascii="宋体" w:hAnsi="宋体" w:eastAsia="宋体" w:cs="宋体"/>
          <w:b/>
          <w:bCs/>
          <w:spacing w:val="4"/>
          <w:sz w:val="43"/>
          <w:szCs w:val="43"/>
        </w:rPr>
        <w:t>2022年度单位决算表</w:t>
      </w:r>
    </w:p>
    <w:p>
      <w:pPr>
        <w:spacing w:before="20"/>
      </w:pPr>
    </w:p>
    <w:p>
      <w:pPr>
        <w:spacing w:before="20"/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sectPr>
          <w:footerReference r:id="rId9" w:type="default"/>
          <w:pgSz w:w="11840" w:h="16780"/>
          <w:pgMar w:top="400" w:right="1555" w:bottom="1579" w:left="1630" w:header="0" w:footer="1311" w:gutter="0"/>
          <w:pgNumType w:fmt="decimal"/>
          <w:cols w:space="720" w:num="1"/>
        </w:sectPr>
      </w:pPr>
      <w:r>
        <w:drawing>
          <wp:inline distT="0" distB="0" distL="114300" distR="114300">
            <wp:extent cx="5495290" cy="4923790"/>
            <wp:effectExtent l="0" t="0" r="10160" b="1016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95290" cy="4923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17"/>
      </w:pPr>
      <w:r>
        <w:drawing>
          <wp:inline distT="0" distB="0" distL="114300" distR="114300">
            <wp:extent cx="5550535" cy="2132330"/>
            <wp:effectExtent l="0" t="0" r="12065" b="127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50535" cy="213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17"/>
      </w:pPr>
    </w:p>
    <w:p>
      <w:pPr>
        <w:spacing w:before="27"/>
      </w:pPr>
    </w:p>
    <w:p>
      <w:pPr>
        <w:spacing w:before="27"/>
      </w:pPr>
    </w:p>
    <w:p>
      <w:pPr>
        <w:spacing w:before="27"/>
      </w:pPr>
    </w:p>
    <w:p>
      <w:pPr>
        <w:spacing w:before="27"/>
      </w:pPr>
      <w:r>
        <w:drawing>
          <wp:inline distT="0" distB="0" distL="114300" distR="114300">
            <wp:extent cx="5547995" cy="2674620"/>
            <wp:effectExtent l="0" t="0" r="14605" b="1143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47995" cy="267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7"/>
      </w:pPr>
    </w:p>
    <w:p>
      <w:pPr>
        <w:spacing w:before="26"/>
      </w:pPr>
    </w:p>
    <w:p>
      <w:pPr>
        <w:spacing w:before="39" w:line="219" w:lineRule="auto"/>
        <w:ind w:left="25"/>
        <w:rPr>
          <w:rFonts w:hint="eastAsia" w:ascii="宋体" w:hAnsi="宋体" w:eastAsia="宋体" w:cs="宋体"/>
          <w:sz w:val="13"/>
          <w:szCs w:val="13"/>
          <w:lang w:eastAsia="zh-CN"/>
        </w:rPr>
      </w:pPr>
      <w:r>
        <w:rPr>
          <w:rFonts w:ascii="宋体" w:hAnsi="宋体" w:eastAsia="宋体" w:cs="宋体"/>
          <w:spacing w:val="-3"/>
          <w:sz w:val="13"/>
          <w:szCs w:val="13"/>
          <w:u w:val="single" w:color="auto"/>
        </w:rPr>
        <w:t>注：本表反映部门(单位)本年</w:t>
      </w:r>
      <w:r>
        <w:rPr>
          <w:rFonts w:ascii="宋体" w:hAnsi="宋体" w:eastAsia="宋体" w:cs="宋体"/>
          <w:spacing w:val="-3"/>
          <w:sz w:val="13"/>
          <w:szCs w:val="13"/>
        </w:rPr>
        <w:t>度</w:t>
      </w:r>
      <w:r>
        <w:rPr>
          <w:rFonts w:ascii="宋体" w:hAnsi="宋体" w:eastAsia="宋体" w:cs="宋体"/>
          <w:spacing w:val="-3"/>
          <w:sz w:val="13"/>
          <w:szCs w:val="13"/>
          <w:u w:val="single" w:color="auto"/>
        </w:rPr>
        <w:t>各</w:t>
      </w:r>
      <w:r>
        <w:rPr>
          <w:rFonts w:ascii="宋体" w:hAnsi="宋体" w:eastAsia="宋体" w:cs="宋体"/>
          <w:spacing w:val="-3"/>
          <w:sz w:val="13"/>
          <w:szCs w:val="13"/>
        </w:rPr>
        <w:t>项</w:t>
      </w:r>
      <w:r>
        <w:rPr>
          <w:rFonts w:ascii="宋体" w:hAnsi="宋体" w:eastAsia="宋体" w:cs="宋体"/>
          <w:spacing w:val="-3"/>
          <w:sz w:val="13"/>
          <w:szCs w:val="13"/>
          <w:u w:val="single" w:color="auto"/>
        </w:rPr>
        <w:t>支出情况。</w:t>
      </w: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98" w:line="182" w:lineRule="auto"/>
        <w:jc w:val="right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12"/>
          <w:sz w:val="30"/>
          <w:szCs w:val="30"/>
        </w:rPr>
        <w:t>—5</w:t>
      </w:r>
      <w:r>
        <w:rPr>
          <w:rFonts w:ascii="宋体" w:hAnsi="宋体" w:eastAsia="宋体" w:cs="宋体"/>
          <w:spacing w:val="-9"/>
          <w:sz w:val="30"/>
          <w:szCs w:val="30"/>
        </w:rPr>
        <w:t>—</w:t>
      </w:r>
    </w:p>
    <w:p>
      <w:pPr>
        <w:spacing w:line="182" w:lineRule="auto"/>
        <w:rPr>
          <w:rFonts w:ascii="宋体" w:hAnsi="宋体" w:eastAsia="宋体" w:cs="宋体"/>
          <w:sz w:val="30"/>
          <w:szCs w:val="30"/>
        </w:rPr>
        <w:sectPr>
          <w:footerReference r:id="rId10" w:type="default"/>
          <w:pgSz w:w="11870" w:h="16800"/>
          <w:pgMar w:top="400" w:right="1492" w:bottom="400" w:left="1624" w:header="0" w:footer="0" w:gutter="0"/>
          <w:pgNumType w:fmt="decimal"/>
          <w:cols w:space="720" w:num="1"/>
        </w:sectPr>
      </w:pPr>
    </w:p>
    <w:p>
      <w:pPr>
        <w:spacing w:before="10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spacing w:before="49" w:line="219" w:lineRule="auto"/>
        <w:ind w:left="60"/>
        <w:rPr>
          <w:rFonts w:hint="eastAsia" w:ascii="宋体" w:hAnsi="宋体" w:eastAsia="宋体" w:cs="宋体"/>
          <w:sz w:val="12"/>
          <w:szCs w:val="12"/>
          <w:lang w:eastAsia="zh-CN"/>
        </w:rPr>
      </w:pPr>
      <w:r>
        <w:drawing>
          <wp:inline distT="0" distB="0" distL="114300" distR="114300">
            <wp:extent cx="5670550" cy="3873500"/>
            <wp:effectExtent l="0" t="0" r="6350" b="1270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70550" cy="387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1"/>
          <w:sz w:val="12"/>
          <w:szCs w:val="12"/>
          <w:u w:val="single" w:color="auto"/>
        </w:rPr>
        <w:t>注：本表反映部门(单位)本年度一般公共预算财政拨款、政</w:t>
      </w:r>
      <w:r>
        <w:rPr>
          <w:rFonts w:ascii="宋体" w:hAnsi="宋体" w:eastAsia="宋体" w:cs="宋体"/>
          <w:spacing w:val="-1"/>
          <w:sz w:val="12"/>
          <w:szCs w:val="12"/>
        </w:rPr>
        <w:t>府</w:t>
      </w:r>
      <w:r>
        <w:rPr>
          <w:rFonts w:ascii="宋体" w:hAnsi="宋体" w:eastAsia="宋体" w:cs="宋体"/>
          <w:spacing w:val="-1"/>
          <w:sz w:val="12"/>
          <w:szCs w:val="12"/>
          <w:u w:val="single" w:color="auto"/>
        </w:rPr>
        <w:t>性基</w:t>
      </w:r>
      <w:r>
        <w:rPr>
          <w:rFonts w:ascii="宋体" w:hAnsi="宋体" w:eastAsia="宋体" w:cs="宋体"/>
          <w:spacing w:val="-1"/>
          <w:sz w:val="12"/>
          <w:szCs w:val="12"/>
        </w:rPr>
        <w:t>金预</w:t>
      </w:r>
      <w:r>
        <w:rPr>
          <w:rFonts w:ascii="宋体" w:hAnsi="宋体" w:eastAsia="宋体" w:cs="宋体"/>
          <w:spacing w:val="-1"/>
          <w:sz w:val="12"/>
          <w:szCs w:val="12"/>
          <w:u w:val="single" w:color="auto"/>
        </w:rPr>
        <w:t>算</w:t>
      </w:r>
      <w:r>
        <w:rPr>
          <w:rFonts w:ascii="宋体" w:hAnsi="宋体" w:eastAsia="宋体" w:cs="宋体"/>
          <w:spacing w:val="-1"/>
          <w:sz w:val="12"/>
          <w:szCs w:val="12"/>
        </w:rPr>
        <w:t>财政拨款和国有</w:t>
      </w:r>
      <w:r>
        <w:rPr>
          <w:rFonts w:ascii="宋体" w:hAnsi="宋体" w:eastAsia="宋体" w:cs="宋体"/>
          <w:spacing w:val="-1"/>
          <w:sz w:val="12"/>
          <w:szCs w:val="12"/>
          <w:u w:val="single" w:color="auto"/>
        </w:rPr>
        <w:t>资本经营预算财政拨款的总收支和</w:t>
      </w:r>
      <w:r>
        <w:rPr>
          <w:rFonts w:ascii="宋体" w:hAnsi="宋体" w:eastAsia="宋体" w:cs="宋体"/>
          <w:spacing w:val="-2"/>
          <w:sz w:val="12"/>
          <w:szCs w:val="12"/>
          <w:u w:val="single" w:color="auto"/>
        </w:rPr>
        <w:t>年末结转结余情况。</w:t>
      </w: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98" w:line="183" w:lineRule="auto"/>
        <w:jc w:val="left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14"/>
          <w:sz w:val="30"/>
          <w:szCs w:val="30"/>
        </w:rPr>
        <w:t>—6—</w:t>
      </w:r>
    </w:p>
    <w:p>
      <w:pPr>
        <w:spacing w:line="183" w:lineRule="auto"/>
        <w:rPr>
          <w:rFonts w:ascii="宋体" w:hAnsi="宋体" w:eastAsia="宋体" w:cs="宋体"/>
          <w:sz w:val="30"/>
          <w:szCs w:val="30"/>
        </w:rPr>
        <w:sectPr>
          <w:pgSz w:w="11840" w:h="16780"/>
          <w:pgMar w:top="400" w:right="1289" w:bottom="400" w:left="1610" w:header="0" w:footer="0" w:gutter="0"/>
          <w:pgNumType w:fmt="decimal"/>
          <w:cols w:space="720" w:num="1"/>
        </w:sectPr>
      </w:pPr>
    </w:p>
    <w:p>
      <w:pPr>
        <w:spacing w:before="28"/>
      </w:pPr>
    </w:p>
    <w:p>
      <w:pPr>
        <w:spacing w:before="28"/>
      </w:pPr>
    </w:p>
    <w:p>
      <w:pPr>
        <w:spacing w:before="28"/>
      </w:pPr>
    </w:p>
    <w:p>
      <w:pPr>
        <w:spacing w:before="28"/>
      </w:pPr>
    </w:p>
    <w:p>
      <w:pPr>
        <w:spacing w:before="27"/>
      </w:pPr>
    </w:p>
    <w:p>
      <w:pPr>
        <w:spacing w:before="27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  <w:r>
        <w:drawing>
          <wp:inline distT="0" distB="0" distL="114300" distR="114300">
            <wp:extent cx="5549900" cy="3486785"/>
            <wp:effectExtent l="0" t="0" r="12700" b="18415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549900" cy="348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  <w:rPr>
          <w:lang w:val="en-US" w:eastAsia="en-US"/>
        </w:rPr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95" w:line="182" w:lineRule="auto"/>
        <w:jc w:val="right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spacing w:val="-3"/>
          <w:sz w:val="29"/>
          <w:szCs w:val="29"/>
        </w:rPr>
        <w:t>—7—</w:t>
      </w:r>
    </w:p>
    <w:p>
      <w:pPr>
        <w:spacing w:line="182" w:lineRule="auto"/>
        <w:rPr>
          <w:rFonts w:ascii="宋体" w:hAnsi="宋体" w:eastAsia="宋体" w:cs="宋体"/>
          <w:sz w:val="29"/>
          <w:szCs w:val="29"/>
        </w:rPr>
        <w:sectPr>
          <w:pgSz w:w="11870" w:h="16800"/>
          <w:pgMar w:top="400" w:right="1504" w:bottom="400" w:left="1624" w:header="0" w:footer="0" w:gutter="0"/>
          <w:pgNumType w:fmt="decimal"/>
          <w:cols w:space="720" w:num="1"/>
        </w:sectPr>
      </w:pPr>
    </w:p>
    <w:p>
      <w:pPr>
        <w:spacing w:before="8"/>
      </w:pPr>
    </w:p>
    <w:p>
      <w:pPr>
        <w:spacing w:before="8"/>
      </w:pPr>
    </w:p>
    <w:p>
      <w:pPr>
        <w:spacing w:before="8"/>
      </w:pPr>
    </w:p>
    <w:p>
      <w:pPr>
        <w:spacing w:before="8"/>
      </w:pPr>
    </w:p>
    <w:p>
      <w:pPr>
        <w:spacing w:before="8"/>
      </w:pPr>
    </w:p>
    <w:p>
      <w:pPr>
        <w:spacing w:before="7"/>
      </w:pPr>
    </w:p>
    <w:p>
      <w:pPr>
        <w:spacing w:before="7"/>
      </w:pPr>
    </w:p>
    <w:p>
      <w:pPr>
        <w:spacing w:before="19" w:line="219" w:lineRule="auto"/>
        <w:ind w:left="379"/>
        <w:rPr>
          <w:rFonts w:hint="eastAsia" w:ascii="宋体" w:hAnsi="宋体" w:eastAsia="宋体" w:cs="宋体"/>
          <w:sz w:val="14"/>
          <w:szCs w:val="14"/>
          <w:lang w:eastAsia="zh-CN"/>
        </w:rPr>
      </w:pPr>
      <w:r>
        <w:drawing>
          <wp:inline distT="0" distB="0" distL="114300" distR="114300">
            <wp:extent cx="5340985" cy="3634740"/>
            <wp:effectExtent l="0" t="0" r="12065" b="3810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340985" cy="3634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335905" cy="3042285"/>
            <wp:effectExtent l="0" t="0" r="17145" b="5715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335905" cy="304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338445" cy="1809115"/>
            <wp:effectExtent l="0" t="0" r="14605" b="635"/>
            <wp:docPr id="1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338445" cy="180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3"/>
          <w:sz w:val="14"/>
          <w:szCs w:val="14"/>
        </w:rPr>
        <w:t>注</w:t>
      </w:r>
      <w:r>
        <w:rPr>
          <w:rFonts w:ascii="宋体" w:hAnsi="宋体" w:eastAsia="宋体" w:cs="宋体"/>
          <w:spacing w:val="-3"/>
          <w:sz w:val="14"/>
          <w:szCs w:val="14"/>
          <w:u w:val="single" w:color="auto"/>
        </w:rPr>
        <w:t>：本表</w:t>
      </w:r>
      <w:r>
        <w:rPr>
          <w:rFonts w:ascii="宋体" w:hAnsi="宋体" w:eastAsia="宋体" w:cs="宋体"/>
          <w:spacing w:val="-3"/>
          <w:sz w:val="14"/>
          <w:szCs w:val="14"/>
        </w:rPr>
        <w:t>反映</w:t>
      </w:r>
      <w:r>
        <w:rPr>
          <w:rFonts w:ascii="宋体" w:hAnsi="宋体" w:eastAsia="宋体" w:cs="宋体"/>
          <w:spacing w:val="-3"/>
          <w:sz w:val="14"/>
          <w:szCs w:val="14"/>
          <w:u w:val="single" w:color="auto"/>
        </w:rPr>
        <w:t>部门</w:t>
      </w:r>
      <w:r>
        <w:rPr>
          <w:rFonts w:ascii="宋体" w:hAnsi="宋体" w:eastAsia="宋体" w:cs="宋体"/>
          <w:spacing w:val="-3"/>
          <w:sz w:val="14"/>
          <w:szCs w:val="14"/>
        </w:rPr>
        <w:t>(单</w:t>
      </w:r>
      <w:r>
        <w:rPr>
          <w:rFonts w:ascii="宋体" w:hAnsi="宋体" w:eastAsia="宋体" w:cs="宋体"/>
          <w:spacing w:val="-3"/>
          <w:sz w:val="14"/>
          <w:szCs w:val="14"/>
          <w:u w:val="single" w:color="auto"/>
        </w:rPr>
        <w:t>位</w:t>
      </w:r>
      <w:r>
        <w:rPr>
          <w:rFonts w:ascii="宋体" w:hAnsi="宋体" w:eastAsia="宋体" w:cs="宋体"/>
          <w:spacing w:val="-3"/>
          <w:sz w:val="14"/>
          <w:szCs w:val="14"/>
        </w:rPr>
        <w:t>)本年度一</w:t>
      </w:r>
      <w:r>
        <w:rPr>
          <w:rFonts w:ascii="宋体" w:hAnsi="宋体" w:eastAsia="宋体" w:cs="宋体"/>
          <w:spacing w:val="-3"/>
          <w:sz w:val="14"/>
          <w:szCs w:val="14"/>
          <w:u w:val="single" w:color="auto"/>
        </w:rPr>
        <w:t>般公共预算财政拨款基本支出明细情况。</w:t>
      </w:r>
    </w:p>
    <w:p>
      <w:pPr>
        <w:spacing w:before="87" w:line="183" w:lineRule="auto"/>
        <w:jc w:val="left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-3"/>
          <w:sz w:val="27"/>
          <w:szCs w:val="27"/>
        </w:rPr>
        <w:t>—8—</w:t>
      </w:r>
    </w:p>
    <w:p>
      <w:pPr>
        <w:spacing w:line="183" w:lineRule="auto"/>
        <w:rPr>
          <w:rFonts w:ascii="宋体" w:hAnsi="宋体" w:eastAsia="宋体" w:cs="宋体"/>
          <w:sz w:val="27"/>
          <w:szCs w:val="27"/>
        </w:rPr>
        <w:sectPr>
          <w:pgSz w:w="11840" w:h="16780"/>
          <w:pgMar w:top="400" w:right="1776" w:bottom="400" w:left="1650" w:header="0" w:footer="0" w:gutter="0"/>
          <w:pgNumType w:fmt="decimal"/>
          <w:cols w:space="720" w:num="1"/>
        </w:sectPr>
      </w:pPr>
    </w:p>
    <w:p>
      <w:pPr>
        <w:spacing w:before="31"/>
      </w:pPr>
    </w:p>
    <w:p>
      <w:pPr>
        <w:spacing w:before="31"/>
      </w:pPr>
    </w:p>
    <w:p>
      <w:pPr>
        <w:spacing w:before="31"/>
      </w:pPr>
    </w:p>
    <w:p>
      <w:pPr>
        <w:spacing w:before="31"/>
      </w:pPr>
    </w:p>
    <w:p>
      <w:pPr>
        <w:spacing w:before="31"/>
      </w:pPr>
    </w:p>
    <w:p>
      <w:pPr>
        <w:spacing w:before="31"/>
      </w:pPr>
    </w:p>
    <w:p>
      <w:pPr>
        <w:spacing w:before="2"/>
      </w:pPr>
      <w:r>
        <w:drawing>
          <wp:inline distT="0" distB="0" distL="114300" distR="114300">
            <wp:extent cx="5553710" cy="1849755"/>
            <wp:effectExtent l="0" t="0" r="8890" b="17145"/>
            <wp:docPr id="1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553710" cy="184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"/>
      </w:pPr>
    </w:p>
    <w:p>
      <w:pPr>
        <w:spacing w:before="2"/>
      </w:pPr>
    </w:p>
    <w:p>
      <w:pPr>
        <w:spacing w:before="2"/>
      </w:pPr>
    </w:p>
    <w:p>
      <w:pPr>
        <w:spacing w:before="2"/>
      </w:pPr>
    </w:p>
    <w:p>
      <w:pPr>
        <w:spacing w:before="2"/>
      </w:pPr>
    </w:p>
    <w:p>
      <w:pPr>
        <w:spacing w:before="2"/>
      </w:pPr>
    </w:p>
    <w:p>
      <w:pPr>
        <w:spacing w:before="2"/>
      </w:pPr>
    </w:p>
    <w:p>
      <w:pPr>
        <w:spacing w:before="2"/>
      </w:pPr>
    </w:p>
    <w:p>
      <w:pPr>
        <w:spacing w:before="2"/>
      </w:pPr>
    </w:p>
    <w:p>
      <w:pPr>
        <w:spacing w:before="1"/>
      </w:pPr>
    </w:p>
    <w:p>
      <w:pPr>
        <w:spacing w:before="1"/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  <w:r>
        <w:drawing>
          <wp:inline distT="0" distB="0" distL="114300" distR="114300">
            <wp:extent cx="5558155" cy="3176270"/>
            <wp:effectExtent l="0" t="0" r="4445" b="5080"/>
            <wp:docPr id="1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558155" cy="317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98" w:line="183" w:lineRule="auto"/>
        <w:jc w:val="right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12"/>
          <w:sz w:val="30"/>
          <w:szCs w:val="30"/>
        </w:rPr>
        <w:t>—9</w:t>
      </w:r>
      <w:r>
        <w:rPr>
          <w:rFonts w:ascii="宋体" w:hAnsi="宋体" w:eastAsia="宋体" w:cs="宋体"/>
          <w:spacing w:val="-9"/>
          <w:sz w:val="30"/>
          <w:szCs w:val="30"/>
        </w:rPr>
        <w:t>—</w:t>
      </w:r>
    </w:p>
    <w:p>
      <w:pPr>
        <w:spacing w:line="183" w:lineRule="auto"/>
        <w:rPr>
          <w:rFonts w:ascii="宋体" w:hAnsi="宋体" w:eastAsia="宋体" w:cs="宋体"/>
          <w:sz w:val="30"/>
          <w:szCs w:val="30"/>
        </w:rPr>
        <w:sectPr>
          <w:pgSz w:w="11870" w:h="16820"/>
          <w:pgMar w:top="400" w:right="1472" w:bottom="400" w:left="1645" w:header="0" w:footer="0" w:gutter="0"/>
          <w:pgNumType w:fmt="decimal"/>
          <w:cols w:space="720" w:num="1"/>
        </w:sectPr>
      </w:pPr>
    </w:p>
    <w:p>
      <w:pPr>
        <w:spacing w:before="10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  <w:r>
        <w:drawing>
          <wp:inline distT="0" distB="0" distL="114300" distR="114300">
            <wp:extent cx="5485130" cy="4261485"/>
            <wp:effectExtent l="0" t="0" r="1270" b="5715"/>
            <wp:docPr id="1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485130" cy="4261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5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5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5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87" w:line="184" w:lineRule="auto"/>
        <w:ind w:left="15"/>
        <w:jc w:val="left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-3"/>
          <w:sz w:val="27"/>
          <w:szCs w:val="27"/>
        </w:rPr>
        <w:t>—10—</w:t>
      </w:r>
    </w:p>
    <w:p>
      <w:pPr>
        <w:spacing w:line="184" w:lineRule="auto"/>
        <w:rPr>
          <w:rFonts w:ascii="宋体" w:hAnsi="宋体" w:eastAsia="宋体" w:cs="宋体"/>
          <w:sz w:val="27"/>
          <w:szCs w:val="27"/>
        </w:rPr>
        <w:sectPr>
          <w:pgSz w:w="11840" w:h="16800"/>
          <w:pgMar w:top="400" w:right="1559" w:bottom="400" w:left="1634" w:header="0" w:footer="0" w:gutter="0"/>
          <w:pgNumType w:fmt="decimal"/>
          <w:cols w:space="720" w:num="1"/>
        </w:sectPr>
      </w:pPr>
    </w:p>
    <w:p>
      <w:pPr>
        <w:spacing w:before="35"/>
      </w:pPr>
    </w:p>
    <w:p>
      <w:pPr>
        <w:spacing w:before="35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  <w:r>
        <w:drawing>
          <wp:inline distT="0" distB="0" distL="114300" distR="114300">
            <wp:extent cx="5560695" cy="3670300"/>
            <wp:effectExtent l="0" t="0" r="1905" b="6350"/>
            <wp:docPr id="1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560695" cy="367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ectPr>
          <w:footerReference r:id="rId11" w:type="default"/>
          <w:pgSz w:w="11870" w:h="16780"/>
          <w:pgMar w:top="400" w:right="1482" w:bottom="1664" w:left="1624" w:header="0" w:footer="1375" w:gutter="0"/>
          <w:pgNumType w:fmt="decimal"/>
          <w:cols w:space="720" w:num="1"/>
        </w:sectPr>
      </w:pPr>
    </w:p>
    <w:p>
      <w:pPr>
        <w:spacing w:before="140" w:line="219" w:lineRule="auto"/>
        <w:jc w:val="center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4"/>
          <w:sz w:val="43"/>
          <w:szCs w:val="43"/>
        </w:rPr>
        <w:t>第三部分</w:t>
      </w:r>
      <w:r>
        <w:rPr>
          <w:rFonts w:hint="eastAsia" w:ascii="宋体" w:hAnsi="宋体" w:eastAsia="宋体" w:cs="宋体"/>
          <w:b/>
          <w:bCs/>
          <w:spacing w:val="4"/>
          <w:sz w:val="43"/>
          <w:szCs w:val="43"/>
          <w:lang w:val="en-US" w:eastAsia="zh-CN"/>
        </w:rPr>
        <w:t xml:space="preserve">  </w:t>
      </w:r>
      <w:r>
        <w:rPr>
          <w:rFonts w:ascii="宋体" w:hAnsi="宋体" w:eastAsia="宋体" w:cs="宋体"/>
          <w:b/>
          <w:bCs/>
          <w:spacing w:val="4"/>
          <w:sz w:val="43"/>
          <w:szCs w:val="43"/>
        </w:rPr>
        <w:t>2022年度单位决算情况说明</w:t>
      </w:r>
    </w:p>
    <w:p>
      <w:pPr>
        <w:kinsoku w:val="0"/>
        <w:autoSpaceDE w:val="0"/>
        <w:autoSpaceDN w:val="0"/>
        <w:adjustRightInd w:val="0"/>
        <w:snapToGrid w:val="0"/>
        <w:spacing w:line="307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304" w:firstLineChars="1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一、收入决算情况说明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本单位2022年度收入总计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62.06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万元，其中年初结转和结余0万元;本年收入合计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62.06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万元，由于是2022年度新增做决算单位，故无法和上年比较。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本年收入的具体构成为：财政拨款收入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62.06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万元，占100%;事业收入0万元，占0%;经营收入0万元，占0%;其他收入0万元，占0%。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二、支出决算情况说明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本单位2022年度支出总计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62.06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万元。其中本年支出合计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62.06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万元;年末结转和结余0万元，由于是2022年度新增做决算单位，故无法和上年比较。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本年支出的具体构成为：基本支出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62.06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万元，占100%;项目支出0万元，占0%;经营支出0万元，占0%;其他支出(对附属单位补助支出、上缴上级支出)0万元，占0%。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三、财政拨款支出决算情况说明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本单位2022年度财政拨款本年支出年初预算数为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61.06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万元决算数为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62.06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万元，完成年初预算的101.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64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%其中：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(一)人员经费支出年初预算数为：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52.66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元，决算数为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53.66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万元，完成年初预算的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101.90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%,主要原因是：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年中追加资金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(二)公用经费支出年初预算数为：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8.4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万元，决算数为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8.4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万元，完成年初预算的100%。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四、一般公共预算财政拨款基本支出决算情况说明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本单位2022年度一般公共预算财政拨款基本支出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62.06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万其中：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(一)工资福利支出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51.66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万元，由于是2022年度新增做决算单位，故无法和上年比较。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(二)商品和服务支出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8.4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万元，由于是2022年度新增做决算单位，故无法和上年比较。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(三)对个人和家庭补助支出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万元，由于是2022年度新增做决算单位，故无法和上年比较。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(四)资本性支出0万元，由于是2022年度新增做决算单位，故无法和上年比较。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五、财政拨款“三公”经费支出决算情况说明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本单位2022年度财政拨款“三公”经费支出全年预算数为2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.5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万元，决算数为2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.5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万元，完成全年预算的100%,由于是2022年度新增做决算单位，故无法和上年比较。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因公出国(境)支出全年预算数为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万元，决算数为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万元，完成全年预算的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%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leftChars="0"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公务接待费支出全年预算数为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万元，决算数为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万元，完成全年预算的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%,由于是2022年度新增做决算单位，故无法和上年比较。全年国内公务接待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批，累计接待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126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人次，其中外事接待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批，累计接待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人次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(三)公务用车购置及运行维护费支出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万元，其中公务用车购置全年预算数为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万元，决算数为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六、机关运行经费支出情况说明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本单位2022年度机关运行经费支出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8.4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万元,由于是2022年度新增做决算单位，故无法和上年比较。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七、政府采购支出情况说明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本单位2022年度政府采购支出总额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八、国有资产占用情况说明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截止2022年12月31日，本单位国有资产占用情况见公开10表《国有资产占用情况表》。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420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231775</wp:posOffset>
            </wp:positionH>
            <wp:positionV relativeFrom="paragraph">
              <wp:posOffset>308610</wp:posOffset>
            </wp:positionV>
            <wp:extent cx="5539740" cy="2994660"/>
            <wp:effectExtent l="0" t="0" r="3810" b="15240"/>
            <wp:wrapNone/>
            <wp:docPr id="23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539740" cy="299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九、预算绩效评价情况说明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2022年度没有项目纳入年初部门预算。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en-US"/>
        </w:rPr>
      </w:pPr>
      <w:bookmarkStart w:id="0" w:name="_GoBack"/>
      <w:bookmarkEnd w:id="0"/>
    </w:p>
    <w:p>
      <w:pPr>
        <w:spacing w:before="140" w:line="219" w:lineRule="auto"/>
        <w:jc w:val="center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-3"/>
          <w:sz w:val="43"/>
          <w:szCs w:val="43"/>
        </w:rPr>
        <w:t>第四部分</w:t>
      </w:r>
      <w:r>
        <w:rPr>
          <w:rFonts w:hint="eastAsia" w:ascii="宋体" w:hAnsi="宋体" w:eastAsia="宋体" w:cs="宋体"/>
          <w:b/>
          <w:bCs/>
          <w:spacing w:val="-3"/>
          <w:sz w:val="43"/>
          <w:szCs w:val="43"/>
          <w:lang w:val="en-US" w:eastAsia="zh-CN"/>
        </w:rPr>
        <w:t xml:space="preserve">  </w:t>
      </w:r>
      <w:r>
        <w:rPr>
          <w:rFonts w:ascii="宋体" w:hAnsi="宋体" w:eastAsia="宋体" w:cs="宋体"/>
          <w:b/>
          <w:bCs/>
          <w:spacing w:val="-3"/>
          <w:sz w:val="43"/>
          <w:szCs w:val="43"/>
        </w:rPr>
        <w:t>名词解释</w:t>
      </w:r>
    </w:p>
    <w:p>
      <w:pPr>
        <w:kinsoku w:val="0"/>
        <w:autoSpaceDE w:val="0"/>
        <w:autoSpaceDN w:val="0"/>
        <w:adjustRightInd w:val="0"/>
        <w:snapToGrid w:val="0"/>
        <w:spacing w:line="29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9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9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104" w:line="325" w:lineRule="auto"/>
        <w:ind w:firstLine="64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b/>
          <w:bCs/>
          <w:spacing w:val="-9"/>
          <w:sz w:val="32"/>
          <w:szCs w:val="32"/>
        </w:rPr>
        <w:t>应对报表项目、政府收支分类科目进行适当说明。</w:t>
      </w:r>
      <w:r>
        <w:rPr>
          <w:rFonts w:ascii="仿宋" w:hAnsi="仿宋" w:eastAsia="仿宋" w:cs="仿宋"/>
          <w:spacing w:val="-9"/>
          <w:sz w:val="32"/>
          <w:szCs w:val="32"/>
        </w:rPr>
        <w:t>(以财</w:t>
      </w:r>
      <w:r>
        <w:rPr>
          <w:rFonts w:ascii="仿宋" w:hAnsi="仿宋" w:eastAsia="仿宋" w:cs="仿宋"/>
          <w:spacing w:val="-8"/>
          <w:sz w:val="32"/>
          <w:szCs w:val="32"/>
        </w:rPr>
        <w:t>务会计制度、政府收支分类科目以及部门预算</w:t>
      </w:r>
      <w:r>
        <w:rPr>
          <w:rFonts w:ascii="仿宋" w:hAnsi="仿宋" w:eastAsia="仿宋" w:cs="仿宋"/>
          <w:spacing w:val="-9"/>
          <w:sz w:val="32"/>
          <w:szCs w:val="32"/>
        </w:rPr>
        <w:t>管理等规定为准，</w:t>
      </w:r>
    </w:p>
    <w:p>
      <w:pPr>
        <w:spacing w:before="1" w:line="221" w:lineRule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可结合部门实际情况适当细化)</w:t>
      </w:r>
    </w:p>
    <w:p>
      <w:pPr>
        <w:spacing w:before="184" w:line="560" w:lineRule="exact"/>
        <w:ind w:right="67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position w:val="17"/>
          <w:sz w:val="32"/>
          <w:szCs w:val="32"/>
        </w:rPr>
        <w:t>“三公”经费支出和机关运行经费支出口径必须予以说明</w:t>
      </w:r>
    </w:p>
    <w:p>
      <w:pPr>
        <w:spacing w:before="1" w:line="220" w:lineRule="auto"/>
        <w:ind w:left="14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9"/>
          <w:sz w:val="32"/>
          <w:szCs w:val="32"/>
        </w:rPr>
        <w:t>(可参照如下格式进行说明):</w:t>
      </w:r>
    </w:p>
    <w:p>
      <w:pPr>
        <w:spacing w:before="179" w:line="323" w:lineRule="auto"/>
        <w:ind w:right="57" w:firstLine="63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9"/>
          <w:sz w:val="32"/>
          <w:szCs w:val="32"/>
        </w:rPr>
        <w:t>“三公”经费支出：指用</w:t>
      </w:r>
      <w:r>
        <w:rPr>
          <w:rFonts w:ascii="仿宋" w:hAnsi="仿宋" w:eastAsia="仿宋" w:cs="仿宋"/>
          <w:b/>
          <w:bCs/>
          <w:spacing w:val="9"/>
          <w:sz w:val="32"/>
          <w:szCs w:val="32"/>
        </w:rPr>
        <w:t>财政拨款安</w:t>
      </w:r>
      <w:r>
        <w:rPr>
          <w:rFonts w:ascii="仿宋" w:hAnsi="仿宋" w:eastAsia="仿宋" w:cs="仿宋"/>
          <w:spacing w:val="9"/>
          <w:sz w:val="32"/>
          <w:szCs w:val="32"/>
        </w:rPr>
        <w:t>排的因公出国(境)</w:t>
      </w:r>
      <w:r>
        <w:rPr>
          <w:rFonts w:ascii="仿宋" w:hAnsi="仿宋" w:eastAsia="仿宋" w:cs="仿宋"/>
          <w:spacing w:val="-1"/>
          <w:sz w:val="32"/>
          <w:szCs w:val="32"/>
        </w:rPr>
        <w:t>费、公务用车购置及运行维护费和公务接待费。</w:t>
      </w:r>
      <w:r>
        <w:rPr>
          <w:rFonts w:ascii="仿宋" w:hAnsi="仿宋" w:eastAsia="仿宋" w:cs="仿宋"/>
          <w:spacing w:val="-2"/>
          <w:sz w:val="32"/>
          <w:szCs w:val="32"/>
        </w:rPr>
        <w:t>其中，因公出</w:t>
      </w:r>
      <w:r>
        <w:rPr>
          <w:rFonts w:ascii="仿宋" w:hAnsi="仿宋" w:eastAsia="仿宋" w:cs="仿宋"/>
          <w:spacing w:val="23"/>
          <w:sz w:val="32"/>
          <w:szCs w:val="32"/>
        </w:rPr>
        <w:t>国(境)费反映单位公务出国(境)的国际旅费、国外城市间</w:t>
      </w:r>
      <w:r>
        <w:rPr>
          <w:rFonts w:ascii="仿宋" w:hAnsi="仿宋" w:eastAsia="仿宋" w:cs="仿宋"/>
          <w:sz w:val="32"/>
          <w:szCs w:val="32"/>
        </w:rPr>
        <w:t>交通费、住宿费、伙食费、培训费、公杂费等支出；公务用车</w:t>
      </w:r>
      <w:r>
        <w:rPr>
          <w:rFonts w:ascii="仿宋" w:hAnsi="仿宋" w:eastAsia="仿宋" w:cs="仿宋"/>
          <w:spacing w:val="6"/>
          <w:sz w:val="32"/>
          <w:szCs w:val="32"/>
        </w:rPr>
        <w:t>购置及运行维护费反映单位公务用车车辆购置支出(含车辆购</w:t>
      </w:r>
      <w:r>
        <w:rPr>
          <w:rFonts w:ascii="仿宋" w:hAnsi="仿宋" w:eastAsia="仿宋" w:cs="仿宋"/>
          <w:spacing w:val="12"/>
          <w:sz w:val="32"/>
          <w:szCs w:val="32"/>
        </w:rPr>
        <w:t>置税、牌照费),按规定保留的公务用车燃料费、维修费、过</w:t>
      </w:r>
      <w:r>
        <w:rPr>
          <w:rFonts w:ascii="仿宋" w:hAnsi="仿宋" w:eastAsia="仿宋" w:cs="仿宋"/>
          <w:spacing w:val="1"/>
          <w:sz w:val="32"/>
          <w:szCs w:val="32"/>
        </w:rPr>
        <w:t>桥过路费、保险费、安全奖励费用等支出；公务接待费反映单</w:t>
      </w:r>
    </w:p>
    <w:p>
      <w:pPr>
        <w:spacing w:before="1" w:line="221" w:lineRule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8"/>
          <w:sz w:val="32"/>
          <w:szCs w:val="32"/>
        </w:rPr>
        <w:t>位按规定开支的各类公务接待(含外宾接待)支出。</w:t>
      </w:r>
    </w:p>
    <w:p>
      <w:pPr>
        <w:tabs>
          <w:tab w:val="left" w:pos="168"/>
        </w:tabs>
        <w:spacing w:before="172" w:line="323" w:lineRule="auto"/>
        <w:ind w:right="28" w:firstLine="619"/>
        <w:rPr>
          <w:rFonts w:ascii="仿宋" w:hAnsi="仿宋" w:eastAsia="仿宋" w:cs="仿宋"/>
          <w:sz w:val="32"/>
          <w:szCs w:val="32"/>
        </w:rPr>
        <w:sectPr>
          <w:footerReference r:id="rId12" w:type="default"/>
          <w:pgSz w:w="11870" w:h="16800"/>
          <w:pgMar w:top="400" w:right="1510" w:bottom="1665" w:left="1629" w:header="0" w:footer="1346" w:gutter="0"/>
          <w:pgNumType w:fmt="decimal"/>
          <w:cols w:space="720" w:num="1"/>
        </w:sectPr>
      </w:pPr>
      <w:r>
        <w:rPr>
          <w:rFonts w:ascii="仿宋" w:hAnsi="仿宋" w:eastAsia="仿宋" w:cs="仿宋"/>
          <w:spacing w:val="1"/>
          <w:sz w:val="32"/>
          <w:szCs w:val="32"/>
        </w:rPr>
        <w:t>机关运行经费支出：指用</w:t>
      </w:r>
      <w:r>
        <w:rPr>
          <w:rFonts w:ascii="仿宋" w:hAnsi="仿宋" w:eastAsia="仿宋" w:cs="仿宋"/>
          <w:b/>
          <w:bCs/>
          <w:spacing w:val="1"/>
          <w:sz w:val="32"/>
          <w:szCs w:val="32"/>
        </w:rPr>
        <w:t>财政拨款安</w:t>
      </w:r>
      <w:r>
        <w:rPr>
          <w:rFonts w:ascii="仿宋" w:hAnsi="仿宋" w:eastAsia="仿宋" w:cs="仿宋"/>
          <w:spacing w:val="1"/>
          <w:sz w:val="32"/>
          <w:szCs w:val="32"/>
        </w:rPr>
        <w:t>排的为保障行政单位</w:t>
      </w:r>
      <w:r>
        <w:rPr>
          <w:rFonts w:ascii="仿宋" w:hAnsi="仿宋" w:eastAsia="仿宋" w:cs="仿宋"/>
          <w:sz w:val="32"/>
          <w:szCs w:val="32"/>
        </w:rPr>
        <w:tab/>
      </w:r>
      <w:r>
        <w:rPr>
          <w:rFonts w:ascii="仿宋" w:hAnsi="仿宋" w:eastAsia="仿宋" w:cs="仿宋"/>
          <w:spacing w:val="8"/>
          <w:sz w:val="32"/>
          <w:szCs w:val="32"/>
        </w:rPr>
        <w:t>(包括参照公务员法管理的事业单位)运行用于购</w:t>
      </w:r>
      <w:r>
        <w:rPr>
          <w:rFonts w:ascii="仿宋" w:hAnsi="仿宋" w:eastAsia="仿宋" w:cs="仿宋"/>
          <w:spacing w:val="7"/>
          <w:sz w:val="32"/>
          <w:szCs w:val="32"/>
        </w:rPr>
        <w:t>买货物和服</w:t>
      </w:r>
      <w:r>
        <w:rPr>
          <w:rFonts w:ascii="仿宋" w:hAnsi="仿宋" w:eastAsia="仿宋" w:cs="仿宋"/>
          <w:sz w:val="32"/>
          <w:szCs w:val="32"/>
        </w:rPr>
        <w:t>务的各项资金，包括办公费、印刷费、邮电费、差旅费、会议费、福利费、日常维修费、专用材料及一般设备购置费、办公</w:t>
      </w:r>
      <w:r>
        <w:rPr>
          <w:rFonts w:ascii="仿宋" w:hAnsi="仿宋" w:eastAsia="仿宋" w:cs="仿宋"/>
          <w:spacing w:val="1"/>
          <w:sz w:val="32"/>
          <w:szCs w:val="32"/>
        </w:rPr>
        <w:t>用房水电费、办公用房取暖费、办公用房物业管理费、公务用</w:t>
      </w:r>
      <w:r>
        <w:rPr>
          <w:rFonts w:ascii="仿宋" w:hAnsi="仿宋" w:eastAsia="仿宋" w:cs="仿宋"/>
          <w:spacing w:val="-9"/>
          <w:sz w:val="32"/>
          <w:szCs w:val="32"/>
        </w:rPr>
        <w:t>车运行维护费以及其他费用。</w:t>
      </w:r>
    </w:p>
    <w:p/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7" w:lineRule="auto"/>
      <w:jc w:val="right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38"/>
        <w:sz w:val="32"/>
        <w:szCs w:val="32"/>
      </w:rPr>
      <w:t>—</w:t>
    </w:r>
    <w:r>
      <w:rPr>
        <w:rFonts w:ascii="宋体" w:hAnsi="宋体" w:eastAsia="宋体" w:cs="宋体"/>
        <w:spacing w:val="-37"/>
        <w:sz w:val="32"/>
        <w:szCs w:val="32"/>
      </w:rPr>
      <w:t>1</w:t>
    </w:r>
    <w:r>
      <w:rPr>
        <w:rFonts w:ascii="宋体" w:hAnsi="宋体" w:eastAsia="宋体" w:cs="宋体"/>
        <w:spacing w:val="-9"/>
        <w:sz w:val="32"/>
        <w:szCs w:val="32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17"/>
        <w:sz w:val="31"/>
        <w:szCs w:val="31"/>
      </w:rPr>
      <w:t>—2—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jc w:val="right"/>
      <w:rPr>
        <w:rFonts w:ascii="宋体" w:hAnsi="宋体" w:eastAsia="宋体" w:cs="宋体"/>
        <w:sz w:val="33"/>
        <w:szCs w:val="33"/>
      </w:rPr>
    </w:pPr>
    <w:r>
      <w:rPr>
        <w:rFonts w:ascii="宋体" w:hAnsi="宋体" w:eastAsia="宋体" w:cs="宋体"/>
        <w:spacing w:val="-31"/>
        <w:w w:val="96"/>
        <w:sz w:val="33"/>
        <w:szCs w:val="33"/>
      </w:rPr>
      <w:t>—3</w:t>
    </w:r>
    <w:r>
      <w:rPr>
        <w:rFonts w:ascii="宋体" w:hAnsi="宋体" w:eastAsia="宋体" w:cs="宋体"/>
        <w:spacing w:val="-10"/>
        <w:w w:val="96"/>
        <w:sz w:val="33"/>
        <w:szCs w:val="33"/>
      </w:rPr>
      <w:t>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rPr>
        <w:rFonts w:ascii="宋体" w:hAnsi="宋体" w:eastAsia="宋体" w:cs="宋体"/>
        <w:sz w:val="27"/>
        <w:szCs w:val="27"/>
      </w:rPr>
    </w:pPr>
    <w:r>
      <w:rPr>
        <w:rFonts w:ascii="宋体" w:hAnsi="宋体" w:eastAsia="宋体" w:cs="宋体"/>
        <w:spacing w:val="-3"/>
        <w:sz w:val="27"/>
        <w:szCs w:val="27"/>
      </w:rPr>
      <w:t>—4—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insoku w:val="0"/>
      <w:autoSpaceDE w:val="0"/>
      <w:autoSpaceDN w:val="0"/>
      <w:adjustRightInd w:val="0"/>
      <w:snapToGrid w:val="0"/>
      <w:spacing w:line="14" w:lineRule="auto"/>
      <w:jc w:val="left"/>
      <w:textAlignment w:val="baseline"/>
      <w:rPr>
        <w:rFonts w:ascii="Arial" w:hAnsi="Arial" w:eastAsia="Arial" w:cs="Arial"/>
        <w:snapToGrid w:val="0"/>
        <w:color w:val="000000"/>
        <w:kern w:val="0"/>
        <w:sz w:val="2"/>
        <w:szCs w:val="21"/>
        <w:lang w:val="en-US" w:eastAsia="en-US" w:bidi="ar-SA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40" w:lineRule="auto"/>
      <w:jc w:val="right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10"/>
        <w:sz w:val="29"/>
        <w:szCs w:val="29"/>
      </w:rPr>
      <w:t>—</w:t>
    </w:r>
    <w:r>
      <w:rPr>
        <w:rFonts w:ascii="宋体" w:hAnsi="宋体" w:eastAsia="宋体" w:cs="宋体"/>
        <w:spacing w:val="-9"/>
        <w:sz w:val="29"/>
        <w:szCs w:val="29"/>
      </w:rPr>
      <w:t>11</w:t>
    </w:r>
    <w:r>
      <w:rPr>
        <w:rFonts w:ascii="宋体" w:hAnsi="宋体" w:eastAsia="宋体" w:cs="宋体"/>
        <w:spacing w:val="-8"/>
        <w:sz w:val="29"/>
        <w:szCs w:val="29"/>
      </w:rPr>
      <w:t>—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right="1"/>
      <w:jc w:val="right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28"/>
        <w:sz w:val="32"/>
        <w:szCs w:val="32"/>
      </w:rPr>
      <w:t>—</w:t>
    </w:r>
    <w:r>
      <w:rPr>
        <w:rFonts w:ascii="宋体" w:hAnsi="宋体" w:eastAsia="宋体" w:cs="宋体"/>
        <w:spacing w:val="-27"/>
        <w:sz w:val="32"/>
        <w:szCs w:val="32"/>
      </w:rPr>
      <w:t>1</w:t>
    </w:r>
    <w:r>
      <w:rPr>
        <w:rFonts w:hint="eastAsia" w:ascii="宋体" w:hAnsi="宋体" w:eastAsia="宋体" w:cs="宋体"/>
        <w:spacing w:val="-27"/>
        <w:sz w:val="32"/>
        <w:szCs w:val="32"/>
        <w:lang w:val="en-US" w:eastAsia="zh-CN"/>
      </w:rPr>
      <w:t>6</w:t>
    </w:r>
    <w:r>
      <w:rPr>
        <w:rFonts w:ascii="宋体" w:hAnsi="宋体" w:eastAsia="宋体" w:cs="宋体"/>
        <w:spacing w:val="-10"/>
        <w:sz w:val="32"/>
        <w:szCs w:val="32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insoku w:val="0"/>
      <w:autoSpaceDE w:val="0"/>
      <w:autoSpaceDN w:val="0"/>
      <w:adjustRightInd w:val="0"/>
      <w:snapToGrid w:val="0"/>
      <w:spacing w:line="14" w:lineRule="auto"/>
      <w:jc w:val="left"/>
      <w:textAlignment w:val="baseline"/>
      <w:rPr>
        <w:rFonts w:ascii="Arial" w:hAnsi="Arial" w:eastAsia="Arial" w:cs="Arial"/>
        <w:snapToGrid w:val="0"/>
        <w:color w:val="000000"/>
        <w:kern w:val="0"/>
        <w:sz w:val="2"/>
        <w:szCs w:val="21"/>
        <w:lang w:val="en-US" w:eastAsia="en-US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FD3A5F"/>
    <w:multiLevelType w:val="singleLevel"/>
    <w:tmpl w:val="31FD3A5F"/>
    <w:lvl w:ilvl="0" w:tentative="0">
      <w:start w:val="1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3ZGY0NmNmZWRlNjI2ZDhmNTYyMWExZWU3NTBiOTQifQ=="/>
  </w:docVars>
  <w:rsids>
    <w:rsidRoot w:val="3A135FC9"/>
    <w:rsid w:val="085570A2"/>
    <w:rsid w:val="25F969F8"/>
    <w:rsid w:val="3A135FC9"/>
    <w:rsid w:val="4A497FB3"/>
    <w:rsid w:val="53A07C03"/>
    <w:rsid w:val="5A0C1B4F"/>
    <w:rsid w:val="761E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Table Text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宋体" w:hAnsi="宋体" w:eastAsia="宋体" w:cs="宋体"/>
      <w:snapToGrid w:val="0"/>
      <w:color w:val="000000"/>
      <w:kern w:val="0"/>
      <w:sz w:val="17"/>
      <w:szCs w:val="17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image" Target="media/image13.png"/><Relationship Id="rId25" Type="http://schemas.openxmlformats.org/officeDocument/2006/relationships/image" Target="media/image12.png"/><Relationship Id="rId24" Type="http://schemas.openxmlformats.org/officeDocument/2006/relationships/image" Target="media/image11.png"/><Relationship Id="rId23" Type="http://schemas.openxmlformats.org/officeDocument/2006/relationships/image" Target="media/image10.png"/><Relationship Id="rId22" Type="http://schemas.openxmlformats.org/officeDocument/2006/relationships/image" Target="media/image9.png"/><Relationship Id="rId21" Type="http://schemas.openxmlformats.org/officeDocument/2006/relationships/image" Target="media/image8.png"/><Relationship Id="rId20" Type="http://schemas.openxmlformats.org/officeDocument/2006/relationships/image" Target="media/image7.png"/><Relationship Id="rId2" Type="http://schemas.openxmlformats.org/officeDocument/2006/relationships/settings" Target="settings.xml"/><Relationship Id="rId19" Type="http://schemas.openxmlformats.org/officeDocument/2006/relationships/image" Target="media/image6.png"/><Relationship Id="rId18" Type="http://schemas.openxmlformats.org/officeDocument/2006/relationships/image" Target="media/image5.png"/><Relationship Id="rId17" Type="http://schemas.openxmlformats.org/officeDocument/2006/relationships/image" Target="media/image4.png"/><Relationship Id="rId16" Type="http://schemas.openxmlformats.org/officeDocument/2006/relationships/image" Target="media/image3.png"/><Relationship Id="rId15" Type="http://schemas.openxmlformats.org/officeDocument/2006/relationships/image" Target="media/image2.png"/><Relationship Id="rId14" Type="http://schemas.openxmlformats.org/officeDocument/2006/relationships/image" Target="media/image1.png"/><Relationship Id="rId13" Type="http://schemas.openxmlformats.org/officeDocument/2006/relationships/theme" Target="theme/theme1.xml"/><Relationship Id="rId12" Type="http://schemas.openxmlformats.org/officeDocument/2006/relationships/footer" Target="footer7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2023-12-07T01:51:00Z</dcterms:created>
  <dc:creator>娜娜是我</dc:creator>
  <cp:lastModifiedBy>娜娜是我</cp:lastModifiedBy>
  <dcterms:modified xsi:type="dcterms:W3CDTF">2023-12-12T02:06:09Z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5773042131244696A7AC660BAA8AD87D_11</vt:lpwstr>
  </property>
</Properties>
</file>