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1" w:lineRule="auto"/>
      </w:pPr>
    </w:p>
    <w:p>
      <w:pPr>
        <w:spacing w:line="289" w:lineRule="auto"/>
        <w:jc w:val="center"/>
      </w:pPr>
    </w:p>
    <w:p>
      <w:pPr>
        <w:spacing w:line="290" w:lineRule="auto"/>
        <w:jc w:val="center"/>
      </w:pPr>
    </w:p>
    <w:p>
      <w:pPr>
        <w:widowControl w:val="0"/>
        <w:kinsoku/>
        <w:autoSpaceDE/>
        <w:autoSpaceDN/>
        <w:adjustRightInd/>
        <w:snapToGrid/>
        <w:spacing w:line="860" w:lineRule="exact"/>
        <w:jc w:val="center"/>
        <w:textAlignment w:val="auto"/>
        <w:rPr>
          <w:rFonts w:ascii="方正大标宋简体" w:hAnsi="Times New Roman" w:eastAsia="方正大标宋简体" w:cs="Times New Roman"/>
          <w:snapToGrid/>
          <w:kern w:val="2"/>
          <w:sz w:val="44"/>
          <w:szCs w:val="44"/>
        </w:rPr>
      </w:pPr>
      <w:r>
        <w:rPr>
          <w:rFonts w:hint="eastAsia" w:ascii="方正大标宋简体" w:hAnsi="Times New Roman" w:eastAsia="方正大标宋简体" w:cs="Times New Roman"/>
          <w:snapToGrid/>
          <w:kern w:val="2"/>
          <w:sz w:val="44"/>
          <w:szCs w:val="44"/>
        </w:rPr>
        <w:t>浮梁县</w:t>
      </w:r>
      <w:r>
        <w:rPr>
          <w:rFonts w:hint="eastAsia" w:ascii="方正大标宋简体" w:hAnsi="Times New Roman" w:eastAsia="方正大标宋简体" w:cs="Times New Roman"/>
          <w:snapToGrid/>
          <w:kern w:val="2"/>
          <w:sz w:val="44"/>
          <w:szCs w:val="44"/>
          <w:lang w:eastAsia="zh-CN"/>
        </w:rPr>
        <w:t>农业农村</w:t>
      </w:r>
      <w:r>
        <w:rPr>
          <w:rFonts w:hint="eastAsia" w:ascii="方正大标宋简体" w:hAnsi="Times New Roman" w:eastAsia="方正大标宋简体" w:cs="Times New Roman"/>
          <w:snapToGrid/>
          <w:kern w:val="2"/>
          <w:sz w:val="44"/>
          <w:szCs w:val="44"/>
        </w:rPr>
        <w:t>局2023年部门预算</w:t>
      </w:r>
    </w:p>
    <w:p>
      <w:pPr>
        <w:spacing w:before="143" w:line="219" w:lineRule="auto"/>
        <w:ind w:firstLine="1146"/>
        <w:jc w:val="center"/>
        <w:rPr>
          <w:rFonts w:ascii="宋体" w:hAnsi="宋体" w:eastAsia="宋体" w:cs="宋体"/>
          <w:spacing w:val="2"/>
          <w:sz w:val="44"/>
          <w:szCs w:val="44"/>
          <w14:textOutline w14:w="7988" w14:cap="flat" w14:cmpd="sng" w14:algn="ctr">
            <w14:solidFill>
              <w14:srgbClr w14:val="000000"/>
            </w14:solidFill>
            <w14:prstDash w14:val="solid"/>
            <w14:miter w14:val="0"/>
          </w14:textOutline>
        </w:rPr>
      </w:pPr>
    </w:p>
    <w:p>
      <w:pPr>
        <w:spacing w:line="334" w:lineRule="auto"/>
      </w:pPr>
    </w:p>
    <w:p>
      <w:pPr>
        <w:spacing w:line="334" w:lineRule="auto"/>
        <w:rPr>
          <w:rFonts w:eastAsia="宋体"/>
        </w:rPr>
      </w:pPr>
    </w:p>
    <w:p>
      <w:pPr>
        <w:widowControl w:val="0"/>
        <w:kinsoku/>
        <w:autoSpaceDE/>
        <w:autoSpaceDN/>
        <w:adjustRightInd/>
        <w:snapToGrid/>
        <w:jc w:val="center"/>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目    录</w:t>
      </w:r>
    </w:p>
    <w:p>
      <w:pPr>
        <w:spacing w:line="347" w:lineRule="auto"/>
      </w:pPr>
    </w:p>
    <w:p>
      <w:pPr>
        <w:spacing w:line="347" w:lineRule="auto"/>
      </w:pPr>
    </w:p>
    <w:p>
      <w:pPr>
        <w:widowControl w:val="0"/>
        <w:kinsoku/>
        <w:autoSpaceDE/>
        <w:autoSpaceDN/>
        <w:adjustRightInd/>
        <w:snapToGrid/>
        <w:jc w:val="both"/>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第一部分 浮梁县</w:t>
      </w:r>
      <w:r>
        <w:rPr>
          <w:rFonts w:hint="eastAsia" w:ascii="黑体" w:hAnsi="黑体" w:eastAsia="黑体" w:cs="黑体"/>
          <w:snapToGrid/>
          <w:kern w:val="2"/>
          <w:sz w:val="32"/>
          <w:szCs w:val="32"/>
          <w:lang w:eastAsia="zh-CN"/>
        </w:rPr>
        <w:t>农业农村</w:t>
      </w:r>
      <w:r>
        <w:rPr>
          <w:rFonts w:hint="eastAsia" w:ascii="黑体" w:hAnsi="黑体" w:eastAsia="黑体" w:cs="黑体"/>
          <w:snapToGrid/>
          <w:kern w:val="2"/>
          <w:sz w:val="32"/>
          <w:szCs w:val="32"/>
        </w:rPr>
        <w:t>局概况</w:t>
      </w:r>
    </w:p>
    <w:p>
      <w:pPr>
        <w:spacing w:before="207"/>
        <w:ind w:firstLine="632" w:firstLineChars="200"/>
        <w:rPr>
          <w:rFonts w:ascii="楷体" w:hAnsi="楷体" w:eastAsia="楷体" w:cs="楷体"/>
          <w:sz w:val="32"/>
          <w:szCs w:val="32"/>
        </w:rPr>
      </w:pPr>
      <w:r>
        <w:rPr>
          <w:rFonts w:ascii="楷体" w:hAnsi="楷体" w:eastAsia="楷体" w:cs="楷体"/>
          <w:spacing w:val="-2"/>
          <w:sz w:val="32"/>
          <w:szCs w:val="32"/>
        </w:rPr>
        <w:t>一、部门主要职责</w:t>
      </w:r>
    </w:p>
    <w:p>
      <w:pPr>
        <w:spacing w:before="200"/>
        <w:ind w:firstLine="644" w:firstLineChars="200"/>
        <w:rPr>
          <w:rFonts w:ascii="楷体" w:hAnsi="楷体" w:eastAsia="楷体" w:cs="楷体"/>
          <w:sz w:val="32"/>
          <w:szCs w:val="32"/>
        </w:rPr>
      </w:pPr>
      <w:r>
        <w:rPr>
          <w:rFonts w:ascii="楷体" w:hAnsi="楷体" w:eastAsia="楷体" w:cs="楷体"/>
          <w:spacing w:val="1"/>
          <w:sz w:val="32"/>
          <w:szCs w:val="32"/>
        </w:rPr>
        <w:t>二、机构设置及人员情况</w:t>
      </w:r>
    </w:p>
    <w:p>
      <w:pPr>
        <w:widowControl w:val="0"/>
        <w:kinsoku/>
        <w:autoSpaceDE/>
        <w:autoSpaceDN/>
        <w:adjustRightInd/>
        <w:snapToGrid/>
        <w:jc w:val="both"/>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第二部分 浮梁县</w:t>
      </w:r>
      <w:r>
        <w:rPr>
          <w:rFonts w:hint="eastAsia" w:ascii="黑体" w:hAnsi="黑体" w:eastAsia="黑体" w:cs="黑体"/>
          <w:snapToGrid/>
          <w:kern w:val="2"/>
          <w:sz w:val="32"/>
          <w:szCs w:val="32"/>
          <w:lang w:eastAsia="zh-CN"/>
        </w:rPr>
        <w:t>农业农村</w:t>
      </w:r>
      <w:r>
        <w:rPr>
          <w:rFonts w:hint="eastAsia" w:ascii="黑体" w:hAnsi="黑体" w:eastAsia="黑体" w:cs="黑体"/>
          <w:snapToGrid/>
          <w:kern w:val="2"/>
          <w:sz w:val="32"/>
          <w:szCs w:val="32"/>
        </w:rPr>
        <w:t>局2023年部门预算表</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一、《收支预算总表》</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二、《部门收入总表》</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三、《部门支出总表》</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四、《财政拨款收支总表》</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五、《一般公共预算支出表》</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六、《一般公共预算基本支出表》</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七、《一般公共预算"三公"经费支出表》</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八、《政府性基金预算支出表》</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九、《国有资本经营预算支出表》</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十、《部门整体支出绩效目标表》</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十一、《项目绩效目标表》</w:t>
      </w:r>
    </w:p>
    <w:p>
      <w:pPr>
        <w:widowControl w:val="0"/>
        <w:kinsoku/>
        <w:autoSpaceDE/>
        <w:autoSpaceDN/>
        <w:adjustRightInd/>
        <w:snapToGrid/>
        <w:jc w:val="both"/>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第三部分 浮梁县</w:t>
      </w:r>
      <w:r>
        <w:rPr>
          <w:rFonts w:hint="eastAsia" w:ascii="黑体" w:hAnsi="黑体" w:eastAsia="黑体" w:cs="黑体"/>
          <w:snapToGrid/>
          <w:kern w:val="2"/>
          <w:sz w:val="32"/>
          <w:szCs w:val="32"/>
          <w:lang w:eastAsia="zh-CN"/>
        </w:rPr>
        <w:t>农业农村</w:t>
      </w:r>
      <w:r>
        <w:rPr>
          <w:rFonts w:hint="eastAsia" w:ascii="黑体" w:hAnsi="黑体" w:eastAsia="黑体" w:cs="黑体"/>
          <w:snapToGrid/>
          <w:kern w:val="2"/>
          <w:sz w:val="32"/>
          <w:szCs w:val="32"/>
        </w:rPr>
        <w:t>局2023年部门预算情况说明</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一、2023年部门预算收支情况说明</w:t>
      </w:r>
    </w:p>
    <w:p>
      <w:pPr>
        <w:spacing w:before="200"/>
        <w:ind w:firstLine="644" w:firstLineChars="200"/>
        <w:rPr>
          <w:rFonts w:ascii="楷体" w:hAnsi="楷体" w:eastAsia="楷体" w:cs="楷体"/>
          <w:spacing w:val="1"/>
          <w:sz w:val="32"/>
          <w:szCs w:val="32"/>
        </w:rPr>
      </w:pPr>
      <w:r>
        <w:rPr>
          <w:rFonts w:hint="eastAsia" w:ascii="楷体" w:hAnsi="楷体" w:eastAsia="楷体" w:cs="楷体"/>
          <w:spacing w:val="1"/>
          <w:sz w:val="32"/>
          <w:szCs w:val="32"/>
        </w:rPr>
        <w:t>二、2023年"三公”经费预算情况说明</w:t>
      </w:r>
    </w:p>
    <w:p>
      <w:pPr>
        <w:widowControl w:val="0"/>
        <w:kinsoku/>
        <w:autoSpaceDE/>
        <w:autoSpaceDN/>
        <w:adjustRightInd/>
        <w:snapToGrid/>
        <w:jc w:val="both"/>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第四部分 名词解释</w:t>
      </w:r>
    </w:p>
    <w:p/>
    <w:p/>
    <w:p/>
    <w:p/>
    <w:p/>
    <w:p>
      <w:pPr>
        <w:widowControl w:val="0"/>
        <w:kinsoku/>
        <w:autoSpaceDE/>
        <w:autoSpaceDN/>
        <w:adjustRightInd/>
        <w:snapToGrid/>
        <w:jc w:val="center"/>
        <w:textAlignment w:val="auto"/>
      </w:pPr>
      <w:r>
        <w:rPr>
          <w:rFonts w:hint="eastAsia" w:ascii="黑体" w:hAnsi="黑体" w:eastAsia="黑体" w:cs="黑体"/>
          <w:snapToGrid/>
          <w:kern w:val="2"/>
          <w:sz w:val="32"/>
          <w:szCs w:val="32"/>
        </w:rPr>
        <w:t xml:space="preserve">第一部分 </w:t>
      </w:r>
      <w:r>
        <w:rPr>
          <w:rFonts w:hint="eastAsia" w:ascii="黑体" w:hAnsi="黑体" w:eastAsia="黑体" w:cs="黑体"/>
          <w:snapToGrid/>
          <w:kern w:val="2"/>
          <w:sz w:val="32"/>
          <w:szCs w:val="32"/>
          <w:lang w:eastAsia="zh-CN"/>
        </w:rPr>
        <w:t>农业农村</w:t>
      </w:r>
      <w:r>
        <w:rPr>
          <w:rFonts w:hint="eastAsia" w:ascii="黑体" w:hAnsi="黑体" w:eastAsia="黑体" w:cs="黑体"/>
          <w:snapToGrid/>
          <w:kern w:val="2"/>
          <w:sz w:val="32"/>
          <w:szCs w:val="32"/>
        </w:rPr>
        <w:t>局概况</w:t>
      </w:r>
    </w:p>
    <w:p>
      <w:pPr>
        <w:spacing w:before="214"/>
        <w:rPr>
          <w:rFonts w:ascii="楷体" w:hAnsi="楷体" w:eastAsia="楷体" w:cs="楷体"/>
          <w:spacing w:val="13"/>
          <w:sz w:val="32"/>
          <w:szCs w:val="32"/>
        </w:rPr>
      </w:pPr>
      <w:r>
        <w:rPr>
          <w:rFonts w:hint="eastAsia" w:ascii="楷体" w:hAnsi="楷体" w:eastAsia="楷体" w:cs="楷体"/>
          <w:spacing w:val="13"/>
          <w:sz w:val="32"/>
          <w:szCs w:val="32"/>
        </w:rPr>
        <w:t>一、部门主要职责</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(一）贯彻执行县委、县政府关于发展种植业、畜牧业、渔业、农业机械化、农村能源等各产业和农村经济的方针、政策和法规；拟订全县农业、农村经济发展战略、中长期发展规划，经批准后组织实施。</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二）贯彻执行国家、省、市制定的农业发展政策措施，引导农业产业结构调整和产品品质的改善；会同有关部门指导农业标准化、规模化生产；编报部门预算并组织执行，提出扶持农业农村发展的财政政策和项目建议，经批准后指导实施；组织协调菜篮子工程建设，配合有关部门组织实施农业综合开发项目。</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（三）拟订农业产业化经营的发展规划与政策并组织实施，指导、扶持农业社会化服务体系、农村合作经济组织和农业行业协会的建设与发展。</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四）促进农业产前、产中、产后一体化发展，组织实施促进农产品加工业发展政策、规划；提出农业产业保护政策建议，指导农产品加工业结构调整、技术创新和服务体系建设；研究制定大宗农产品市场体系建设与发展规划，促进大宗农产品流通；培育、保护和发展农产品品牌。</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五）承担提升农产品质量安全水平的责任，组织农产品质量安全的监督管理，依法开展农产品质量安全风险评估，负责组织实施农产品质量安全监测，指导农业检验检测体系建设，依法监督管理农业转基因生物生产加工。</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六）组织、协调农业生产资料市场体系建设，依法开展农作物种子(种苗)、草种、种畜禽、农药、兽药(渔药)、饲料、饲料添加剂、兽医医疗器械和有关肥料的监督管理；会同有关部门监督实施有关农业生产资料国家标准和省标准；指导农业机械化发展和农机安全监理，行使渔船检验和渔政、渔港监督管理权。</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七）负责农作物重大病虫害防治，指导实施动植物防疫检疫政策，指导动植物防疫和检疫体系建设；组织、监督对县内动植物的防疫检疫工作，监测疫情并组织扑灭；组织兽医医政、兽药药政药检工作，负责执业兽医的管理。</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（八）承担农业防灾减灾的责任，监测、发布农业灾情，组织种子等救灾物资储备和调拨，提出生产救灾资金安排建议，指导紧急救灾和灾后生产恢复。</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（九）管理农业和农村经济信息，监测分析农业和农村经济运行情况；发布农业和农村经济信息；开展相关农业统计的工作；负责农业信息体系建设，指导农业信息服务。</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制定农业科研、农技推广及其队伍建设的发展规划和有关措施，会同有关部门组织全县农业科技创新体系和农业产业技术体系建设，实施科教兴农战略，组织技术推广项目的遴选及实施。组织农业科技成果转化和技术推广。指导农技推广体系改革与建设。</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一）会同有关部门拟订农业农村人才队伍建设规划并组织实施，指导农业教育和农民职业技能开发工作，参与实施农村实用人才培训工程。协助有关部门做好农村劳动力转移就业培训工作及农业农村人才专业技术资格和从业资格管理。</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(十二)指导农用地、渔业水域、宜农滩涂、宜农湿地以及农业生物物种资源的保护和管理，负责水生野生动植物保护工作。指导实施耕地及基本农田质量保护与改良政策，依法管理耕地质量。 </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三)制定并实施农业生态建设规划，指导农村可再生能源综合开发与利用，指导农业生物质产业发展和农业农村节能减排，承担指导农业面源污染治理有关工作；划定农产品禁止生产区域，指导生态农业、循环农业等发展，负责保护渔业水域生态环境，牵头管理外来物种。</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(十四)负责新农村建设及人居环境整治工作。</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w:t>
      </w:r>
      <w:r>
        <w:rPr>
          <w:rFonts w:hint="eastAsia" w:ascii="仿宋" w:hAnsi="仿宋" w:eastAsia="仿宋" w:cs="仿宋"/>
          <w:spacing w:val="-2"/>
          <w:sz w:val="32"/>
          <w:szCs w:val="32"/>
          <w:lang w:eastAsia="zh-CN"/>
        </w:rPr>
        <w:t>五</w:t>
      </w:r>
      <w:r>
        <w:rPr>
          <w:rFonts w:hint="eastAsia" w:ascii="仿宋" w:hAnsi="仿宋" w:eastAsia="仿宋" w:cs="仿宋"/>
          <w:spacing w:val="-2"/>
          <w:sz w:val="32"/>
          <w:szCs w:val="32"/>
        </w:rPr>
        <w:t>)承担粮食流通体制改革工作。落实粮食购销政策,按规定启动粮食最低收购价工作。制定县级储备粮和政策性粮食收购、销售、供应计划,管理储备粮轮换计划和政策性粮食供应,组织实施县级储备粮和政策性粮食的收储、轮换、日常管理和应急相关工作。指导协调地方储备粮管理,拟订全县粮食市场体系建设与发展规划并组织实施。负责粮食市场监测预警和粮食产销对接有关工作。承担军粮供应与管理工作</w:t>
      </w:r>
      <w:r>
        <w:rPr>
          <w:rFonts w:hint="eastAsia" w:ascii="仿宋" w:hAnsi="仿宋" w:eastAsia="仿宋" w:cs="仿宋"/>
          <w:spacing w:val="-2"/>
          <w:sz w:val="32"/>
          <w:szCs w:val="32"/>
          <w:lang w:eastAsia="zh-CN"/>
        </w:rPr>
        <w:t>等其他工作</w:t>
      </w:r>
      <w:r>
        <w:rPr>
          <w:rFonts w:hint="eastAsia" w:ascii="仿宋" w:hAnsi="仿宋" w:eastAsia="仿宋" w:cs="仿宋"/>
          <w:spacing w:val="-2"/>
          <w:sz w:val="32"/>
          <w:szCs w:val="32"/>
        </w:rPr>
        <w:t>。</w:t>
      </w:r>
    </w:p>
    <w:p>
      <w:pPr>
        <w:keepNext w:val="0"/>
        <w:keepLines w:val="0"/>
        <w:pageBreakBefore w:val="0"/>
        <w:wordWrap/>
        <w:overflowPunct/>
        <w:topLinePunct w:val="0"/>
        <w:bidi w:val="0"/>
        <w:spacing w:before="207" w:line="600" w:lineRule="exact"/>
        <w:ind w:firstLine="632" w:firstLineChars="200"/>
        <w:rPr>
          <w:rFonts w:hint="eastAsia" w:ascii="仿宋" w:hAnsi="仿宋" w:eastAsia="仿宋" w:cs="仿宋"/>
          <w:spacing w:val="-2"/>
          <w:sz w:val="32"/>
          <w:szCs w:val="32"/>
        </w:rPr>
      </w:pPr>
      <w:r>
        <w:rPr>
          <w:rFonts w:hint="eastAsia" w:ascii="仿宋" w:hAnsi="仿宋" w:eastAsia="仿宋" w:cs="仿宋"/>
          <w:spacing w:val="-2"/>
          <w:sz w:val="32"/>
          <w:szCs w:val="32"/>
        </w:rPr>
        <w:t>(十</w:t>
      </w:r>
      <w:r>
        <w:rPr>
          <w:rFonts w:hint="eastAsia" w:ascii="仿宋" w:hAnsi="仿宋" w:eastAsia="仿宋" w:cs="仿宋"/>
          <w:spacing w:val="-2"/>
          <w:sz w:val="32"/>
          <w:szCs w:val="32"/>
          <w:lang w:eastAsia="zh-CN"/>
        </w:rPr>
        <w:t>六</w:t>
      </w:r>
      <w:r>
        <w:rPr>
          <w:rFonts w:hint="eastAsia" w:ascii="仿宋" w:hAnsi="仿宋" w:eastAsia="仿宋" w:cs="仿宋"/>
          <w:spacing w:val="-2"/>
          <w:sz w:val="32"/>
          <w:szCs w:val="32"/>
        </w:rPr>
        <w:t>)承办上级交办的其他事项。</w:t>
      </w:r>
    </w:p>
    <w:p>
      <w:pPr>
        <w:spacing w:before="214"/>
        <w:rPr>
          <w:rFonts w:hint="eastAsia" w:ascii="楷体" w:hAnsi="楷体" w:eastAsia="楷体" w:cs="楷体"/>
          <w:spacing w:val="13"/>
          <w:sz w:val="32"/>
          <w:szCs w:val="32"/>
        </w:rPr>
      </w:pPr>
      <w:r>
        <w:rPr>
          <w:rFonts w:hint="eastAsia" w:ascii="楷体" w:hAnsi="楷体" w:eastAsia="楷体" w:cs="楷体"/>
          <w:spacing w:val="13"/>
          <w:sz w:val="32"/>
          <w:szCs w:val="32"/>
        </w:rPr>
        <w:t>二、机构设置及人员情况</w:t>
      </w:r>
    </w:p>
    <w:p>
      <w:pPr>
        <w:keepNext w:val="0"/>
        <w:keepLines w:val="0"/>
        <w:pageBreakBefore w:val="0"/>
        <w:widowControl/>
        <w:kinsoku w:val="0"/>
        <w:wordWrap/>
        <w:overflowPunct/>
        <w:topLinePunct w:val="0"/>
        <w:autoSpaceDE w:val="0"/>
        <w:autoSpaceDN w:val="0"/>
        <w:bidi w:val="0"/>
        <w:adjustRightInd w:val="0"/>
        <w:snapToGrid w:val="0"/>
        <w:spacing w:before="214" w:line="600" w:lineRule="exact"/>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rPr>
        <w:t>纳入本套部门预算汇编范围的单位共</w:t>
      </w:r>
      <w:r>
        <w:rPr>
          <w:rFonts w:hint="eastAsia" w:ascii="仿宋" w:hAnsi="仿宋" w:eastAsia="仿宋" w:cs="仿宋"/>
          <w:spacing w:val="-2"/>
          <w:sz w:val="32"/>
          <w:szCs w:val="32"/>
          <w:lang w:val="en-US" w:eastAsia="zh-CN"/>
        </w:rPr>
        <w:t>4</w:t>
      </w:r>
      <w:r>
        <w:rPr>
          <w:rFonts w:hint="eastAsia" w:ascii="仿宋" w:hAnsi="仿宋" w:eastAsia="仿宋" w:cs="仿宋"/>
          <w:spacing w:val="-2"/>
          <w:sz w:val="32"/>
          <w:szCs w:val="32"/>
        </w:rPr>
        <w:t>个，包括：浮梁县农业</w:t>
      </w:r>
      <w:r>
        <w:rPr>
          <w:rFonts w:hint="eastAsia" w:ascii="仿宋" w:hAnsi="仿宋" w:eastAsia="仿宋" w:cs="仿宋"/>
          <w:spacing w:val="-2"/>
          <w:sz w:val="32"/>
          <w:szCs w:val="32"/>
          <w:lang w:eastAsia="zh-CN"/>
        </w:rPr>
        <w:t>农村</w:t>
      </w:r>
      <w:r>
        <w:rPr>
          <w:rFonts w:hint="eastAsia" w:ascii="仿宋" w:hAnsi="仿宋" w:eastAsia="仿宋" w:cs="仿宋"/>
          <w:spacing w:val="-2"/>
          <w:sz w:val="32"/>
          <w:szCs w:val="32"/>
        </w:rPr>
        <w:t>局机关、浮梁县农业技术推广中心、浮梁县农业综合执法大队</w:t>
      </w:r>
      <w:r>
        <w:rPr>
          <w:rFonts w:hint="eastAsia" w:ascii="仿宋" w:hAnsi="仿宋" w:eastAsia="仿宋" w:cs="仿宋"/>
          <w:spacing w:val="-2"/>
          <w:sz w:val="32"/>
          <w:szCs w:val="32"/>
          <w:lang w:eastAsia="zh-CN"/>
        </w:rPr>
        <w:t>、浮梁县农业农村产业发展服务中心。</w:t>
      </w:r>
    </w:p>
    <w:p>
      <w:pPr>
        <w:keepNext w:val="0"/>
        <w:keepLines w:val="0"/>
        <w:pageBreakBefore w:val="0"/>
        <w:widowControl/>
        <w:kinsoku w:val="0"/>
        <w:wordWrap/>
        <w:overflowPunct/>
        <w:topLinePunct w:val="0"/>
        <w:autoSpaceDE w:val="0"/>
        <w:autoSpaceDN w:val="0"/>
        <w:bidi w:val="0"/>
        <w:adjustRightInd w:val="0"/>
        <w:snapToGrid w:val="0"/>
        <w:spacing w:before="214" w:line="600" w:lineRule="exact"/>
        <w:ind w:firstLine="632" w:firstLineChars="200"/>
        <w:textAlignment w:val="baseline"/>
        <w:rPr>
          <w:rFonts w:hint="eastAsia" w:ascii="仿宋" w:hAnsi="仿宋" w:eastAsia="仿宋" w:cs="仿宋"/>
          <w:spacing w:val="-2"/>
          <w:sz w:val="32"/>
          <w:szCs w:val="32"/>
          <w:lang w:eastAsia="zh-CN"/>
        </w:rPr>
      </w:pPr>
      <w:r>
        <w:rPr>
          <w:rFonts w:hint="eastAsia" w:ascii="仿宋" w:hAnsi="仿宋" w:eastAsia="仿宋" w:cs="仿宋"/>
          <w:spacing w:val="-2"/>
          <w:sz w:val="32"/>
          <w:szCs w:val="32"/>
          <w:lang w:eastAsia="zh-CN"/>
        </w:rPr>
        <w:t xml:space="preserve">纳入本套部门预算汇编范围的编制人数共88人，其中行政编制38人，事业编50人；在职人数82人，其中在职人员82人，退休人员82人、遗嘱6人。 </w:t>
      </w:r>
    </w:p>
    <w:p>
      <w:pPr>
        <w:widowControl w:val="0"/>
        <w:kinsoku/>
        <w:autoSpaceDE/>
        <w:autoSpaceDN/>
        <w:adjustRightInd/>
        <w:snapToGrid/>
        <w:jc w:val="center"/>
        <w:textAlignment w:val="auto"/>
        <w:rPr>
          <w:rFonts w:ascii="黑体" w:hAnsi="黑体" w:eastAsia="黑体" w:cs="黑体"/>
          <w:snapToGrid/>
          <w:kern w:val="2"/>
          <w:sz w:val="32"/>
          <w:szCs w:val="32"/>
        </w:rPr>
      </w:pPr>
      <w:r>
        <w:rPr>
          <w:rFonts w:hint="eastAsia" w:ascii="黑体" w:hAnsi="黑体" w:eastAsia="黑体" w:cs="黑体"/>
          <w:snapToGrid/>
          <w:kern w:val="2"/>
          <w:sz w:val="32"/>
          <w:szCs w:val="32"/>
        </w:rPr>
        <w:t>第二部分 浮梁县</w:t>
      </w:r>
      <w:r>
        <w:rPr>
          <w:rFonts w:hint="eastAsia" w:ascii="黑体" w:hAnsi="黑体" w:eastAsia="黑体" w:cs="黑体"/>
          <w:snapToGrid/>
          <w:kern w:val="2"/>
          <w:sz w:val="32"/>
          <w:szCs w:val="32"/>
          <w:lang w:eastAsia="zh-CN"/>
        </w:rPr>
        <w:t>农业农村</w:t>
      </w:r>
      <w:r>
        <w:rPr>
          <w:rFonts w:hint="eastAsia" w:ascii="黑体" w:hAnsi="黑体" w:eastAsia="黑体" w:cs="黑体"/>
          <w:snapToGrid/>
          <w:kern w:val="2"/>
          <w:sz w:val="32"/>
          <w:szCs w:val="32"/>
        </w:rPr>
        <w:t>局2023年部门预算表</w:t>
      </w:r>
    </w:p>
    <w:p>
      <w:pPr>
        <w:spacing w:before="215"/>
        <w:ind w:firstLine="3550"/>
        <w:rPr>
          <w:rFonts w:ascii="仿宋" w:hAnsi="仿宋" w:eastAsia="仿宋" w:cs="仿宋"/>
          <w:spacing w:val="17"/>
          <w:sz w:val="32"/>
          <w:szCs w:val="32"/>
        </w:rPr>
      </w:pPr>
      <w:r>
        <w:rPr>
          <w:rFonts w:ascii="仿宋" w:hAnsi="仿宋" w:eastAsia="仿宋" w:cs="仿宋"/>
          <w:spacing w:val="17"/>
          <w:sz w:val="32"/>
          <w:szCs w:val="32"/>
        </w:rPr>
        <w:t>(详见附表)</w:t>
      </w:r>
    </w:p>
    <w:p>
      <w:pPr>
        <w:spacing w:before="215"/>
        <w:ind w:firstLine="3550"/>
        <w:rPr>
          <w:rFonts w:ascii="仿宋" w:hAnsi="仿宋" w:eastAsia="仿宋" w:cs="仿宋"/>
          <w:spacing w:val="17"/>
          <w:sz w:val="32"/>
          <w:szCs w:val="32"/>
        </w:rPr>
      </w:pPr>
    </w:p>
    <w:p/>
    <w:p>
      <w:pPr>
        <w:widowControl w:val="0"/>
        <w:kinsoku/>
        <w:autoSpaceDE/>
        <w:autoSpaceDN/>
        <w:adjustRightInd/>
        <w:snapToGrid/>
        <w:jc w:val="center"/>
        <w:textAlignment w:val="auto"/>
      </w:pPr>
      <w:r>
        <w:rPr>
          <w:rFonts w:hint="eastAsia" w:ascii="黑体" w:hAnsi="黑体" w:eastAsia="黑体" w:cs="黑体"/>
          <w:snapToGrid/>
          <w:kern w:val="2"/>
          <w:sz w:val="32"/>
          <w:szCs w:val="32"/>
        </w:rPr>
        <w:t>第三部分 浮梁县农业农村局2023年部门预算情况说明</w:t>
      </w:r>
    </w:p>
    <w:p>
      <w:pPr>
        <w:spacing w:before="214"/>
        <w:ind w:firstLine="692" w:firstLineChars="200"/>
        <w:rPr>
          <w:rFonts w:ascii="楷体" w:hAnsi="楷体" w:eastAsia="楷体" w:cs="楷体"/>
          <w:spacing w:val="13"/>
          <w:sz w:val="32"/>
          <w:szCs w:val="32"/>
        </w:rPr>
      </w:pPr>
      <w:r>
        <w:rPr>
          <w:rFonts w:hint="eastAsia" w:ascii="楷体" w:hAnsi="楷体" w:eastAsia="楷体" w:cs="楷体"/>
          <w:spacing w:val="13"/>
          <w:sz w:val="32"/>
          <w:szCs w:val="32"/>
        </w:rPr>
        <w:t>一、2023年部门预算收支情况说明</w:t>
      </w:r>
    </w:p>
    <w:p>
      <w:pPr>
        <w:widowControl w:val="0"/>
        <w:kinsoku/>
        <w:autoSpaceDE/>
        <w:autoSpaceDN/>
        <w:adjustRightInd/>
        <w:snapToGrid/>
        <w:ind w:firstLine="640" w:firstLineChars="200"/>
        <w:jc w:val="both"/>
        <w:textAlignment w:val="auto"/>
        <w:rPr>
          <w:rFonts w:ascii="仿宋_GB2312" w:hAnsi="Times New Roman" w:eastAsia="仿宋_GB2312" w:cs="Times New Roman"/>
          <w:snapToGrid/>
          <w:kern w:val="2"/>
          <w:sz w:val="32"/>
          <w:szCs w:val="32"/>
        </w:rPr>
      </w:pPr>
      <w:r>
        <w:rPr>
          <w:rFonts w:hint="eastAsia" w:ascii="仿宋_GB2312" w:hAnsi="Times New Roman" w:eastAsia="仿宋_GB2312" w:cs="Times New Roman"/>
          <w:snapToGrid/>
          <w:kern w:val="2"/>
          <w:sz w:val="32"/>
          <w:szCs w:val="32"/>
        </w:rPr>
        <w:t>(一)收入预算情况</w:t>
      </w:r>
    </w:p>
    <w:p>
      <w:pPr>
        <w:keepNext w:val="0"/>
        <w:keepLines w:val="0"/>
        <w:pageBreakBefore w:val="0"/>
        <w:wordWrap/>
        <w:overflowPunct/>
        <w:topLinePunct w:val="0"/>
        <w:bidi w:val="0"/>
        <w:spacing w:line="600" w:lineRule="exact"/>
        <w:ind w:firstLine="640" w:firstLineChars="200"/>
        <w:rPr>
          <w:rFonts w:ascii="仿宋" w:hAnsi="仿宋" w:eastAsia="仿宋" w:cs="Arial"/>
          <w:color w:val="FF0000"/>
          <w:sz w:val="32"/>
          <w:szCs w:val="32"/>
          <w:u w:val="single"/>
        </w:rPr>
      </w:pPr>
      <w:r>
        <w:rPr>
          <w:rFonts w:hint="eastAsia" w:ascii="仿宋" w:hAnsi="仿宋" w:eastAsia="仿宋" w:cs="Arial"/>
          <w:sz w:val="32"/>
          <w:szCs w:val="32"/>
        </w:rPr>
        <w:t>202</w:t>
      </w:r>
      <w:r>
        <w:rPr>
          <w:rFonts w:hint="eastAsia" w:ascii="仿宋" w:hAnsi="仿宋" w:eastAsia="仿宋" w:cs="Arial"/>
          <w:sz w:val="32"/>
          <w:szCs w:val="32"/>
          <w:lang w:val="en-US" w:eastAsia="zh-CN"/>
        </w:rPr>
        <w:t>3</w:t>
      </w:r>
      <w:r>
        <w:rPr>
          <w:rFonts w:hint="eastAsia" w:ascii="仿宋" w:hAnsi="仿宋" w:eastAsia="仿宋" w:cs="Arial"/>
          <w:sz w:val="32"/>
          <w:szCs w:val="32"/>
        </w:rPr>
        <w:t>年收入预算总额</w:t>
      </w:r>
      <w:r>
        <w:rPr>
          <w:rFonts w:hint="eastAsia" w:ascii="仿宋" w:hAnsi="仿宋" w:eastAsia="仿宋" w:cs="Arial"/>
          <w:sz w:val="32"/>
          <w:szCs w:val="32"/>
          <w:lang w:val="en-US" w:eastAsia="zh-CN"/>
        </w:rPr>
        <w:t>3090.03</w:t>
      </w:r>
      <w:r>
        <w:rPr>
          <w:rFonts w:hint="eastAsia" w:ascii="仿宋" w:hAnsi="仿宋" w:eastAsia="仿宋" w:cs="Arial"/>
          <w:sz w:val="32"/>
          <w:szCs w:val="32"/>
        </w:rPr>
        <w:t>万元，其中公共财政拨款收入</w:t>
      </w:r>
      <w:r>
        <w:rPr>
          <w:rFonts w:hint="eastAsia" w:ascii="仿宋" w:hAnsi="仿宋" w:eastAsia="仿宋" w:cs="Arial"/>
          <w:sz w:val="32"/>
          <w:szCs w:val="32"/>
          <w:lang w:val="en-US" w:eastAsia="zh-CN"/>
        </w:rPr>
        <w:t>3090.03</w:t>
      </w:r>
      <w:r>
        <w:rPr>
          <w:rFonts w:hint="eastAsia" w:ascii="仿宋" w:hAnsi="仿宋" w:eastAsia="仿宋" w:cs="Arial"/>
          <w:sz w:val="32"/>
          <w:szCs w:val="32"/>
        </w:rPr>
        <w:t>万元，财政拨款结转0万元。预算总额比去年</w:t>
      </w:r>
      <w:r>
        <w:rPr>
          <w:rFonts w:hint="eastAsia" w:ascii="仿宋" w:hAnsi="仿宋" w:eastAsia="仿宋" w:cs="Arial"/>
          <w:sz w:val="32"/>
          <w:szCs w:val="32"/>
          <w:lang w:eastAsia="zh-CN"/>
        </w:rPr>
        <w:t>增加</w:t>
      </w:r>
      <w:r>
        <w:rPr>
          <w:rFonts w:hint="eastAsia" w:ascii="仿宋" w:hAnsi="仿宋" w:eastAsia="仿宋" w:cs="Arial"/>
          <w:sz w:val="32"/>
          <w:szCs w:val="32"/>
          <w:lang w:val="en-US" w:eastAsia="zh-CN"/>
        </w:rPr>
        <w:t>1702.78</w:t>
      </w:r>
      <w:r>
        <w:rPr>
          <w:rFonts w:hint="eastAsia" w:ascii="仿宋" w:hAnsi="仿宋" w:eastAsia="仿宋" w:cs="Arial"/>
          <w:sz w:val="32"/>
          <w:szCs w:val="32"/>
        </w:rPr>
        <w:t>万元，主要</w:t>
      </w:r>
      <w:r>
        <w:rPr>
          <w:rFonts w:hint="eastAsia" w:ascii="仿宋" w:hAnsi="仿宋" w:eastAsia="仿宋" w:cs="Arial"/>
          <w:sz w:val="32"/>
          <w:szCs w:val="32"/>
          <w:lang w:eastAsia="zh-CN"/>
        </w:rPr>
        <w:t>原因一是粮食局合并至农业农村局，人员增加，二是在职及退休人员绩效工资列入预算，三是增加项目资金列入当年预算中</w:t>
      </w:r>
      <w:r>
        <w:rPr>
          <w:rFonts w:hint="eastAsia" w:ascii="仿宋" w:hAnsi="仿宋" w:eastAsia="仿宋" w:cs="Arial"/>
          <w:sz w:val="32"/>
          <w:szCs w:val="32"/>
        </w:rPr>
        <w:t>。</w:t>
      </w:r>
    </w:p>
    <w:p>
      <w:pPr>
        <w:widowControl w:val="0"/>
        <w:kinsoku/>
        <w:autoSpaceDE/>
        <w:autoSpaceDN/>
        <w:adjustRightInd/>
        <w:snapToGrid/>
        <w:ind w:firstLine="640" w:firstLineChars="200"/>
        <w:jc w:val="both"/>
        <w:textAlignment w:val="auto"/>
        <w:rPr>
          <w:rFonts w:ascii="仿宋_GB2312" w:hAnsi="Times New Roman" w:eastAsia="仿宋_GB2312" w:cs="Times New Roman"/>
          <w:snapToGrid/>
          <w:kern w:val="2"/>
          <w:sz w:val="32"/>
          <w:szCs w:val="32"/>
        </w:rPr>
      </w:pPr>
      <w:r>
        <w:rPr>
          <w:rFonts w:hint="eastAsia" w:ascii="仿宋_GB2312" w:hAnsi="Times New Roman" w:eastAsia="仿宋_GB2312" w:cs="Times New Roman"/>
          <w:snapToGrid/>
          <w:kern w:val="2"/>
          <w:sz w:val="32"/>
          <w:szCs w:val="32"/>
        </w:rPr>
        <w:t>(二)支出预算情况</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202</w:t>
      </w:r>
      <w:r>
        <w:rPr>
          <w:rFonts w:hint="eastAsia" w:ascii="仿宋" w:hAnsi="仿宋" w:eastAsia="仿宋" w:cs="Arial"/>
          <w:sz w:val="32"/>
          <w:szCs w:val="32"/>
          <w:lang w:val="en-US" w:eastAsia="zh-CN"/>
        </w:rPr>
        <w:t>3</w:t>
      </w:r>
      <w:r>
        <w:rPr>
          <w:rFonts w:hint="eastAsia" w:ascii="仿宋" w:hAnsi="仿宋" w:eastAsia="仿宋" w:cs="Arial"/>
          <w:sz w:val="32"/>
          <w:szCs w:val="32"/>
        </w:rPr>
        <w:t>年支出预算总额为</w:t>
      </w:r>
      <w:r>
        <w:rPr>
          <w:rFonts w:hint="eastAsia" w:ascii="仿宋" w:hAnsi="仿宋" w:eastAsia="仿宋" w:cs="Arial"/>
          <w:sz w:val="32"/>
          <w:szCs w:val="32"/>
          <w:lang w:val="en-US" w:eastAsia="zh-CN"/>
        </w:rPr>
        <w:t>3090.03</w:t>
      </w:r>
      <w:r>
        <w:rPr>
          <w:rFonts w:hint="eastAsia" w:ascii="仿宋" w:hAnsi="仿宋" w:eastAsia="仿宋" w:cs="Arial"/>
          <w:sz w:val="32"/>
          <w:szCs w:val="32"/>
        </w:rPr>
        <w:t>万元，比去年支出</w:t>
      </w:r>
      <w:r>
        <w:rPr>
          <w:rFonts w:hint="eastAsia" w:ascii="仿宋" w:hAnsi="仿宋" w:eastAsia="仿宋" w:cs="Arial"/>
          <w:sz w:val="32"/>
          <w:szCs w:val="32"/>
          <w:lang w:eastAsia="zh-CN"/>
        </w:rPr>
        <w:t>增加</w:t>
      </w:r>
      <w:r>
        <w:rPr>
          <w:rFonts w:hint="eastAsia" w:ascii="仿宋" w:hAnsi="仿宋" w:eastAsia="仿宋" w:cs="Arial"/>
          <w:sz w:val="32"/>
          <w:szCs w:val="32"/>
          <w:lang w:val="en-US" w:eastAsia="zh-CN"/>
        </w:rPr>
        <w:t>1702.78</w:t>
      </w:r>
      <w:r>
        <w:rPr>
          <w:rFonts w:hint="eastAsia" w:ascii="仿宋" w:hAnsi="仿宋" w:eastAsia="仿宋" w:cs="Arial"/>
          <w:sz w:val="32"/>
          <w:szCs w:val="32"/>
        </w:rPr>
        <w:t>万元，主要原因一是粮食局合并至农业农村局，人员增加，二是在职及退休人员绩效工资列入预算，三是增加项目资金列入当年预算中。</w:t>
      </w:r>
    </w:p>
    <w:p>
      <w:pPr>
        <w:keepNext w:val="0"/>
        <w:keepLines w:val="0"/>
        <w:pageBreakBefore w:val="0"/>
        <w:wordWrap/>
        <w:overflowPunct/>
        <w:topLinePunct w:val="0"/>
        <w:bidi w:val="0"/>
        <w:spacing w:line="600" w:lineRule="exact"/>
        <w:ind w:firstLine="640" w:firstLineChars="200"/>
        <w:rPr>
          <w:rFonts w:hint="eastAsia" w:ascii="仿宋_GB2312" w:hAnsi="Times New Roman" w:eastAsia="仿宋_GB2312" w:cs="Times New Roman"/>
          <w:snapToGrid/>
          <w:kern w:val="2"/>
          <w:sz w:val="32"/>
          <w:szCs w:val="32"/>
        </w:rPr>
      </w:pPr>
      <w:r>
        <w:rPr>
          <w:rFonts w:hint="eastAsia" w:ascii="仿宋" w:hAnsi="仿宋" w:eastAsia="仿宋" w:cs="Arial"/>
          <w:sz w:val="32"/>
          <w:szCs w:val="32"/>
        </w:rPr>
        <w:t>按支出项目类别划分：基本支出</w:t>
      </w:r>
      <w:r>
        <w:rPr>
          <w:rFonts w:hint="eastAsia" w:ascii="仿宋" w:hAnsi="仿宋" w:eastAsia="仿宋" w:cs="Arial"/>
          <w:sz w:val="32"/>
          <w:szCs w:val="32"/>
          <w:lang w:val="en-US" w:eastAsia="zh-CN"/>
        </w:rPr>
        <w:t>1701.76</w:t>
      </w:r>
      <w:r>
        <w:rPr>
          <w:rFonts w:hint="eastAsia" w:ascii="仿宋" w:hAnsi="仿宋" w:eastAsia="仿宋" w:cs="Arial"/>
          <w:sz w:val="32"/>
          <w:szCs w:val="32"/>
        </w:rPr>
        <w:t>万元，项目支出</w:t>
      </w:r>
      <w:r>
        <w:rPr>
          <w:rFonts w:hint="eastAsia" w:ascii="仿宋" w:hAnsi="仿宋" w:eastAsia="仿宋" w:cs="Arial"/>
          <w:sz w:val="32"/>
          <w:szCs w:val="32"/>
          <w:lang w:val="en-US" w:eastAsia="zh-CN"/>
        </w:rPr>
        <w:t>1388.27</w:t>
      </w:r>
      <w:r>
        <w:rPr>
          <w:rFonts w:hint="eastAsia" w:ascii="仿宋" w:hAnsi="仿宋" w:eastAsia="仿宋" w:cs="Arial"/>
          <w:sz w:val="32"/>
          <w:szCs w:val="32"/>
        </w:rPr>
        <w:t>万元</w:t>
      </w:r>
      <w:r>
        <w:rPr>
          <w:rFonts w:hint="eastAsia" w:ascii="仿宋_GB2312" w:hAnsi="Times New Roman" w:eastAsia="仿宋_GB2312" w:cs="Times New Roman"/>
          <w:snapToGrid/>
          <w:kern w:val="2"/>
          <w:sz w:val="32"/>
          <w:szCs w:val="32"/>
        </w:rPr>
        <w:t>。</w:t>
      </w:r>
    </w:p>
    <w:p>
      <w:pPr>
        <w:keepNext w:val="0"/>
        <w:keepLines w:val="0"/>
        <w:pageBreakBefore w:val="0"/>
        <w:wordWrap/>
        <w:overflowPunct/>
        <w:topLinePunct w:val="0"/>
        <w:bidi w:val="0"/>
        <w:spacing w:line="600" w:lineRule="exact"/>
        <w:ind w:firstLine="640" w:firstLineChars="200"/>
        <w:rPr>
          <w:rFonts w:hint="default" w:ascii="仿宋" w:hAnsi="仿宋" w:eastAsia="仿宋" w:cs="Arial"/>
          <w:sz w:val="32"/>
          <w:szCs w:val="32"/>
          <w:lang w:val="en-US" w:eastAsia="zh-CN"/>
        </w:rPr>
      </w:pPr>
      <w:r>
        <w:rPr>
          <w:rFonts w:hint="eastAsia" w:ascii="仿宋" w:hAnsi="仿宋" w:eastAsia="仿宋" w:cs="Arial"/>
          <w:sz w:val="32"/>
          <w:szCs w:val="32"/>
        </w:rPr>
        <w:t>按支出功能科目分类：</w:t>
      </w:r>
      <w:r>
        <w:rPr>
          <w:rFonts w:hint="eastAsia" w:ascii="仿宋" w:hAnsi="仿宋" w:eastAsia="仿宋" w:cs="Arial"/>
          <w:sz w:val="32"/>
          <w:szCs w:val="32"/>
          <w:lang w:eastAsia="zh-CN"/>
        </w:rPr>
        <w:t>机关事业单位基本养老保险缴费支出</w:t>
      </w:r>
      <w:r>
        <w:rPr>
          <w:rFonts w:hint="eastAsia" w:ascii="仿宋" w:hAnsi="仿宋" w:eastAsia="仿宋" w:cs="Arial"/>
          <w:sz w:val="32"/>
          <w:szCs w:val="32"/>
          <w:lang w:val="en-US" w:eastAsia="zh-CN"/>
        </w:rPr>
        <w:t>136.42万元；机关事业单位职业年金缴费68.21万元；行政单位医疗18.72万元；事业单位医疗28.51万元；其他行政事业单位医疗支出1.33万元；行政运行553.71万元；一般行政管理事务548.77万元；事业运行904.47万元；科技转化与推广服务10万元；病虫害控制20万元；农业生产发展353万元；农业资源保护修复与利用334.02万元；住房公积金112.88万元。</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按经济功能科目分类：工资福利支出</w:t>
      </w:r>
      <w:r>
        <w:rPr>
          <w:rFonts w:hint="eastAsia" w:ascii="仿宋" w:hAnsi="仿宋" w:eastAsia="仿宋" w:cs="Arial"/>
          <w:sz w:val="32"/>
          <w:szCs w:val="32"/>
          <w:lang w:val="en-US" w:eastAsia="zh-CN"/>
        </w:rPr>
        <w:t>1578.89</w:t>
      </w:r>
      <w:r>
        <w:rPr>
          <w:rFonts w:hint="eastAsia" w:ascii="仿宋" w:hAnsi="仿宋" w:eastAsia="仿宋" w:cs="Arial"/>
          <w:sz w:val="32"/>
          <w:szCs w:val="32"/>
        </w:rPr>
        <w:t>万元，商品服务支出</w:t>
      </w:r>
      <w:r>
        <w:rPr>
          <w:rFonts w:hint="eastAsia" w:ascii="仿宋" w:hAnsi="仿宋" w:eastAsia="仿宋" w:cs="Arial"/>
          <w:sz w:val="32"/>
          <w:szCs w:val="32"/>
          <w:lang w:val="en-US" w:eastAsia="zh-CN"/>
        </w:rPr>
        <w:t>115.86</w:t>
      </w:r>
      <w:r>
        <w:rPr>
          <w:rFonts w:hint="eastAsia" w:ascii="仿宋" w:hAnsi="仿宋" w:eastAsia="仿宋" w:cs="Arial"/>
          <w:sz w:val="32"/>
          <w:szCs w:val="32"/>
        </w:rPr>
        <w:t>万元，对个人和家庭补助支出</w:t>
      </w:r>
      <w:r>
        <w:rPr>
          <w:rFonts w:hint="eastAsia" w:ascii="仿宋" w:hAnsi="仿宋" w:eastAsia="仿宋" w:cs="Arial"/>
          <w:sz w:val="32"/>
          <w:szCs w:val="32"/>
          <w:lang w:val="en-US" w:eastAsia="zh-CN"/>
        </w:rPr>
        <w:t>7</w:t>
      </w:r>
      <w:r>
        <w:rPr>
          <w:rFonts w:hint="eastAsia" w:ascii="仿宋" w:hAnsi="仿宋" w:eastAsia="仿宋" w:cs="Arial"/>
          <w:sz w:val="32"/>
          <w:szCs w:val="32"/>
        </w:rPr>
        <w:t>万元。项目支出</w:t>
      </w:r>
      <w:r>
        <w:rPr>
          <w:rFonts w:hint="eastAsia" w:ascii="仿宋" w:hAnsi="仿宋" w:eastAsia="仿宋" w:cs="Arial"/>
          <w:sz w:val="32"/>
          <w:szCs w:val="32"/>
          <w:lang w:val="en-US" w:eastAsia="zh-CN"/>
        </w:rPr>
        <w:t>1388.27</w:t>
      </w:r>
      <w:r>
        <w:rPr>
          <w:rFonts w:hint="eastAsia" w:ascii="仿宋" w:hAnsi="仿宋" w:eastAsia="仿宋" w:cs="Arial"/>
          <w:sz w:val="32"/>
          <w:szCs w:val="32"/>
        </w:rPr>
        <w:t>万元。</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(三)财政拨款支出情况</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202</w:t>
      </w:r>
      <w:r>
        <w:rPr>
          <w:rFonts w:hint="eastAsia" w:ascii="仿宋" w:hAnsi="仿宋" w:eastAsia="仿宋" w:cs="Arial"/>
          <w:sz w:val="32"/>
          <w:szCs w:val="32"/>
          <w:lang w:val="en-US" w:eastAsia="zh-CN"/>
        </w:rPr>
        <w:t>3</w:t>
      </w:r>
      <w:r>
        <w:rPr>
          <w:rFonts w:hint="eastAsia" w:ascii="仿宋" w:hAnsi="仿宋" w:eastAsia="仿宋" w:cs="Arial"/>
          <w:sz w:val="32"/>
          <w:szCs w:val="32"/>
        </w:rPr>
        <w:t>年公共财政拨款支出预算为</w:t>
      </w:r>
      <w:r>
        <w:rPr>
          <w:rFonts w:hint="eastAsia" w:ascii="仿宋" w:hAnsi="仿宋" w:eastAsia="仿宋" w:cs="Arial"/>
          <w:sz w:val="32"/>
          <w:szCs w:val="32"/>
          <w:lang w:val="en-US" w:eastAsia="zh-CN"/>
        </w:rPr>
        <w:t>3090.03</w:t>
      </w:r>
      <w:r>
        <w:rPr>
          <w:rFonts w:hint="eastAsia" w:ascii="仿宋" w:hAnsi="仿宋" w:eastAsia="仿宋" w:cs="Arial"/>
          <w:sz w:val="32"/>
          <w:szCs w:val="32"/>
        </w:rPr>
        <w:t>万元，较上年增加</w:t>
      </w:r>
      <w:r>
        <w:rPr>
          <w:rFonts w:hint="eastAsia" w:ascii="仿宋" w:hAnsi="仿宋" w:eastAsia="仿宋" w:cs="Arial"/>
          <w:sz w:val="32"/>
          <w:szCs w:val="32"/>
          <w:lang w:val="en-US" w:eastAsia="zh-CN"/>
        </w:rPr>
        <w:t>1702.78万元</w:t>
      </w:r>
      <w:r>
        <w:rPr>
          <w:rFonts w:hint="eastAsia" w:ascii="仿宋" w:hAnsi="仿宋" w:eastAsia="仿宋" w:cs="Arial"/>
          <w:sz w:val="32"/>
          <w:szCs w:val="32"/>
        </w:rPr>
        <w:t>。按支出项目类别划分：基本支出</w:t>
      </w:r>
      <w:r>
        <w:rPr>
          <w:rFonts w:hint="eastAsia" w:ascii="仿宋" w:hAnsi="仿宋" w:eastAsia="仿宋" w:cs="Arial"/>
          <w:sz w:val="32"/>
          <w:szCs w:val="32"/>
          <w:lang w:val="en-US" w:eastAsia="zh-CN"/>
        </w:rPr>
        <w:t>1701.76</w:t>
      </w:r>
      <w:r>
        <w:rPr>
          <w:rFonts w:hint="eastAsia" w:ascii="仿宋" w:hAnsi="仿宋" w:eastAsia="仿宋" w:cs="Arial"/>
          <w:sz w:val="32"/>
          <w:szCs w:val="32"/>
        </w:rPr>
        <w:t>万元，较上年增加</w:t>
      </w:r>
      <w:r>
        <w:rPr>
          <w:rFonts w:hint="eastAsia" w:ascii="仿宋" w:hAnsi="仿宋" w:eastAsia="仿宋" w:cs="Arial"/>
          <w:sz w:val="32"/>
          <w:szCs w:val="32"/>
          <w:lang w:val="en-US" w:eastAsia="zh-CN"/>
        </w:rPr>
        <w:t>348.1</w:t>
      </w:r>
      <w:r>
        <w:rPr>
          <w:rFonts w:hint="eastAsia" w:ascii="仿宋" w:hAnsi="仿宋" w:eastAsia="仿宋" w:cs="Arial"/>
          <w:sz w:val="32"/>
          <w:szCs w:val="32"/>
        </w:rPr>
        <w:t>万元。其中：工资福利支出</w:t>
      </w:r>
      <w:r>
        <w:rPr>
          <w:rFonts w:hint="eastAsia" w:ascii="仿宋" w:hAnsi="仿宋" w:eastAsia="仿宋" w:cs="Arial"/>
          <w:sz w:val="32"/>
          <w:szCs w:val="32"/>
          <w:lang w:val="en-US" w:eastAsia="zh-CN"/>
        </w:rPr>
        <w:t>1578.89</w:t>
      </w:r>
      <w:r>
        <w:rPr>
          <w:rFonts w:hint="eastAsia" w:ascii="仿宋" w:hAnsi="仿宋" w:eastAsia="仿宋" w:cs="Arial"/>
          <w:sz w:val="32"/>
          <w:szCs w:val="32"/>
        </w:rPr>
        <w:t>万元，商品和服务支出</w:t>
      </w:r>
      <w:r>
        <w:rPr>
          <w:rFonts w:hint="eastAsia" w:ascii="仿宋" w:hAnsi="仿宋" w:eastAsia="仿宋" w:cs="Arial"/>
          <w:sz w:val="32"/>
          <w:szCs w:val="32"/>
          <w:lang w:val="en-US" w:eastAsia="zh-CN"/>
        </w:rPr>
        <w:t>115.86</w:t>
      </w:r>
      <w:r>
        <w:rPr>
          <w:rFonts w:hint="eastAsia" w:ascii="仿宋" w:hAnsi="仿宋" w:eastAsia="仿宋" w:cs="Arial"/>
          <w:sz w:val="32"/>
          <w:szCs w:val="32"/>
        </w:rPr>
        <w:t>万元，对个人和家庭的补助</w:t>
      </w:r>
      <w:r>
        <w:rPr>
          <w:rFonts w:hint="eastAsia" w:ascii="仿宋" w:hAnsi="仿宋" w:eastAsia="仿宋" w:cs="Arial"/>
          <w:sz w:val="32"/>
          <w:szCs w:val="32"/>
          <w:lang w:val="en-US" w:eastAsia="zh-CN"/>
        </w:rPr>
        <w:t>7</w:t>
      </w:r>
      <w:r>
        <w:rPr>
          <w:rFonts w:hint="eastAsia" w:ascii="仿宋" w:hAnsi="仿宋" w:eastAsia="仿宋" w:cs="Arial"/>
          <w:sz w:val="32"/>
          <w:szCs w:val="32"/>
        </w:rPr>
        <w:t>万元。项目支出</w:t>
      </w:r>
      <w:r>
        <w:rPr>
          <w:rFonts w:hint="eastAsia" w:ascii="仿宋" w:hAnsi="仿宋" w:eastAsia="仿宋" w:cs="Arial"/>
          <w:sz w:val="32"/>
          <w:szCs w:val="32"/>
          <w:lang w:val="en-US" w:eastAsia="zh-CN"/>
        </w:rPr>
        <w:t>1388.27</w:t>
      </w:r>
      <w:r>
        <w:rPr>
          <w:rFonts w:hint="eastAsia" w:ascii="仿宋" w:hAnsi="仿宋" w:eastAsia="仿宋" w:cs="Arial"/>
          <w:sz w:val="32"/>
          <w:szCs w:val="32"/>
        </w:rPr>
        <w:t>万元，较上年</w:t>
      </w:r>
      <w:r>
        <w:rPr>
          <w:rFonts w:hint="eastAsia" w:ascii="仿宋" w:hAnsi="仿宋" w:eastAsia="仿宋" w:cs="Arial"/>
          <w:sz w:val="32"/>
          <w:szCs w:val="32"/>
          <w:lang w:eastAsia="zh-CN"/>
        </w:rPr>
        <w:t>增加</w:t>
      </w:r>
      <w:r>
        <w:rPr>
          <w:rFonts w:hint="eastAsia" w:ascii="仿宋" w:hAnsi="仿宋" w:eastAsia="仿宋" w:cs="Arial"/>
          <w:sz w:val="32"/>
          <w:szCs w:val="32"/>
          <w:lang w:val="en-US" w:eastAsia="zh-CN"/>
        </w:rPr>
        <w:t>1354.68</w:t>
      </w:r>
      <w:r>
        <w:rPr>
          <w:rFonts w:hint="eastAsia" w:ascii="仿宋" w:hAnsi="仿宋" w:eastAsia="仿宋" w:cs="Arial"/>
          <w:sz w:val="32"/>
          <w:szCs w:val="32"/>
        </w:rPr>
        <w:t>万元。(四)政府性基金情况</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(四)政府性基金情况</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lang w:eastAsia="zh-CN"/>
        </w:rPr>
      </w:pPr>
      <w:r>
        <w:rPr>
          <w:rFonts w:hint="eastAsia" w:ascii="仿宋" w:hAnsi="仿宋" w:eastAsia="仿宋" w:cs="Arial"/>
          <w:sz w:val="32"/>
          <w:szCs w:val="32"/>
        </w:rPr>
        <w:t>2023年无政府性基金</w:t>
      </w:r>
      <w:r>
        <w:rPr>
          <w:rFonts w:hint="eastAsia" w:ascii="仿宋" w:hAnsi="仿宋" w:eastAsia="仿宋" w:cs="Arial"/>
          <w:sz w:val="32"/>
          <w:szCs w:val="32"/>
          <w:lang w:eastAsia="zh-CN"/>
        </w:rPr>
        <w:t>。</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(五)国有资本经营情况</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202</w:t>
      </w:r>
      <w:r>
        <w:rPr>
          <w:rFonts w:hint="eastAsia" w:ascii="仿宋" w:hAnsi="仿宋" w:eastAsia="仿宋" w:cs="Arial"/>
          <w:sz w:val="32"/>
          <w:szCs w:val="32"/>
          <w:lang w:val="en-US" w:eastAsia="zh-CN"/>
        </w:rPr>
        <w:t>3</w:t>
      </w:r>
      <w:r>
        <w:rPr>
          <w:rFonts w:hint="eastAsia" w:ascii="仿宋" w:hAnsi="仿宋" w:eastAsia="仿宋" w:cs="Arial"/>
          <w:sz w:val="32"/>
          <w:szCs w:val="32"/>
        </w:rPr>
        <w:t>年</w:t>
      </w:r>
      <w:r>
        <w:rPr>
          <w:rFonts w:hint="eastAsia" w:ascii="仿宋" w:hAnsi="仿宋" w:eastAsia="仿宋" w:cs="Arial"/>
          <w:sz w:val="32"/>
          <w:szCs w:val="32"/>
          <w:lang w:eastAsia="zh-CN"/>
        </w:rPr>
        <w:t>无</w:t>
      </w:r>
      <w:r>
        <w:rPr>
          <w:rFonts w:hint="eastAsia" w:ascii="仿宋" w:hAnsi="仿宋" w:eastAsia="仿宋" w:cs="Arial"/>
          <w:sz w:val="32"/>
          <w:szCs w:val="32"/>
        </w:rPr>
        <w:t>国有资本经营情况预算支出。</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(六)机关运行经费等重要事项的说明</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2023年部门机关运行费预算</w:t>
      </w:r>
      <w:r>
        <w:rPr>
          <w:rFonts w:hint="eastAsia" w:ascii="仿宋" w:hAnsi="仿宋" w:eastAsia="仿宋" w:cs="Arial"/>
          <w:sz w:val="32"/>
          <w:szCs w:val="32"/>
          <w:lang w:val="en-US" w:eastAsia="zh-CN"/>
        </w:rPr>
        <w:t>115.86</w:t>
      </w:r>
      <w:r>
        <w:rPr>
          <w:rFonts w:hint="eastAsia" w:ascii="仿宋" w:hAnsi="仿宋" w:eastAsia="仿宋" w:cs="Arial"/>
          <w:sz w:val="32"/>
          <w:szCs w:val="32"/>
        </w:rPr>
        <w:t>元，比2022年预算增加</w:t>
      </w:r>
      <w:r>
        <w:rPr>
          <w:rFonts w:hint="eastAsia" w:ascii="仿宋" w:hAnsi="仿宋" w:eastAsia="仿宋" w:cs="Arial"/>
          <w:sz w:val="32"/>
          <w:szCs w:val="32"/>
          <w:lang w:val="en-US" w:eastAsia="zh-CN"/>
        </w:rPr>
        <w:t>0.92</w:t>
      </w:r>
      <w:r>
        <w:rPr>
          <w:rFonts w:hint="eastAsia" w:ascii="仿宋" w:hAnsi="仿宋" w:eastAsia="仿宋" w:cs="Arial"/>
          <w:sz w:val="32"/>
          <w:szCs w:val="32"/>
        </w:rPr>
        <w:t>万元，增长</w:t>
      </w:r>
      <w:r>
        <w:rPr>
          <w:rFonts w:hint="eastAsia" w:ascii="仿宋" w:hAnsi="仿宋" w:eastAsia="仿宋" w:cs="Arial"/>
          <w:sz w:val="32"/>
          <w:szCs w:val="32"/>
          <w:lang w:val="en-US" w:eastAsia="zh-CN"/>
        </w:rPr>
        <w:t>0.8</w:t>
      </w:r>
      <w:r>
        <w:rPr>
          <w:rFonts w:hint="eastAsia" w:ascii="仿宋" w:hAnsi="仿宋" w:eastAsia="仿宋" w:cs="Arial"/>
          <w:sz w:val="32"/>
          <w:szCs w:val="32"/>
        </w:rPr>
        <w:t>%。</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按照财政部《地方预决算公开操作规程》明确的口径，机关运行费指各部门的公用经费，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(七)政府采购情况</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2023年部门所属各单位政府采购总额</w:t>
      </w:r>
      <w:r>
        <w:rPr>
          <w:rFonts w:hint="eastAsia" w:ascii="仿宋" w:hAnsi="仿宋" w:eastAsia="仿宋" w:cs="Arial"/>
          <w:sz w:val="32"/>
          <w:szCs w:val="32"/>
          <w:lang w:val="en-US" w:eastAsia="zh-CN"/>
        </w:rPr>
        <w:t>0</w:t>
      </w:r>
      <w:r>
        <w:rPr>
          <w:rFonts w:hint="eastAsia" w:ascii="仿宋" w:hAnsi="仿宋" w:eastAsia="仿宋" w:cs="Arial"/>
          <w:sz w:val="32"/>
          <w:szCs w:val="32"/>
        </w:rPr>
        <w:t>万元，其中:政府采购货物预算</w:t>
      </w:r>
      <w:r>
        <w:rPr>
          <w:rFonts w:hint="eastAsia" w:ascii="仿宋" w:hAnsi="仿宋" w:eastAsia="仿宋" w:cs="Arial"/>
          <w:sz w:val="32"/>
          <w:szCs w:val="32"/>
          <w:lang w:val="en-US" w:eastAsia="zh-CN"/>
        </w:rPr>
        <w:t>0</w:t>
      </w:r>
      <w:r>
        <w:rPr>
          <w:rFonts w:hint="eastAsia" w:ascii="仿宋" w:hAnsi="仿宋" w:eastAsia="仿宋" w:cs="Arial"/>
          <w:sz w:val="32"/>
          <w:szCs w:val="32"/>
        </w:rPr>
        <w:t>万元、政府采购工程预算</w:t>
      </w:r>
      <w:r>
        <w:rPr>
          <w:rFonts w:hint="eastAsia" w:ascii="仿宋" w:hAnsi="仿宋" w:eastAsia="仿宋" w:cs="Arial"/>
          <w:sz w:val="32"/>
          <w:szCs w:val="32"/>
          <w:lang w:val="en-US" w:eastAsia="zh-CN"/>
        </w:rPr>
        <w:t>0</w:t>
      </w:r>
      <w:r>
        <w:rPr>
          <w:rFonts w:hint="eastAsia" w:ascii="仿宋" w:hAnsi="仿宋" w:eastAsia="仿宋" w:cs="Arial"/>
          <w:sz w:val="32"/>
          <w:szCs w:val="32"/>
        </w:rPr>
        <w:t>万元、政府采购服务预算</w:t>
      </w:r>
      <w:r>
        <w:rPr>
          <w:rFonts w:hint="eastAsia" w:ascii="仿宋" w:hAnsi="仿宋" w:eastAsia="仿宋" w:cs="Arial"/>
          <w:sz w:val="32"/>
          <w:szCs w:val="32"/>
          <w:lang w:val="en-US" w:eastAsia="zh-CN"/>
        </w:rPr>
        <w:t>0</w:t>
      </w:r>
      <w:r>
        <w:rPr>
          <w:rFonts w:hint="eastAsia" w:ascii="仿宋" w:hAnsi="仿宋" w:eastAsia="仿宋" w:cs="Arial"/>
          <w:sz w:val="32"/>
          <w:szCs w:val="32"/>
        </w:rPr>
        <w:t>万元。</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(八)国有资产占有使用情况</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截至2022年12月31日，部门共有车辆</w:t>
      </w:r>
      <w:r>
        <w:rPr>
          <w:rFonts w:hint="eastAsia" w:ascii="仿宋" w:hAnsi="仿宋" w:eastAsia="仿宋" w:cs="Arial"/>
          <w:sz w:val="32"/>
          <w:szCs w:val="32"/>
          <w:lang w:val="en-US" w:eastAsia="zh-CN"/>
        </w:rPr>
        <w:t>2</w:t>
      </w:r>
      <w:r>
        <w:rPr>
          <w:rFonts w:hint="eastAsia" w:ascii="仿宋" w:hAnsi="仿宋" w:eastAsia="仿宋" w:cs="Arial"/>
          <w:sz w:val="32"/>
          <w:szCs w:val="32"/>
        </w:rPr>
        <w:t>辆，其中，一般公务用车</w:t>
      </w:r>
      <w:r>
        <w:rPr>
          <w:rFonts w:hint="eastAsia" w:ascii="仿宋" w:hAnsi="仿宋" w:eastAsia="仿宋" w:cs="Arial"/>
          <w:sz w:val="32"/>
          <w:szCs w:val="32"/>
          <w:lang w:val="en-US" w:eastAsia="zh-CN"/>
        </w:rPr>
        <w:t>1</w:t>
      </w:r>
      <w:r>
        <w:rPr>
          <w:rFonts w:hint="eastAsia" w:ascii="仿宋" w:hAnsi="仿宋" w:eastAsia="仿宋" w:cs="Arial"/>
          <w:sz w:val="32"/>
          <w:szCs w:val="32"/>
        </w:rPr>
        <w:t>辆，执法执勤用车</w:t>
      </w:r>
      <w:r>
        <w:rPr>
          <w:rFonts w:hint="eastAsia" w:ascii="仿宋" w:hAnsi="仿宋" w:eastAsia="仿宋" w:cs="Arial"/>
          <w:sz w:val="32"/>
          <w:szCs w:val="32"/>
          <w:lang w:val="en-US" w:eastAsia="zh-CN"/>
        </w:rPr>
        <w:t>1</w:t>
      </w:r>
      <w:r>
        <w:rPr>
          <w:rFonts w:hint="eastAsia" w:ascii="仿宋" w:hAnsi="仿宋" w:eastAsia="仿宋" w:cs="Arial"/>
          <w:sz w:val="32"/>
          <w:szCs w:val="32"/>
        </w:rPr>
        <w:t>辆。</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lang w:eastAsia="zh-CN"/>
        </w:rPr>
      </w:pPr>
      <w:r>
        <w:rPr>
          <w:rFonts w:hint="eastAsia" w:ascii="仿宋" w:hAnsi="仿宋" w:eastAsia="仿宋" w:cs="Arial"/>
          <w:sz w:val="32"/>
          <w:szCs w:val="32"/>
        </w:rPr>
        <w:t>2023年部门预算安排购置车辆</w:t>
      </w:r>
      <w:r>
        <w:rPr>
          <w:rFonts w:hint="eastAsia" w:ascii="仿宋" w:hAnsi="仿宋" w:eastAsia="仿宋" w:cs="Arial"/>
          <w:sz w:val="32"/>
          <w:szCs w:val="32"/>
          <w:lang w:val="en-US" w:eastAsia="zh-CN"/>
        </w:rPr>
        <w:t>0</w:t>
      </w:r>
      <w:r>
        <w:rPr>
          <w:rFonts w:hint="eastAsia" w:ascii="仿宋" w:hAnsi="仿宋" w:eastAsia="仿宋" w:cs="Arial"/>
          <w:sz w:val="32"/>
          <w:szCs w:val="32"/>
        </w:rPr>
        <w:t>辆</w:t>
      </w:r>
      <w:r>
        <w:rPr>
          <w:rFonts w:hint="eastAsia" w:ascii="仿宋" w:hAnsi="仿宋" w:eastAsia="仿宋" w:cs="Arial"/>
          <w:sz w:val="32"/>
          <w:szCs w:val="32"/>
          <w:lang w:eastAsia="zh-CN"/>
        </w:rPr>
        <w:t>。</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(九)项目情况说明</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lang w:val="en-US" w:eastAsia="zh-CN"/>
        </w:rPr>
      </w:pPr>
      <w:r>
        <w:rPr>
          <w:rFonts w:hint="eastAsia" w:ascii="仿宋" w:hAnsi="仿宋" w:eastAsia="仿宋" w:cs="Arial"/>
          <w:sz w:val="32"/>
          <w:szCs w:val="32"/>
        </w:rPr>
        <w:t>详见项目支出绩效目标表</w:t>
      </w:r>
      <w:r>
        <w:rPr>
          <w:rFonts w:hint="eastAsia" w:ascii="仿宋" w:hAnsi="仿宋" w:eastAsia="仿宋" w:cs="Arial"/>
          <w:sz w:val="32"/>
          <w:szCs w:val="32"/>
          <w:lang w:val="en-US" w:eastAsia="zh-CN"/>
        </w:rPr>
        <w:t>.</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二、2023年"三公”经费预算情况说明</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2023年</w:t>
      </w:r>
      <w:r>
        <w:rPr>
          <w:rFonts w:hint="eastAsia" w:ascii="仿宋" w:hAnsi="仿宋" w:eastAsia="仿宋" w:cs="Arial"/>
          <w:sz w:val="32"/>
          <w:szCs w:val="32"/>
          <w:lang w:eastAsia="zh-CN"/>
        </w:rPr>
        <w:t>浮梁县农业农村</w:t>
      </w:r>
      <w:r>
        <w:rPr>
          <w:rFonts w:hint="eastAsia" w:ascii="仿宋" w:hAnsi="仿宋" w:eastAsia="仿宋" w:cs="Arial"/>
          <w:sz w:val="32"/>
          <w:szCs w:val="32"/>
        </w:rPr>
        <w:t>局"三公"经费一般公共预算安排</w:t>
      </w:r>
      <w:r>
        <w:rPr>
          <w:rFonts w:hint="eastAsia" w:ascii="仿宋" w:hAnsi="仿宋" w:eastAsia="仿宋" w:cs="Arial"/>
          <w:sz w:val="32"/>
          <w:szCs w:val="32"/>
          <w:lang w:val="en-US" w:eastAsia="zh-CN"/>
        </w:rPr>
        <w:t>17.18</w:t>
      </w:r>
      <w:r>
        <w:rPr>
          <w:rFonts w:hint="eastAsia" w:ascii="仿宋" w:hAnsi="仿宋" w:eastAsia="仿宋" w:cs="Arial"/>
          <w:sz w:val="32"/>
          <w:szCs w:val="32"/>
        </w:rPr>
        <w:t>万元。其中:</w:t>
      </w:r>
      <w:bookmarkStart w:id="0" w:name="_GoBack"/>
      <w:bookmarkEnd w:id="0"/>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因公出国(境)费</w:t>
      </w:r>
      <w:r>
        <w:rPr>
          <w:rFonts w:hint="eastAsia" w:ascii="仿宋" w:hAnsi="仿宋" w:eastAsia="仿宋" w:cs="Arial"/>
          <w:sz w:val="32"/>
          <w:szCs w:val="32"/>
          <w:lang w:val="en-US" w:eastAsia="zh-CN"/>
        </w:rPr>
        <w:t>0</w:t>
      </w:r>
      <w:r>
        <w:rPr>
          <w:rFonts w:hint="eastAsia" w:ascii="仿宋" w:hAnsi="仿宋" w:eastAsia="仿宋" w:cs="Arial"/>
          <w:sz w:val="32"/>
          <w:szCs w:val="32"/>
        </w:rPr>
        <w:t>万元，</w:t>
      </w:r>
      <w:r>
        <w:rPr>
          <w:rFonts w:hint="eastAsia" w:ascii="仿宋" w:hAnsi="仿宋" w:eastAsia="仿宋" w:cs="Arial"/>
          <w:sz w:val="32"/>
          <w:szCs w:val="32"/>
          <w:lang w:eastAsia="zh-CN"/>
        </w:rPr>
        <w:t>较上年无变动</w:t>
      </w:r>
      <w:r>
        <w:rPr>
          <w:rFonts w:hint="eastAsia" w:ascii="仿宋" w:hAnsi="仿宋" w:eastAsia="仿宋" w:cs="Arial"/>
          <w:sz w:val="32"/>
          <w:szCs w:val="32"/>
        </w:rPr>
        <w:t>。</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公务接待费</w:t>
      </w:r>
      <w:r>
        <w:rPr>
          <w:rFonts w:hint="eastAsia" w:ascii="仿宋" w:hAnsi="仿宋" w:eastAsia="仿宋" w:cs="Arial"/>
          <w:sz w:val="32"/>
          <w:szCs w:val="32"/>
          <w:lang w:val="en-US" w:eastAsia="zh-CN"/>
        </w:rPr>
        <w:t>12</w:t>
      </w:r>
      <w:r>
        <w:rPr>
          <w:rFonts w:hint="eastAsia" w:ascii="仿宋" w:hAnsi="仿宋" w:eastAsia="仿宋" w:cs="Arial"/>
          <w:sz w:val="32"/>
          <w:szCs w:val="32"/>
        </w:rPr>
        <w:t>万元，比上年</w:t>
      </w:r>
      <w:r>
        <w:rPr>
          <w:rFonts w:hint="eastAsia" w:ascii="仿宋" w:hAnsi="仿宋" w:eastAsia="仿宋" w:cs="Arial"/>
          <w:sz w:val="32"/>
          <w:szCs w:val="32"/>
          <w:lang w:eastAsia="zh-CN"/>
        </w:rPr>
        <w:t>减少</w:t>
      </w:r>
      <w:r>
        <w:rPr>
          <w:rFonts w:hint="eastAsia" w:ascii="仿宋" w:hAnsi="仿宋" w:eastAsia="仿宋" w:cs="Arial"/>
          <w:sz w:val="32"/>
          <w:szCs w:val="32"/>
          <w:lang w:val="en-US" w:eastAsia="zh-CN"/>
        </w:rPr>
        <w:t>15.3</w:t>
      </w:r>
      <w:r>
        <w:rPr>
          <w:rFonts w:hint="eastAsia" w:ascii="仿宋" w:hAnsi="仿宋" w:eastAsia="仿宋" w:cs="Arial"/>
          <w:sz w:val="32"/>
          <w:szCs w:val="32"/>
        </w:rPr>
        <w:t>万元，主要原因</w:t>
      </w:r>
    </w:p>
    <w:p>
      <w:pPr>
        <w:keepNext w:val="0"/>
        <w:keepLines w:val="0"/>
        <w:pageBreakBefore w:val="0"/>
        <w:wordWrap/>
        <w:overflowPunct/>
        <w:topLinePunct w:val="0"/>
        <w:bidi w:val="0"/>
        <w:spacing w:line="600" w:lineRule="exact"/>
        <w:rPr>
          <w:rFonts w:hint="eastAsia" w:ascii="仿宋" w:hAnsi="仿宋" w:eastAsia="仿宋" w:cs="Arial"/>
          <w:sz w:val="32"/>
          <w:szCs w:val="32"/>
        </w:rPr>
      </w:pPr>
      <w:r>
        <w:rPr>
          <w:rFonts w:hint="eastAsia" w:ascii="仿宋" w:hAnsi="仿宋" w:eastAsia="仿宋" w:cs="Arial"/>
          <w:sz w:val="32"/>
          <w:szCs w:val="32"/>
        </w:rPr>
        <w:t>是</w:t>
      </w:r>
      <w:r>
        <w:rPr>
          <w:rFonts w:hint="eastAsia" w:ascii="仿宋" w:hAnsi="仿宋" w:eastAsia="仿宋" w:cs="Arial"/>
          <w:sz w:val="32"/>
          <w:szCs w:val="32"/>
          <w:lang w:eastAsia="zh-CN"/>
        </w:rPr>
        <w:t>撤销了</w:t>
      </w:r>
      <w:r>
        <w:rPr>
          <w:rFonts w:hint="eastAsia" w:ascii="仿宋" w:hAnsi="仿宋" w:eastAsia="仿宋" w:cs="Arial"/>
          <w:sz w:val="32"/>
          <w:szCs w:val="32"/>
          <w:lang w:val="en-US" w:eastAsia="zh-CN"/>
        </w:rPr>
        <w:t>4个二级单位,</w:t>
      </w:r>
      <w:r>
        <w:rPr>
          <w:rFonts w:hint="eastAsia" w:ascii="仿宋" w:hAnsi="仿宋" w:eastAsia="仿宋" w:cs="宋体"/>
          <w:sz w:val="32"/>
          <w:szCs w:val="32"/>
        </w:rPr>
        <w:t>勤俭节约，加强了用餐管理制度</w:t>
      </w:r>
      <w:r>
        <w:rPr>
          <w:rFonts w:hint="eastAsia" w:ascii="仿宋" w:hAnsi="仿宋" w:eastAsia="仿宋" w:cs="Arial"/>
          <w:sz w:val="32"/>
          <w:szCs w:val="32"/>
          <w:lang w:val="en-US" w:eastAsia="zh-CN"/>
        </w:rPr>
        <w:t>。</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公务用车运行维护费</w:t>
      </w:r>
      <w:r>
        <w:rPr>
          <w:rFonts w:hint="eastAsia" w:ascii="仿宋" w:hAnsi="仿宋" w:eastAsia="仿宋" w:cs="Arial"/>
          <w:sz w:val="32"/>
          <w:szCs w:val="32"/>
          <w:lang w:val="en-US" w:eastAsia="zh-CN"/>
        </w:rPr>
        <w:t>5.18</w:t>
      </w:r>
      <w:r>
        <w:rPr>
          <w:rFonts w:hint="eastAsia" w:ascii="仿宋" w:hAnsi="仿宋" w:eastAsia="仿宋" w:cs="Arial"/>
          <w:sz w:val="32"/>
          <w:szCs w:val="32"/>
        </w:rPr>
        <w:t>万元，</w:t>
      </w:r>
      <w:r>
        <w:rPr>
          <w:rFonts w:hint="eastAsia" w:ascii="仿宋" w:hAnsi="仿宋" w:eastAsia="仿宋" w:cs="Arial"/>
          <w:sz w:val="32"/>
          <w:szCs w:val="32"/>
          <w:lang w:eastAsia="zh-CN"/>
        </w:rPr>
        <w:t>较上年无变动。</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公务用车购置费</w:t>
      </w:r>
      <w:r>
        <w:rPr>
          <w:rFonts w:hint="eastAsia" w:ascii="仿宋" w:hAnsi="仿宋" w:eastAsia="仿宋" w:cs="Arial"/>
          <w:sz w:val="32"/>
          <w:szCs w:val="32"/>
          <w:lang w:val="en-US" w:eastAsia="zh-CN"/>
        </w:rPr>
        <w:t>0</w:t>
      </w:r>
      <w:r>
        <w:rPr>
          <w:rFonts w:hint="eastAsia" w:ascii="仿宋" w:hAnsi="仿宋" w:eastAsia="仿宋" w:cs="Arial"/>
          <w:sz w:val="32"/>
          <w:szCs w:val="32"/>
        </w:rPr>
        <w:t>万元，</w:t>
      </w:r>
      <w:r>
        <w:rPr>
          <w:rFonts w:hint="eastAsia" w:ascii="仿宋" w:hAnsi="仿宋" w:eastAsia="仿宋" w:cs="Arial"/>
          <w:sz w:val="32"/>
          <w:szCs w:val="32"/>
          <w:lang w:eastAsia="zh-CN"/>
        </w:rPr>
        <w:t>较上年无变动。</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p>
    <w:p>
      <w:pPr>
        <w:widowControl w:val="0"/>
        <w:kinsoku/>
        <w:autoSpaceDE/>
        <w:autoSpaceDN/>
        <w:adjustRightInd/>
        <w:snapToGrid/>
        <w:jc w:val="center"/>
        <w:textAlignment w:val="auto"/>
        <w:rPr>
          <w:rFonts w:hint="eastAsia" w:ascii="黑体" w:hAnsi="黑体" w:eastAsia="黑体" w:cs="黑体"/>
          <w:snapToGrid/>
          <w:kern w:val="2"/>
          <w:sz w:val="32"/>
          <w:szCs w:val="32"/>
        </w:rPr>
      </w:pPr>
      <w:r>
        <w:rPr>
          <w:rFonts w:hint="eastAsia" w:ascii="黑体" w:hAnsi="黑体" w:eastAsia="黑体" w:cs="黑体"/>
          <w:snapToGrid/>
          <w:kern w:val="2"/>
          <w:sz w:val="32"/>
          <w:szCs w:val="32"/>
        </w:rPr>
        <w:t>第四部分   名词解释</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一、收入科目</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各部门结合实际进行解释。</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(一)财政拨款:指省级财政当年拨付的资金。</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(二)教育收费资金收入:反映实行专项管理的高中以上学费、住宿费，高校委托培养费，函大、电大、夜大及短训班培训费等教育收费取得的收入。</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(三)事业收入:指事业单位开展专业业务活动及辅助活动取得的收入。</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(四)事业单位经营收入:指事业单位在专业业务活动及辅助活动之外开展非独立核算经营活动取得的收入。</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(五)附属单位上缴收入:反映事业单位附属的独立核算单位按规定标准或比例缴纳的各项收入。包括附属的事业单位上缴的收入和附属的企业上缴的利润等。</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(六)上级补助收入:反映事业单位从主管部门和上级单位取得的非财政补助收入。</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(七)其他收入:指除财政拨款、事业收入、事业单位经营收入等以外的各项收入。</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(八)使用非财政拨款结余:填列历年滚存的非限定用途的非统计财政拨款结余弥补2023年收支差额的数额。</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(九)上年结转和结余:填列2022年全部结转和结余的资金数，包括当年结转结余资金和历年滚存结转结余资金。</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二、支出科目</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对部门预算中涉及的支出功能分类科目(明细到项级)，结合部门实际，参照《2023年政府收支分类科目》的规范说明进行解释。</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三、部门涉及的专业名词</w:t>
      </w:r>
    </w:p>
    <w:p>
      <w:pPr>
        <w:keepNext w:val="0"/>
        <w:keepLines w:val="0"/>
        <w:pageBreakBefore w:val="0"/>
        <w:wordWrap/>
        <w:overflowPunct/>
        <w:topLinePunct w:val="0"/>
        <w:bidi w:val="0"/>
        <w:spacing w:line="600" w:lineRule="exact"/>
        <w:ind w:firstLine="640" w:firstLineChars="200"/>
        <w:rPr>
          <w:rFonts w:hint="eastAsia" w:ascii="仿宋" w:hAnsi="仿宋" w:eastAsia="仿宋" w:cs="Arial"/>
          <w:sz w:val="32"/>
          <w:szCs w:val="32"/>
        </w:rPr>
      </w:pPr>
      <w:r>
        <w:rPr>
          <w:rFonts w:hint="eastAsia" w:ascii="仿宋" w:hAnsi="仿宋" w:eastAsia="仿宋" w:cs="Arial"/>
          <w:sz w:val="32"/>
          <w:szCs w:val="32"/>
        </w:rPr>
        <w:t>由部门结合实际填写。</w:t>
      </w:r>
    </w:p>
    <w:sectPr>
      <w:pgSz w:w="11900" w:h="16820"/>
      <w:pgMar w:top="1429" w:right="1647" w:bottom="1319" w:left="1539" w:header="0" w:footer="109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A3ZGY0NmNmZWRlNjI2ZDhmNTYyMWExZWU3NTBiOTQifQ=="/>
  </w:docVars>
  <w:rsids>
    <w:rsidRoot w:val="00E637E3"/>
    <w:rsid w:val="0028241F"/>
    <w:rsid w:val="007D2708"/>
    <w:rsid w:val="00A55E03"/>
    <w:rsid w:val="00E637E3"/>
    <w:rsid w:val="180A0D7A"/>
    <w:rsid w:val="28B74E8B"/>
    <w:rsid w:val="325D7BAC"/>
    <w:rsid w:val="3DF76F24"/>
    <w:rsid w:val="474E6296"/>
    <w:rsid w:val="476D2917"/>
    <w:rsid w:val="535A3AA7"/>
    <w:rsid w:val="5D24489D"/>
    <w:rsid w:val="66F83066"/>
    <w:rsid w:val="6C0006DE"/>
    <w:rsid w:val="70980824"/>
    <w:rsid w:val="7D067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3">
    <w:name w:val="Normal (Web)"/>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val="en-US" w:eastAsia="zh-CN"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3668</Words>
  <Characters>3917</Characters>
  <Lines>14</Lines>
  <Paragraphs>4</Paragraphs>
  <TotalTime>0</TotalTime>
  <ScaleCrop>false</ScaleCrop>
  <LinksUpToDate>false</LinksUpToDate>
  <CharactersWithSpaces>3932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2022-02-17T11:46:00Z</dcterms:created>
  <dc:creator>Administrator</dc:creator>
  <cp:lastModifiedBy>娜娜是我</cp:lastModifiedBy>
  <dcterms:modified xsi:type="dcterms:W3CDTF">2023-04-03T08:27:57Z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wqlLaW5nc29mdCBQREYgdG8gV1BTIDcw</vt:lpwstr>
  </property>
  <property fmtid="{D5CDD505-2E9C-101B-9397-08002B2CF9AE}" pid="3" name="Created">
    <vt:filetime>2022-02-17T19:44:23Z</vt:filetime>
  </property>
  <property fmtid="{D5CDD505-2E9C-101B-9397-08002B2CF9AE}" pid="4" name="KSOProductBuildVer">
    <vt:lpwstr>2052-11.1.0.14036</vt:lpwstr>
  </property>
  <property fmtid="{D5CDD505-2E9C-101B-9397-08002B2CF9AE}" pid="5" name="ICV">
    <vt:lpwstr>88DC4E5DA5774A45A9990BB4EE0325F1</vt:lpwstr>
  </property>
</Properties>
</file>