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8"/>
        <w:rPr>
          <w:rFonts w:ascii="黑体"/>
          <w:sz w:val="26"/>
        </w:rPr>
      </w:pPr>
    </w:p>
    <w:p>
      <w:pPr>
        <w:pStyle w:val="2"/>
        <w:spacing w:line="624" w:lineRule="exact"/>
        <w:ind w:left="2273"/>
      </w:pPr>
      <w:r>
        <w:rPr>
          <w:w w:val="95"/>
        </w:rPr>
        <w:t>项目支出绩效评价报告</w:t>
      </w:r>
    </w:p>
    <w:p>
      <w:pPr>
        <w:pStyle w:val="3"/>
        <w:rPr>
          <w:rFonts w:ascii="方正小标宋简体"/>
          <w:sz w:val="52"/>
        </w:rPr>
      </w:pPr>
    </w:p>
    <w:p>
      <w:pPr>
        <w:pStyle w:val="3"/>
        <w:rPr>
          <w:rFonts w:ascii="方正小标宋简体"/>
          <w:sz w:val="52"/>
        </w:rPr>
      </w:pPr>
    </w:p>
    <w:p>
      <w:pPr>
        <w:pStyle w:val="3"/>
        <w:spacing w:before="5"/>
        <w:rPr>
          <w:rFonts w:ascii="方正小标宋简体"/>
          <w:sz w:val="52"/>
        </w:rPr>
      </w:pPr>
    </w:p>
    <w:p>
      <w:pPr>
        <w:tabs>
          <w:tab w:val="left" w:pos="5772"/>
        </w:tabs>
        <w:spacing w:before="0"/>
        <w:ind w:left="1052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评</w:t>
      </w:r>
      <w:r>
        <w:rPr>
          <w:rFonts w:hint="eastAsia" w:ascii="仿宋" w:hAnsi="仿宋" w:eastAsia="仿宋"/>
          <w:spacing w:val="-3"/>
          <w:sz w:val="28"/>
        </w:rPr>
        <w:t>价</w:t>
      </w:r>
      <w:r>
        <w:rPr>
          <w:rFonts w:hint="eastAsia" w:ascii="仿宋" w:hAnsi="仿宋" w:eastAsia="仿宋"/>
          <w:sz w:val="28"/>
        </w:rPr>
        <w:t>类型</w:t>
      </w:r>
      <w:r>
        <w:rPr>
          <w:rFonts w:hint="eastAsia" w:ascii="仿宋" w:hAnsi="仿宋" w:eastAsia="仿宋"/>
          <w:spacing w:val="-21"/>
          <w:sz w:val="28"/>
        </w:rPr>
        <w:t>：</w:t>
      </w:r>
      <w:r>
        <w:rPr>
          <w:rFonts w:hint="eastAsia" w:ascii="仿宋" w:hAnsi="仿宋" w:eastAsia="仿宋"/>
          <w:spacing w:val="-2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实</w:t>
      </w:r>
      <w:r>
        <w:rPr>
          <w:rFonts w:hint="eastAsia" w:ascii="仿宋" w:hAnsi="仿宋" w:eastAsia="仿宋"/>
          <w:spacing w:val="-3"/>
          <w:sz w:val="28"/>
          <w:u w:val="single"/>
        </w:rPr>
        <w:t>施</w:t>
      </w:r>
      <w:r>
        <w:rPr>
          <w:rFonts w:hint="eastAsia" w:ascii="仿宋" w:hAnsi="仿宋" w:eastAsia="仿宋"/>
          <w:sz w:val="28"/>
          <w:u w:val="single"/>
        </w:rPr>
        <w:t>过程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z w:val="28"/>
          <w:u w:val="single"/>
        </w:rPr>
        <w:t>价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</w:rPr>
        <w:t>完</w:t>
      </w:r>
      <w:r>
        <w:rPr>
          <w:rFonts w:hint="eastAsia" w:ascii="仿宋" w:hAnsi="仿宋" w:eastAsia="仿宋"/>
          <w:spacing w:val="-3"/>
          <w:sz w:val="28"/>
          <w:u w:val="single"/>
        </w:rPr>
        <w:t>成</w:t>
      </w:r>
      <w:r>
        <w:rPr>
          <w:rFonts w:hint="eastAsia" w:ascii="仿宋" w:hAnsi="仿宋" w:eastAsia="仿宋"/>
          <w:spacing w:val="-1"/>
          <w:sz w:val="28"/>
          <w:u w:val="single"/>
        </w:rPr>
        <w:t>结果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z w:val="28"/>
          <w:u w:val="single"/>
        </w:rPr>
        <w:t>价</w:t>
      </w:r>
    </w:p>
    <w:p>
      <w:pPr>
        <w:pStyle w:val="3"/>
        <w:spacing w:before="4"/>
        <w:rPr>
          <w:rFonts w:ascii="仿宋"/>
          <w:sz w:val="14"/>
        </w:rPr>
      </w:pPr>
    </w:p>
    <w:p>
      <w:pPr>
        <w:tabs>
          <w:tab w:val="left" w:pos="7877"/>
        </w:tabs>
        <w:spacing w:before="24"/>
        <w:ind w:left="1088" w:right="0" w:firstLine="0"/>
        <w:jc w:val="left"/>
        <w:rPr>
          <w:rFonts w:hint="default" w:ascii="Times New Roman" w:eastAsia="宋体"/>
          <w:sz w:val="28"/>
          <w:lang w:val="en-US" w:eastAsia="zh-CN"/>
        </w:rPr>
      </w:pPr>
      <w:r>
        <w:rPr>
          <w:rFonts w:hint="eastAsia" w:ascii="仿宋" w:eastAsia="仿宋"/>
          <w:spacing w:val="-1"/>
          <w:sz w:val="28"/>
        </w:rPr>
        <w:t>项</w:t>
      </w:r>
      <w:r>
        <w:rPr>
          <w:rFonts w:hint="eastAsia" w:ascii="仿宋" w:eastAsia="仿宋"/>
          <w:spacing w:val="-3"/>
          <w:sz w:val="28"/>
        </w:rPr>
        <w:t>目</w:t>
      </w:r>
      <w:r>
        <w:rPr>
          <w:rFonts w:hint="eastAsia" w:ascii="仿宋" w:eastAsia="仿宋"/>
          <w:spacing w:val="-1"/>
          <w:sz w:val="28"/>
        </w:rPr>
        <w:t>名称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 xml:space="preserve">               </w:t>
      </w:r>
      <w:r>
        <w:rPr>
          <w:rFonts w:hint="eastAsia" w:ascii="Times New Roman" w:eastAsia="Times New Roman"/>
          <w:w w:val="100"/>
          <w:sz w:val="28"/>
          <w:u w:val="single"/>
        </w:rPr>
        <w:t>雨露计划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 xml:space="preserve">              </w:t>
      </w:r>
    </w:p>
    <w:p>
      <w:pPr>
        <w:pStyle w:val="3"/>
        <w:spacing w:before="4"/>
        <w:rPr>
          <w:rFonts w:ascii="Times New Roman"/>
          <w:sz w:val="16"/>
        </w:rPr>
      </w:pPr>
    </w:p>
    <w:p>
      <w:pPr>
        <w:tabs>
          <w:tab w:val="left" w:pos="8016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项</w:t>
      </w:r>
      <w:r>
        <w:rPr>
          <w:rFonts w:hint="eastAsia" w:ascii="仿宋" w:eastAsia="仿宋"/>
          <w:spacing w:val="-3"/>
          <w:sz w:val="28"/>
        </w:rPr>
        <w:t>目</w:t>
      </w:r>
      <w:r>
        <w:rPr>
          <w:rFonts w:hint="eastAsia" w:ascii="仿宋" w:eastAsia="仿宋"/>
          <w:spacing w:val="-1"/>
          <w:sz w:val="28"/>
        </w:rPr>
        <w:t>单位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>浮梁县乡村振兴局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3"/>
        <w:spacing w:before="4"/>
        <w:rPr>
          <w:rFonts w:ascii="Times New Roman"/>
          <w:sz w:val="16"/>
        </w:rPr>
      </w:pPr>
    </w:p>
    <w:p>
      <w:pPr>
        <w:tabs>
          <w:tab w:val="left" w:pos="8016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主</w:t>
      </w:r>
      <w:r>
        <w:rPr>
          <w:rFonts w:hint="eastAsia" w:ascii="仿宋" w:eastAsia="仿宋"/>
          <w:spacing w:val="-3"/>
          <w:sz w:val="28"/>
        </w:rPr>
        <w:t>管</w:t>
      </w:r>
      <w:r>
        <w:rPr>
          <w:rFonts w:hint="eastAsia" w:ascii="仿宋" w:eastAsia="仿宋"/>
          <w:spacing w:val="-1"/>
          <w:sz w:val="28"/>
        </w:rPr>
        <w:t>部门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>浮梁县乡村振兴局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3"/>
        <w:spacing w:before="4"/>
        <w:rPr>
          <w:rFonts w:ascii="Times New Roman"/>
          <w:sz w:val="16"/>
        </w:rPr>
      </w:pPr>
    </w:p>
    <w:p>
      <w:pPr>
        <w:tabs>
          <w:tab w:val="left" w:pos="3468"/>
          <w:tab w:val="left" w:pos="4167"/>
          <w:tab w:val="left" w:pos="4867"/>
          <w:tab w:val="left" w:pos="6267"/>
          <w:tab w:val="left" w:pos="6967"/>
          <w:tab w:val="left" w:pos="7807"/>
        </w:tabs>
        <w:spacing w:before="24"/>
        <w:ind w:left="1088" w:right="0" w:firstLine="0"/>
        <w:jc w:val="left"/>
        <w:rPr>
          <w:rFonts w:hint="eastAsia" w:ascii="仿宋" w:eastAsia="仿宋"/>
          <w:sz w:val="28"/>
        </w:rPr>
      </w:pPr>
      <w:r>
        <w:rPr>
          <w:rFonts w:hint="eastAsia" w:ascii="仿宋" w:eastAsia="仿宋"/>
          <w:sz w:val="28"/>
        </w:rPr>
        <w:t>评</w:t>
      </w:r>
      <w:r>
        <w:rPr>
          <w:rFonts w:hint="eastAsia" w:ascii="仿宋" w:eastAsia="仿宋"/>
          <w:spacing w:val="-3"/>
          <w:sz w:val="28"/>
        </w:rPr>
        <w:t>价</w:t>
      </w:r>
      <w:r>
        <w:rPr>
          <w:rFonts w:hint="eastAsia" w:ascii="仿宋" w:eastAsia="仿宋"/>
          <w:sz w:val="28"/>
        </w:rPr>
        <w:t>时间：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hint="eastAsia" w:ascii="Times New Roman" w:eastAsia="宋体"/>
          <w:sz w:val="28"/>
          <w:u w:val="single"/>
          <w:lang w:val="en-US" w:eastAsia="zh-CN"/>
        </w:rPr>
        <w:t xml:space="preserve"> 2022 </w:t>
      </w:r>
      <w:r>
        <w:rPr>
          <w:rFonts w:hint="eastAsia" w:ascii="仿宋" w:eastAsia="仿宋"/>
          <w:sz w:val="28"/>
          <w:u w:val="single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4 </w:t>
      </w:r>
      <w:r>
        <w:rPr>
          <w:rFonts w:hint="eastAsia" w:ascii="仿宋" w:eastAsia="仿宋"/>
          <w:sz w:val="28"/>
          <w:u w:val="single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5 </w:t>
      </w:r>
      <w:r>
        <w:rPr>
          <w:rFonts w:hint="eastAsia" w:ascii="仿宋" w:eastAsia="仿宋"/>
          <w:sz w:val="28"/>
          <w:u w:val="single"/>
        </w:rPr>
        <w:t>日至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2022 </w:t>
      </w:r>
      <w:r>
        <w:rPr>
          <w:rFonts w:hint="eastAsia" w:ascii="仿宋" w:eastAsia="仿宋"/>
          <w:sz w:val="28"/>
          <w:u w:val="single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4 </w:t>
      </w:r>
      <w:r>
        <w:rPr>
          <w:rFonts w:hint="eastAsia" w:ascii="仿宋" w:eastAsia="仿宋"/>
          <w:sz w:val="28"/>
          <w:u w:val="single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15 </w:t>
      </w:r>
      <w:r>
        <w:rPr>
          <w:rFonts w:hint="eastAsia" w:ascii="仿宋" w:eastAsia="仿宋"/>
          <w:sz w:val="28"/>
          <w:u w:val="single"/>
        </w:rPr>
        <w:t>日</w:t>
      </w:r>
    </w:p>
    <w:p>
      <w:pPr>
        <w:pStyle w:val="3"/>
        <w:spacing w:before="1"/>
        <w:rPr>
          <w:rFonts w:ascii="仿宋"/>
          <w:sz w:val="15"/>
        </w:rPr>
      </w:pPr>
    </w:p>
    <w:p>
      <w:pPr>
        <w:tabs>
          <w:tab w:val="left" w:pos="4548"/>
          <w:tab w:val="left" w:pos="6607"/>
        </w:tabs>
        <w:spacing w:before="15"/>
        <w:ind w:left="1088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组</w:t>
      </w:r>
      <w:r>
        <w:rPr>
          <w:rFonts w:hint="eastAsia" w:ascii="仿宋" w:hAnsi="仿宋" w:eastAsia="仿宋"/>
          <w:spacing w:val="-3"/>
          <w:sz w:val="28"/>
        </w:rPr>
        <w:t>织</w:t>
      </w:r>
      <w:r>
        <w:rPr>
          <w:rFonts w:hint="eastAsia" w:ascii="仿宋" w:hAnsi="仿宋" w:eastAsia="仿宋"/>
          <w:sz w:val="28"/>
        </w:rPr>
        <w:t>方式</w:t>
      </w:r>
      <w:r>
        <w:rPr>
          <w:rFonts w:hint="eastAsia" w:ascii="仿宋" w:hAnsi="仿宋" w:eastAsia="仿宋"/>
          <w:spacing w:val="-22"/>
          <w:sz w:val="28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财</w:t>
      </w:r>
      <w:r>
        <w:rPr>
          <w:rFonts w:hint="eastAsia" w:ascii="仿宋" w:hAnsi="仿宋" w:eastAsia="仿宋"/>
          <w:spacing w:val="-3"/>
          <w:sz w:val="28"/>
          <w:u w:val="single"/>
        </w:rPr>
        <w:t>政</w:t>
      </w:r>
      <w:r>
        <w:rPr>
          <w:rFonts w:hint="eastAsia" w:ascii="仿宋" w:hAnsi="仿宋" w:eastAsia="仿宋"/>
          <w:sz w:val="28"/>
          <w:u w:val="single"/>
        </w:rPr>
        <w:t>部门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z w:val="28"/>
          <w:u w:val="single"/>
        </w:rPr>
        <w:t>主</w:t>
      </w:r>
      <w:r>
        <w:rPr>
          <w:rFonts w:hint="eastAsia" w:ascii="仿宋" w:hAnsi="仿宋" w:eastAsia="仿宋"/>
          <w:spacing w:val="-3"/>
          <w:sz w:val="28"/>
          <w:u w:val="single"/>
        </w:rPr>
        <w:t>管</w:t>
      </w:r>
      <w:r>
        <w:rPr>
          <w:rFonts w:hint="eastAsia" w:ascii="仿宋" w:hAnsi="仿宋" w:eastAsia="仿宋"/>
          <w:sz w:val="28"/>
          <w:u w:val="single"/>
        </w:rPr>
        <w:t>部门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pacing w:val="-1"/>
          <w:sz w:val="28"/>
          <w:u w:val="single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</w:rPr>
        <w:t>单</w:t>
      </w:r>
      <w:r>
        <w:rPr>
          <w:rFonts w:hint="eastAsia" w:ascii="仿宋" w:hAnsi="仿宋" w:eastAsia="仿宋"/>
          <w:sz w:val="28"/>
          <w:u w:val="single"/>
        </w:rPr>
        <w:t>位</w:t>
      </w:r>
    </w:p>
    <w:p>
      <w:pPr>
        <w:pStyle w:val="3"/>
        <w:spacing w:before="12"/>
        <w:rPr>
          <w:rFonts w:ascii="仿宋"/>
          <w:sz w:val="14"/>
        </w:rPr>
      </w:pPr>
    </w:p>
    <w:p>
      <w:pPr>
        <w:tabs>
          <w:tab w:val="left" w:pos="4548"/>
          <w:tab w:val="left" w:pos="6048"/>
        </w:tabs>
        <w:spacing w:before="14"/>
        <w:ind w:left="1088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评</w:t>
      </w:r>
      <w:r>
        <w:rPr>
          <w:rFonts w:hint="eastAsia" w:ascii="仿宋" w:hAnsi="仿宋" w:eastAsia="仿宋"/>
          <w:spacing w:val="-3"/>
          <w:sz w:val="28"/>
        </w:rPr>
        <w:t>价</w:t>
      </w:r>
      <w:r>
        <w:rPr>
          <w:rFonts w:hint="eastAsia" w:ascii="仿宋" w:hAnsi="仿宋" w:eastAsia="仿宋"/>
          <w:sz w:val="28"/>
        </w:rPr>
        <w:t>机构</w:t>
      </w:r>
      <w:r>
        <w:rPr>
          <w:rFonts w:hint="eastAsia" w:ascii="仿宋" w:hAnsi="仿宋" w:eastAsia="仿宋"/>
          <w:spacing w:val="-22"/>
          <w:sz w:val="28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第</w:t>
      </w:r>
      <w:r>
        <w:rPr>
          <w:rFonts w:hint="eastAsia" w:ascii="仿宋" w:hAnsi="仿宋" w:eastAsia="仿宋"/>
          <w:spacing w:val="-3"/>
          <w:sz w:val="28"/>
          <w:u w:val="single"/>
        </w:rPr>
        <w:t>三</w:t>
      </w:r>
      <w:r>
        <w:rPr>
          <w:rFonts w:hint="eastAsia" w:ascii="仿宋" w:hAnsi="仿宋" w:eastAsia="仿宋"/>
          <w:sz w:val="28"/>
          <w:u w:val="single"/>
        </w:rPr>
        <w:t>方机构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专</w:t>
      </w:r>
      <w:r>
        <w:rPr>
          <w:rFonts w:hint="eastAsia" w:ascii="仿宋" w:hAnsi="仿宋" w:eastAsia="仿宋"/>
          <w:spacing w:val="-3"/>
          <w:sz w:val="28"/>
          <w:u w:val="single"/>
        </w:rPr>
        <w:t>家</w:t>
      </w:r>
      <w:r>
        <w:rPr>
          <w:rFonts w:hint="eastAsia" w:ascii="仿宋" w:hAnsi="仿宋" w:eastAsia="仿宋"/>
          <w:sz w:val="28"/>
          <w:u w:val="single"/>
        </w:rPr>
        <w:t>组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</w:rPr>
        <w:t>单位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pacing w:val="-1"/>
          <w:sz w:val="28"/>
          <w:u w:val="single"/>
        </w:rPr>
        <w:t>价</w:t>
      </w:r>
      <w:r>
        <w:rPr>
          <w:rFonts w:hint="eastAsia" w:ascii="仿宋" w:hAnsi="仿宋" w:eastAsia="仿宋"/>
          <w:sz w:val="28"/>
          <w:u w:val="single"/>
        </w:rPr>
        <w:t>组</w:t>
      </w: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spacing w:before="11"/>
        <w:rPr>
          <w:rFonts w:ascii="仿宋"/>
          <w:sz w:val="15"/>
        </w:rPr>
      </w:pPr>
    </w:p>
    <w:p>
      <w:pPr>
        <w:tabs>
          <w:tab w:val="left" w:pos="3808"/>
        </w:tabs>
        <w:spacing w:before="15"/>
        <w:ind w:left="1052" w:right="0" w:firstLine="0"/>
        <w:jc w:val="left"/>
        <w:rPr>
          <w:rFonts w:hint="default" w:ascii="仿宋" w:eastAsia="仿宋"/>
          <w:sz w:val="28"/>
          <w:lang w:val="en-US" w:eastAsia="zh-CN"/>
        </w:rPr>
      </w:pPr>
      <w:r>
        <w:rPr>
          <w:rFonts w:hint="eastAsia" w:ascii="仿宋" w:eastAsia="仿宋"/>
          <w:sz w:val="28"/>
          <w:lang w:val="en-US" w:eastAsia="zh-CN"/>
        </w:rPr>
        <w:t>评价单位（盖章）：浮梁县乡村振兴局</w:t>
      </w:r>
    </w:p>
    <w:p>
      <w:pPr>
        <w:tabs>
          <w:tab w:val="left" w:pos="3808"/>
        </w:tabs>
        <w:spacing w:before="15"/>
        <w:ind w:left="1052" w:right="0" w:firstLine="1120" w:firstLineChars="400"/>
        <w:jc w:val="left"/>
        <w:rPr>
          <w:rFonts w:hint="default" w:ascii="仿宋" w:eastAsia="仿宋"/>
          <w:sz w:val="28"/>
          <w:lang w:val="en-US" w:eastAsia="zh-CN"/>
        </w:rPr>
        <w:sectPr>
          <w:pgSz w:w="11910" w:h="16840"/>
          <w:pgMar w:top="1580" w:right="1680" w:bottom="1140" w:left="1480" w:header="0" w:footer="959" w:gutter="0"/>
          <w:cols w:space="720" w:num="1"/>
        </w:sectPr>
      </w:pPr>
      <w:r>
        <w:rPr>
          <w:rFonts w:hint="eastAsia" w:ascii="仿宋" w:eastAsia="仿宋"/>
          <w:sz w:val="28"/>
        </w:rPr>
        <w:t>上报时间：</w:t>
      </w:r>
      <w:r>
        <w:rPr>
          <w:rFonts w:hint="eastAsia" w:ascii="仿宋" w:eastAsia="仿宋"/>
          <w:sz w:val="28"/>
          <w:lang w:val="en-US" w:eastAsia="zh-CN"/>
        </w:rPr>
        <w:t>2022年4月18日</w:t>
      </w:r>
    </w:p>
    <w:p>
      <w:pPr>
        <w:spacing w:after="0" w:line="260" w:lineRule="exact"/>
        <w:rPr>
          <w:sz w:val="21"/>
        </w:rPr>
        <w:sectPr>
          <w:type w:val="continuous"/>
          <w:pgSz w:w="11910" w:h="16840"/>
          <w:pgMar w:top="1580" w:right="1560" w:bottom="1140" w:left="1440" w:header="720" w:footer="720" w:gutter="0"/>
          <w:cols w:space="720" w:num="1"/>
        </w:sect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right="0"/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w w:val="95"/>
          <w:sz w:val="48"/>
          <w:szCs w:val="48"/>
          <w:lang w:val="en-US" w:eastAsia="zh-CN"/>
        </w:rPr>
        <w:t>2021年雨露计划</w:t>
      </w:r>
      <w:r>
        <w:rPr>
          <w:rFonts w:hint="eastAsia" w:asciiTheme="majorEastAsia" w:hAnsiTheme="majorEastAsia" w:eastAsiaTheme="majorEastAsia" w:cstheme="majorEastAsia"/>
          <w:b/>
          <w:bCs/>
          <w:w w:val="95"/>
          <w:sz w:val="48"/>
          <w:szCs w:val="48"/>
        </w:rPr>
        <w:t>项目支出绩效评价报告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 一、项目基本情况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（一）项目概况：20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年春季、秋季就读中等职业学校（含普通中专、职业中专、成人中专、职业高中、技工院校，以下同）、高职高专院校、技师学院已注册普通全日制正式学籍的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浮梁县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建档立卡贫困户子女，按1500元/学期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人发放雨露计划职业学历教育补助。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（二）项目绩效目标：当年安排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县级衔接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资金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32.5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元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1.项目绩效总目标：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坚决贯彻习近平总书记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巩固拓展脱贫攻坚成果同乡村振兴有效衔接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工作的总体部署，充分认识雨露计划的重要性，引导和支持农村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脱贫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家庭新成长劳动力接受职业教育是培养技能型人才、促进稳定就业的治本之举，是提高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脱贫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人口素质、促进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脱贫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地区经济社会发展的主要举措；严格按照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要求，周密组织，精心安排，切实落实雨露计划支持农村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脱贫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新成长劳动力接受职业教育政策，确保接受职业教育的农村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脱贫户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子女应补尽补、不漏一人、不漏一户，全部享受雨露计划资助政策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2.项目绩效阶段性目标：发放金额、时间等达到上级部门要求的标准。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、绩效评价工作情况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（一）绩效评价目的：促进工作正常开展，让资金在阳光下运作。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（二）绩效评价原则、评价指标体系、评价方法：坚持实事求是，公平、公开的原则。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（三）绩效评价工作过程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1.前期准备：请乡镇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乡村振兴工作站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对20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年春季、秋季雨露计划职业学历教育补助拟补对象进行前期摸底把关。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2.组织实施：乡镇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乡村振兴工作站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在前期摸底的基础上对20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年春季、秋季雨露计划职业学历教育补助拟补对象进行审核、公示、上报，县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对乡镇上报的对象再次进行审核、公示，通过县财政补贴发放系统将补助资金发放给学生。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3.分析评价：对广大就读职业学校的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脱贫户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学生提供了资金帮助，极大提高了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脱贫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的收入。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、绩效评价指标分析情况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（一）项目资金情况分析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1.项目资金到位情况分析：按省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要求按时拨付到位。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2.项目资金使用情况分析：县财政局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通过一卡通资金发放到符合条件的脱贫户一卡通账号上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3.项目资金管理情况分析：由县财政局管理，确保资金在阳光下运作。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（二）项目实施情况分析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1.项目组织情况分析：县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提出可行方案报县领导审定。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2.项目管理情况分析：县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牵头，组织乡镇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乡村振兴工作站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按时完成发放工作。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（三）项目绩效情况分析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.项目的效率性分析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（1）项目的实施进度：按要求确保在规定时间内把补助资金发放到位。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（2）项目完成质量：县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乡村振兴局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县财政局共同严格把关。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.项目的效益性分析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（1）项目预期目标完成程度:按时间节点完成工作任务。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（2）项目实施对经济和社会的影响：为全县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巩固拓展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脱贫攻坚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成果同乡村振兴有效衔接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工作做出应有贡献。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、综合评价情况及评价结论（附相关评分表）: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达到优秀等次。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、绩效评价结果应用建议（以后年度预算安排、评价结果公开等）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  <w:t>：很有必要开展绩效评价工作，让财政资金在阳光下更好地发挥作用。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righ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righ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浮梁县乡村振兴局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center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 xml:space="preserve">                                     2022年4月18日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" w:lineRule="atLeast"/>
        <w:ind w:left="0" w:right="0" w:firstLine="420"/>
        <w:jc w:val="righ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1MDk4MmYxMjc1MzQ4ZjcwOTcwOWU3ODU5NzQ2NDgifQ=="/>
  </w:docVars>
  <w:rsids>
    <w:rsidRoot w:val="733253D2"/>
    <w:rsid w:val="06473538"/>
    <w:rsid w:val="19F74DDD"/>
    <w:rsid w:val="3BCA46C6"/>
    <w:rsid w:val="7332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28"/>
      <w:outlineLvl w:val="1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1323</Words>
  <Characters>1368</Characters>
  <Lines>0</Lines>
  <Paragraphs>0</Paragraphs>
  <TotalTime>4</TotalTime>
  <ScaleCrop>false</ScaleCrop>
  <LinksUpToDate>false</LinksUpToDate>
  <CharactersWithSpaces>1479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2021-10-17T03:14:00Z</dcterms:created>
  <dc:creator>伊人在水一方</dc:creator>
  <cp:lastModifiedBy>伊人在水一方</cp:lastModifiedBy>
  <dcterms:modified xsi:type="dcterms:W3CDTF">2022-06-22T02:16:59Z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C40A777FD6B54747B5312BAF544F0BA0</vt:lpwstr>
  </property>
</Properties>
</file>