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8"/>
        <w:rPr>
          <w:rFonts w:ascii="黑体"/>
          <w:sz w:val="26"/>
        </w:rPr>
      </w:pPr>
    </w:p>
    <w:p>
      <w:pPr>
        <w:pStyle w:val="3"/>
        <w:spacing w:before="8"/>
        <w:rPr>
          <w:rFonts w:ascii="黑体"/>
          <w:sz w:val="26"/>
        </w:rPr>
      </w:pPr>
    </w:p>
    <w:p>
      <w:pPr>
        <w:pStyle w:val="3"/>
        <w:spacing w:before="8"/>
        <w:rPr>
          <w:rFonts w:ascii="黑体"/>
          <w:sz w:val="26"/>
        </w:rPr>
      </w:pPr>
      <w:bookmarkStart w:id="0" w:name="_GoBack"/>
      <w:bookmarkEnd w:id="0"/>
    </w:p>
    <w:p>
      <w:pPr>
        <w:pStyle w:val="2"/>
        <w:spacing w:line="624" w:lineRule="exact"/>
        <w:ind w:left="2273"/>
      </w:pPr>
      <w:r>
        <w:rPr>
          <w:rFonts w:hint="eastAsia"/>
          <w:w w:val="95"/>
          <w:lang w:val="en-US" w:eastAsia="zh-CN"/>
        </w:rPr>
        <w:t>2021年</w:t>
      </w:r>
      <w:r>
        <w:rPr>
          <w:w w:val="95"/>
        </w:rPr>
        <w:t>项目支出绩效评价报告</w:t>
      </w:r>
    </w:p>
    <w:p>
      <w:pPr>
        <w:pStyle w:val="3"/>
        <w:spacing w:before="5"/>
        <w:rPr>
          <w:rFonts w:ascii="方正小标宋简体"/>
          <w:sz w:val="52"/>
        </w:rPr>
      </w:pPr>
    </w:p>
    <w:p>
      <w:pPr>
        <w:tabs>
          <w:tab w:val="left" w:pos="5772"/>
        </w:tabs>
        <w:spacing w:before="0"/>
        <w:ind w:left="1052" w:right="0" w:firstLine="0"/>
        <w:jc w:val="left"/>
        <w:rPr>
          <w:rFonts w:hint="eastAsia" w:ascii="仿宋" w:hAnsi="仿宋" w:eastAsia="仿宋"/>
          <w:sz w:val="28"/>
        </w:rPr>
      </w:pPr>
      <w:r>
        <w:rPr>
          <w:rFonts w:hint="eastAsia" w:ascii="仿宋" w:hAnsi="仿宋" w:eastAsia="仿宋"/>
          <w:sz w:val="28"/>
        </w:rPr>
        <w:t>评</w:t>
      </w:r>
      <w:r>
        <w:rPr>
          <w:rFonts w:hint="eastAsia" w:ascii="仿宋" w:hAnsi="仿宋" w:eastAsia="仿宋"/>
          <w:spacing w:val="-3"/>
          <w:sz w:val="28"/>
        </w:rPr>
        <w:t>价</w:t>
      </w:r>
      <w:r>
        <w:rPr>
          <w:rFonts w:hint="eastAsia" w:ascii="仿宋" w:hAnsi="仿宋" w:eastAsia="仿宋"/>
          <w:sz w:val="28"/>
        </w:rPr>
        <w:t>类型</w:t>
      </w:r>
      <w:r>
        <w:rPr>
          <w:rFonts w:hint="eastAsia" w:ascii="仿宋" w:hAnsi="仿宋" w:eastAsia="仿宋"/>
          <w:spacing w:val="-21"/>
          <w:sz w:val="28"/>
        </w:rPr>
        <w:t>：</w:t>
      </w:r>
      <w:r>
        <w:rPr>
          <w:rFonts w:hint="eastAsia" w:ascii="仿宋" w:hAnsi="仿宋" w:eastAsia="仿宋"/>
          <w:spacing w:val="-21"/>
          <w:sz w:val="28"/>
          <w:u w:val="single"/>
        </w:rPr>
        <w:t>□</w:t>
      </w:r>
      <w:r>
        <w:rPr>
          <w:rFonts w:hint="eastAsia" w:ascii="仿宋" w:hAnsi="仿宋" w:eastAsia="仿宋"/>
          <w:sz w:val="28"/>
          <w:u w:val="single"/>
        </w:rPr>
        <w:t>实</w:t>
      </w:r>
      <w:r>
        <w:rPr>
          <w:rFonts w:hint="eastAsia" w:ascii="仿宋" w:hAnsi="仿宋" w:eastAsia="仿宋"/>
          <w:spacing w:val="-3"/>
          <w:sz w:val="28"/>
          <w:u w:val="single"/>
        </w:rPr>
        <w:t>施</w:t>
      </w:r>
      <w:r>
        <w:rPr>
          <w:rFonts w:hint="eastAsia" w:ascii="仿宋" w:hAnsi="仿宋" w:eastAsia="仿宋"/>
          <w:sz w:val="28"/>
          <w:u w:val="single"/>
        </w:rPr>
        <w:t>过程</w:t>
      </w:r>
      <w:r>
        <w:rPr>
          <w:rFonts w:hint="eastAsia" w:ascii="仿宋" w:hAnsi="仿宋" w:eastAsia="仿宋"/>
          <w:spacing w:val="-3"/>
          <w:sz w:val="28"/>
          <w:u w:val="single"/>
        </w:rPr>
        <w:t>评</w:t>
      </w:r>
      <w:r>
        <w:rPr>
          <w:rFonts w:hint="eastAsia" w:ascii="仿宋" w:hAnsi="仿宋" w:eastAsia="仿宋"/>
          <w:sz w:val="28"/>
          <w:u w:val="single"/>
        </w:rPr>
        <w:t>价</w:t>
      </w:r>
      <w:r>
        <w:rPr>
          <w:rFonts w:hint="eastAsia" w:ascii="仿宋" w:hAnsi="仿宋" w:eastAsia="仿宋"/>
          <w:sz w:val="28"/>
        </w:rPr>
        <w:tab/>
      </w:r>
      <w:r>
        <w:rPr>
          <w:rFonts w:hint="eastAsia" w:ascii="仿宋" w:hAnsi="仿宋" w:eastAsia="仿宋"/>
          <w:spacing w:val="-41"/>
          <w:sz w:val="28"/>
          <w:u w:val="single"/>
        </w:rPr>
        <w:sym w:font="Wingdings 2" w:char="00A3"/>
      </w:r>
      <w:r>
        <w:rPr>
          <w:rFonts w:hint="eastAsia" w:ascii="仿宋" w:hAnsi="仿宋" w:eastAsia="仿宋"/>
          <w:spacing w:val="-1"/>
          <w:sz w:val="28"/>
          <w:u w:val="single"/>
        </w:rPr>
        <w:t>完</w:t>
      </w:r>
      <w:r>
        <w:rPr>
          <w:rFonts w:hint="eastAsia" w:ascii="仿宋" w:hAnsi="仿宋" w:eastAsia="仿宋"/>
          <w:spacing w:val="-3"/>
          <w:sz w:val="28"/>
          <w:u w:val="single"/>
        </w:rPr>
        <w:t>成</w:t>
      </w:r>
      <w:r>
        <w:rPr>
          <w:rFonts w:hint="eastAsia" w:ascii="仿宋" w:hAnsi="仿宋" w:eastAsia="仿宋"/>
          <w:spacing w:val="-1"/>
          <w:sz w:val="28"/>
          <w:u w:val="single"/>
        </w:rPr>
        <w:t>结果</w:t>
      </w:r>
      <w:r>
        <w:rPr>
          <w:rFonts w:hint="eastAsia" w:ascii="仿宋" w:hAnsi="仿宋" w:eastAsia="仿宋"/>
          <w:spacing w:val="-3"/>
          <w:sz w:val="28"/>
          <w:u w:val="single"/>
        </w:rPr>
        <w:t>评</w:t>
      </w:r>
      <w:r>
        <w:rPr>
          <w:rFonts w:hint="eastAsia" w:ascii="仿宋" w:hAnsi="仿宋" w:eastAsia="仿宋"/>
          <w:sz w:val="28"/>
          <w:u w:val="single"/>
        </w:rPr>
        <w:t>价</w:t>
      </w:r>
    </w:p>
    <w:p>
      <w:pPr>
        <w:pStyle w:val="3"/>
        <w:spacing w:before="4"/>
        <w:rPr>
          <w:rFonts w:ascii="仿宋"/>
          <w:sz w:val="14"/>
        </w:rPr>
      </w:pPr>
    </w:p>
    <w:p>
      <w:pPr>
        <w:tabs>
          <w:tab w:val="left" w:pos="7877"/>
        </w:tabs>
        <w:spacing w:before="24"/>
        <w:ind w:left="1088" w:right="0" w:firstLine="0"/>
        <w:jc w:val="left"/>
        <w:rPr>
          <w:rFonts w:ascii="Times New Roman" w:eastAsia="Times New Roman"/>
          <w:sz w:val="28"/>
        </w:rPr>
      </w:pPr>
      <w:r>
        <w:rPr>
          <w:rFonts w:hint="eastAsia" w:ascii="仿宋" w:eastAsia="仿宋"/>
          <w:spacing w:val="-1"/>
          <w:sz w:val="28"/>
        </w:rPr>
        <w:t>项</w:t>
      </w:r>
      <w:r>
        <w:rPr>
          <w:rFonts w:hint="eastAsia" w:ascii="仿宋" w:eastAsia="仿宋"/>
          <w:spacing w:val="-3"/>
          <w:sz w:val="28"/>
        </w:rPr>
        <w:t>目</w:t>
      </w:r>
      <w:r>
        <w:rPr>
          <w:rFonts w:hint="eastAsia" w:ascii="仿宋" w:eastAsia="仿宋"/>
          <w:spacing w:val="-1"/>
          <w:sz w:val="28"/>
        </w:rPr>
        <w:t>名称</w:t>
      </w:r>
      <w:r>
        <w:rPr>
          <w:rFonts w:hint="eastAsia" w:ascii="仿宋" w:eastAsia="仿宋"/>
          <w:sz w:val="28"/>
        </w:rPr>
        <w:t>：</w:t>
      </w:r>
      <w:r>
        <w:rPr>
          <w:rFonts w:hint="eastAsia" w:ascii="仿宋" w:eastAsia="仿宋"/>
          <w:spacing w:val="-2"/>
          <w:sz w:val="28"/>
        </w:rPr>
        <w:t xml:space="preserve"> </w:t>
      </w:r>
      <w:r>
        <w:rPr>
          <w:rFonts w:hint="eastAsia" w:ascii="Times New Roman" w:eastAsia="宋体"/>
          <w:w w:val="100"/>
          <w:sz w:val="28"/>
          <w:u w:val="single"/>
          <w:lang w:val="en-US" w:eastAsia="zh-CN"/>
        </w:rPr>
        <w:t>浮梁县粮食产后服务体系建设项目</w:t>
      </w:r>
      <w:r>
        <w:rPr>
          <w:rFonts w:ascii="Times New Roman" w:eastAsia="Times New Roman"/>
          <w:sz w:val="28"/>
          <w:u w:val="single"/>
        </w:rPr>
        <w:tab/>
      </w:r>
    </w:p>
    <w:p>
      <w:pPr>
        <w:pStyle w:val="3"/>
        <w:spacing w:before="4"/>
        <w:rPr>
          <w:rFonts w:ascii="Times New Roman"/>
          <w:sz w:val="16"/>
        </w:rPr>
      </w:pPr>
    </w:p>
    <w:p>
      <w:pPr>
        <w:tabs>
          <w:tab w:val="left" w:pos="8016"/>
        </w:tabs>
        <w:spacing w:before="24"/>
        <w:ind w:left="1088" w:right="0" w:firstLine="0"/>
        <w:jc w:val="left"/>
        <w:rPr>
          <w:rFonts w:ascii="Times New Roman" w:eastAsia="Times New Roman"/>
          <w:sz w:val="28"/>
        </w:rPr>
      </w:pPr>
      <w:r>
        <w:rPr>
          <w:rFonts w:hint="eastAsia" w:ascii="仿宋" w:eastAsia="仿宋"/>
          <w:spacing w:val="-1"/>
          <w:sz w:val="28"/>
        </w:rPr>
        <w:t>项</w:t>
      </w:r>
      <w:r>
        <w:rPr>
          <w:rFonts w:hint="eastAsia" w:ascii="仿宋" w:eastAsia="仿宋"/>
          <w:spacing w:val="-3"/>
          <w:sz w:val="28"/>
        </w:rPr>
        <w:t>目</w:t>
      </w:r>
      <w:r>
        <w:rPr>
          <w:rFonts w:hint="eastAsia" w:ascii="仿宋" w:eastAsia="仿宋"/>
          <w:spacing w:val="-1"/>
          <w:sz w:val="28"/>
        </w:rPr>
        <w:t>单位</w:t>
      </w:r>
      <w:r>
        <w:rPr>
          <w:rFonts w:hint="eastAsia" w:ascii="仿宋" w:eastAsia="仿宋"/>
          <w:sz w:val="28"/>
        </w:rPr>
        <w:t>：</w:t>
      </w:r>
      <w:r>
        <w:rPr>
          <w:rFonts w:hint="eastAsia" w:ascii="仿宋" w:eastAsia="仿宋"/>
          <w:spacing w:val="-2"/>
          <w:sz w:val="28"/>
        </w:rPr>
        <w:t xml:space="preserve"> </w:t>
      </w:r>
      <w:r>
        <w:rPr>
          <w:rFonts w:ascii="Times New Roman" w:eastAsia="Times New Roman"/>
          <w:w w:val="100"/>
          <w:sz w:val="28"/>
          <w:u w:val="single"/>
        </w:rPr>
        <w:t xml:space="preserve"> </w:t>
      </w:r>
      <w:r>
        <w:rPr>
          <w:rFonts w:hint="eastAsia" w:ascii="Times New Roman" w:eastAsia="宋体"/>
          <w:w w:val="100"/>
          <w:sz w:val="28"/>
          <w:u w:val="single"/>
          <w:lang w:val="en-US" w:eastAsia="zh-CN"/>
        </w:rPr>
        <w:t>浮梁县收储公司</w:t>
      </w:r>
      <w:r>
        <w:rPr>
          <w:rFonts w:ascii="Times New Roman" w:eastAsia="Times New Roman"/>
          <w:sz w:val="28"/>
          <w:u w:val="single"/>
        </w:rPr>
        <w:tab/>
      </w:r>
    </w:p>
    <w:p>
      <w:pPr>
        <w:pStyle w:val="3"/>
        <w:spacing w:before="4"/>
        <w:rPr>
          <w:rFonts w:ascii="Times New Roman"/>
          <w:sz w:val="16"/>
        </w:rPr>
      </w:pPr>
    </w:p>
    <w:p>
      <w:pPr>
        <w:tabs>
          <w:tab w:val="left" w:pos="8016"/>
        </w:tabs>
        <w:spacing w:before="24"/>
        <w:ind w:left="1088" w:right="0" w:firstLine="0"/>
        <w:jc w:val="left"/>
        <w:rPr>
          <w:rFonts w:ascii="Times New Roman" w:eastAsia="Times New Roman"/>
          <w:sz w:val="28"/>
        </w:rPr>
      </w:pPr>
      <w:r>
        <w:rPr>
          <w:rFonts w:hint="eastAsia" w:ascii="仿宋" w:eastAsia="仿宋"/>
          <w:spacing w:val="-1"/>
          <w:sz w:val="28"/>
        </w:rPr>
        <w:t>主</w:t>
      </w:r>
      <w:r>
        <w:rPr>
          <w:rFonts w:hint="eastAsia" w:ascii="仿宋" w:eastAsia="仿宋"/>
          <w:spacing w:val="-3"/>
          <w:sz w:val="28"/>
        </w:rPr>
        <w:t>管</w:t>
      </w:r>
      <w:r>
        <w:rPr>
          <w:rFonts w:hint="eastAsia" w:ascii="仿宋" w:eastAsia="仿宋"/>
          <w:spacing w:val="-1"/>
          <w:sz w:val="28"/>
        </w:rPr>
        <w:t>部门</w:t>
      </w:r>
      <w:r>
        <w:rPr>
          <w:rFonts w:hint="eastAsia" w:ascii="仿宋" w:eastAsia="仿宋"/>
          <w:sz w:val="28"/>
        </w:rPr>
        <w:t>：</w:t>
      </w:r>
      <w:r>
        <w:rPr>
          <w:rFonts w:hint="eastAsia" w:ascii="仿宋" w:eastAsia="仿宋"/>
          <w:spacing w:val="-2"/>
          <w:sz w:val="28"/>
        </w:rPr>
        <w:t xml:space="preserve"> </w:t>
      </w:r>
      <w:r>
        <w:rPr>
          <w:rFonts w:ascii="Times New Roman" w:eastAsia="Times New Roman"/>
          <w:w w:val="100"/>
          <w:sz w:val="28"/>
          <w:u w:val="single"/>
        </w:rPr>
        <w:t xml:space="preserve"> </w:t>
      </w:r>
      <w:r>
        <w:rPr>
          <w:rFonts w:hint="eastAsia" w:ascii="Times New Roman" w:eastAsia="宋体"/>
          <w:w w:val="100"/>
          <w:sz w:val="28"/>
          <w:u w:val="single"/>
          <w:lang w:val="en-US" w:eastAsia="zh-CN"/>
        </w:rPr>
        <w:t>浮梁县粮食局</w:t>
      </w:r>
      <w:r>
        <w:rPr>
          <w:rFonts w:ascii="Times New Roman" w:eastAsia="Times New Roman"/>
          <w:sz w:val="28"/>
          <w:u w:val="single"/>
        </w:rPr>
        <w:tab/>
      </w:r>
    </w:p>
    <w:p>
      <w:pPr>
        <w:pStyle w:val="3"/>
        <w:spacing w:before="4"/>
        <w:rPr>
          <w:rFonts w:ascii="Times New Roman"/>
          <w:sz w:val="16"/>
        </w:rPr>
      </w:pPr>
    </w:p>
    <w:p>
      <w:pPr>
        <w:tabs>
          <w:tab w:val="left" w:pos="3468"/>
          <w:tab w:val="left" w:pos="4167"/>
          <w:tab w:val="left" w:pos="4867"/>
          <w:tab w:val="left" w:pos="6267"/>
          <w:tab w:val="left" w:pos="6967"/>
          <w:tab w:val="left" w:pos="7807"/>
        </w:tabs>
        <w:spacing w:before="24"/>
        <w:ind w:left="1088" w:right="0" w:firstLine="0"/>
        <w:jc w:val="left"/>
        <w:rPr>
          <w:rFonts w:hint="eastAsia" w:ascii="仿宋" w:eastAsia="仿宋"/>
          <w:sz w:val="28"/>
        </w:rPr>
      </w:pPr>
      <w:r>
        <w:rPr>
          <w:rFonts w:hint="eastAsia" w:ascii="仿宋" w:eastAsia="仿宋"/>
          <w:sz w:val="28"/>
        </w:rPr>
        <w:t>评</w:t>
      </w:r>
      <w:r>
        <w:rPr>
          <w:rFonts w:hint="eastAsia" w:ascii="仿宋" w:eastAsia="仿宋"/>
          <w:spacing w:val="-3"/>
          <w:sz w:val="28"/>
        </w:rPr>
        <w:t>价</w:t>
      </w:r>
      <w:r>
        <w:rPr>
          <w:rFonts w:hint="eastAsia" w:ascii="仿宋" w:eastAsia="仿宋"/>
          <w:sz w:val="28"/>
        </w:rPr>
        <w:t>时间：</w:t>
      </w:r>
      <w:r>
        <w:rPr>
          <w:rFonts w:ascii="Times New Roman" w:eastAsia="Times New Roman"/>
          <w:sz w:val="28"/>
          <w:u w:val="single"/>
        </w:rPr>
        <w:t xml:space="preserve"> </w:t>
      </w:r>
      <w:r>
        <w:rPr>
          <w:rFonts w:hint="eastAsia" w:ascii="Times New Roman" w:eastAsia="宋体"/>
          <w:sz w:val="28"/>
          <w:u w:val="single"/>
          <w:lang w:val="en-US" w:eastAsia="zh-CN"/>
        </w:rPr>
        <w:t>2022</w:t>
      </w:r>
      <w:r>
        <w:rPr>
          <w:rFonts w:hint="eastAsia" w:ascii="仿宋" w:eastAsia="仿宋"/>
          <w:sz w:val="28"/>
          <w:u w:val="single"/>
        </w:rPr>
        <w:t>年</w:t>
      </w:r>
      <w:r>
        <w:rPr>
          <w:rFonts w:hint="eastAsia" w:ascii="仿宋" w:eastAsia="仿宋"/>
          <w:sz w:val="28"/>
          <w:u w:val="single"/>
          <w:lang w:val="en-US" w:eastAsia="zh-CN"/>
        </w:rPr>
        <w:t>5</w:t>
      </w:r>
      <w:r>
        <w:rPr>
          <w:rFonts w:hint="eastAsia" w:ascii="仿宋" w:eastAsia="仿宋"/>
          <w:sz w:val="28"/>
          <w:u w:val="single"/>
        </w:rPr>
        <w:t>月</w:t>
      </w:r>
      <w:r>
        <w:rPr>
          <w:rFonts w:hint="eastAsia" w:ascii="仿宋" w:eastAsia="仿宋"/>
          <w:sz w:val="28"/>
          <w:u w:val="single"/>
          <w:lang w:val="en-US" w:eastAsia="zh-CN"/>
        </w:rPr>
        <w:t>3</w:t>
      </w:r>
      <w:r>
        <w:rPr>
          <w:rFonts w:hint="eastAsia" w:ascii="仿宋" w:eastAsia="仿宋"/>
          <w:sz w:val="28"/>
          <w:u w:val="single"/>
        </w:rPr>
        <w:t>日至</w:t>
      </w:r>
      <w:r>
        <w:rPr>
          <w:rFonts w:hint="eastAsia" w:ascii="仿宋" w:eastAsia="仿宋"/>
          <w:sz w:val="28"/>
          <w:u w:val="single"/>
          <w:lang w:val="en-US" w:eastAsia="zh-CN"/>
        </w:rPr>
        <w:t>2022</w:t>
      </w:r>
      <w:r>
        <w:rPr>
          <w:rFonts w:hint="eastAsia" w:ascii="仿宋" w:eastAsia="仿宋"/>
          <w:sz w:val="28"/>
          <w:u w:val="single"/>
        </w:rPr>
        <w:t>年</w:t>
      </w:r>
      <w:r>
        <w:rPr>
          <w:rFonts w:hint="eastAsia" w:ascii="仿宋" w:eastAsia="仿宋"/>
          <w:sz w:val="28"/>
          <w:u w:val="single"/>
          <w:lang w:val="en-US" w:eastAsia="zh-CN"/>
        </w:rPr>
        <w:t>6</w:t>
      </w:r>
      <w:r>
        <w:rPr>
          <w:rFonts w:hint="eastAsia" w:ascii="仿宋" w:eastAsia="仿宋"/>
          <w:sz w:val="28"/>
          <w:u w:val="single"/>
        </w:rPr>
        <w:tab/>
      </w:r>
      <w:r>
        <w:rPr>
          <w:rFonts w:hint="eastAsia" w:ascii="仿宋" w:eastAsia="仿宋"/>
          <w:sz w:val="28"/>
          <w:u w:val="single"/>
        </w:rPr>
        <w:t>月</w:t>
      </w:r>
      <w:r>
        <w:rPr>
          <w:rFonts w:hint="eastAsia" w:ascii="仿宋" w:eastAsia="仿宋"/>
          <w:sz w:val="28"/>
          <w:u w:val="single"/>
          <w:lang w:val="en-US" w:eastAsia="zh-CN"/>
        </w:rPr>
        <w:t>9</w:t>
      </w:r>
      <w:r>
        <w:rPr>
          <w:rFonts w:hint="eastAsia" w:ascii="仿宋" w:eastAsia="仿宋"/>
          <w:sz w:val="28"/>
          <w:u w:val="single"/>
        </w:rPr>
        <w:t>日</w:t>
      </w:r>
    </w:p>
    <w:p>
      <w:pPr>
        <w:pStyle w:val="3"/>
        <w:spacing w:before="1"/>
        <w:rPr>
          <w:rFonts w:ascii="仿宋"/>
          <w:sz w:val="15"/>
        </w:rPr>
      </w:pPr>
    </w:p>
    <w:p>
      <w:pPr>
        <w:tabs>
          <w:tab w:val="left" w:pos="4548"/>
          <w:tab w:val="left" w:pos="6607"/>
        </w:tabs>
        <w:spacing w:before="15"/>
        <w:ind w:left="1088" w:right="0" w:firstLine="0"/>
        <w:jc w:val="left"/>
        <w:rPr>
          <w:rFonts w:hint="eastAsia" w:ascii="仿宋" w:hAnsi="仿宋" w:eastAsia="仿宋"/>
          <w:sz w:val="28"/>
        </w:rPr>
      </w:pPr>
      <w:r>
        <w:rPr>
          <w:rFonts w:hint="eastAsia" w:ascii="仿宋" w:hAnsi="仿宋" w:eastAsia="仿宋"/>
          <w:sz w:val="28"/>
        </w:rPr>
        <w:t>组</w:t>
      </w:r>
      <w:r>
        <w:rPr>
          <w:rFonts w:hint="eastAsia" w:ascii="仿宋" w:hAnsi="仿宋" w:eastAsia="仿宋"/>
          <w:spacing w:val="-3"/>
          <w:sz w:val="28"/>
        </w:rPr>
        <w:t>织</w:t>
      </w:r>
      <w:r>
        <w:rPr>
          <w:rFonts w:hint="eastAsia" w:ascii="仿宋" w:hAnsi="仿宋" w:eastAsia="仿宋"/>
          <w:sz w:val="28"/>
        </w:rPr>
        <w:t>方式</w:t>
      </w:r>
      <w:r>
        <w:rPr>
          <w:rFonts w:hint="eastAsia" w:ascii="仿宋" w:hAnsi="仿宋" w:eastAsia="仿宋"/>
          <w:spacing w:val="-22"/>
          <w:sz w:val="28"/>
        </w:rPr>
        <w:t>：</w:t>
      </w:r>
      <w:r>
        <w:rPr>
          <w:rFonts w:hint="eastAsia" w:ascii="仿宋" w:hAnsi="仿宋" w:eastAsia="仿宋"/>
          <w:spacing w:val="-22"/>
          <w:sz w:val="28"/>
          <w:u w:val="single"/>
        </w:rPr>
        <w:t>□</w:t>
      </w:r>
      <w:r>
        <w:rPr>
          <w:rFonts w:hint="eastAsia" w:ascii="仿宋" w:hAnsi="仿宋" w:eastAsia="仿宋"/>
          <w:sz w:val="28"/>
          <w:u w:val="single"/>
        </w:rPr>
        <w:t>财</w:t>
      </w:r>
      <w:r>
        <w:rPr>
          <w:rFonts w:hint="eastAsia" w:ascii="仿宋" w:hAnsi="仿宋" w:eastAsia="仿宋"/>
          <w:spacing w:val="-3"/>
          <w:sz w:val="28"/>
          <w:u w:val="single"/>
        </w:rPr>
        <w:t>政</w:t>
      </w:r>
      <w:r>
        <w:rPr>
          <w:rFonts w:hint="eastAsia" w:ascii="仿宋" w:hAnsi="仿宋" w:eastAsia="仿宋"/>
          <w:sz w:val="28"/>
          <w:u w:val="single"/>
        </w:rPr>
        <w:t>部门</w:t>
      </w:r>
      <w:r>
        <w:rPr>
          <w:rFonts w:hint="eastAsia" w:ascii="仿宋" w:hAnsi="仿宋" w:eastAsia="仿宋"/>
          <w:sz w:val="28"/>
        </w:rPr>
        <w:tab/>
      </w:r>
      <w:r>
        <w:rPr>
          <w:rFonts w:hint="eastAsia" w:ascii="仿宋" w:hAnsi="仿宋" w:eastAsia="仿宋"/>
          <w:spacing w:val="-41"/>
          <w:sz w:val="28"/>
          <w:u w:val="single"/>
        </w:rPr>
        <w:t>□</w:t>
      </w:r>
      <w:r>
        <w:rPr>
          <w:rFonts w:hint="eastAsia" w:ascii="仿宋" w:hAnsi="仿宋" w:eastAsia="仿宋"/>
          <w:sz w:val="28"/>
          <w:u w:val="single"/>
        </w:rPr>
        <w:t>主</w:t>
      </w:r>
      <w:r>
        <w:rPr>
          <w:rFonts w:hint="eastAsia" w:ascii="仿宋" w:hAnsi="仿宋" w:eastAsia="仿宋"/>
          <w:spacing w:val="-3"/>
          <w:sz w:val="28"/>
          <w:u w:val="single"/>
        </w:rPr>
        <w:t>管</w:t>
      </w:r>
      <w:r>
        <w:rPr>
          <w:rFonts w:hint="eastAsia" w:ascii="仿宋" w:hAnsi="仿宋" w:eastAsia="仿宋"/>
          <w:sz w:val="28"/>
          <w:u w:val="single"/>
        </w:rPr>
        <w:t>部门</w:t>
      </w:r>
      <w:r>
        <w:rPr>
          <w:rFonts w:hint="eastAsia" w:ascii="仿宋" w:hAnsi="仿宋" w:eastAsia="仿宋"/>
          <w:sz w:val="28"/>
        </w:rPr>
        <w:tab/>
      </w:r>
      <w:r>
        <w:rPr>
          <w:rFonts w:hint="eastAsia" w:ascii="仿宋" w:hAnsi="仿宋" w:eastAsia="仿宋"/>
          <w:spacing w:val="-41"/>
          <w:sz w:val="28"/>
          <w:u w:val="single"/>
        </w:rPr>
        <w:t>□</w:t>
      </w:r>
      <w:r>
        <w:rPr>
          <w:rFonts w:hint="eastAsia" w:ascii="仿宋" w:hAnsi="仿宋" w:eastAsia="仿宋"/>
          <w:spacing w:val="-1"/>
          <w:sz w:val="28"/>
          <w:u w:val="single"/>
        </w:rPr>
        <w:t>项</w:t>
      </w:r>
      <w:r>
        <w:rPr>
          <w:rFonts w:hint="eastAsia" w:ascii="仿宋" w:hAnsi="仿宋" w:eastAsia="仿宋"/>
          <w:spacing w:val="-3"/>
          <w:sz w:val="28"/>
          <w:u w:val="single"/>
        </w:rPr>
        <w:t>目</w:t>
      </w:r>
      <w:r>
        <w:rPr>
          <w:rFonts w:hint="eastAsia" w:ascii="仿宋" w:hAnsi="仿宋" w:eastAsia="仿宋"/>
          <w:spacing w:val="-1"/>
          <w:sz w:val="28"/>
          <w:u w:val="single"/>
        </w:rPr>
        <w:t>单</w:t>
      </w:r>
      <w:r>
        <w:rPr>
          <w:rFonts w:hint="eastAsia" w:ascii="仿宋" w:hAnsi="仿宋" w:eastAsia="仿宋"/>
          <w:sz w:val="28"/>
          <w:u w:val="single"/>
        </w:rPr>
        <w:t>位</w:t>
      </w:r>
    </w:p>
    <w:p>
      <w:pPr>
        <w:pStyle w:val="3"/>
        <w:spacing w:before="12"/>
        <w:rPr>
          <w:rFonts w:ascii="仿宋"/>
          <w:sz w:val="14"/>
        </w:rPr>
      </w:pPr>
    </w:p>
    <w:p>
      <w:pPr>
        <w:tabs>
          <w:tab w:val="left" w:pos="4548"/>
          <w:tab w:val="left" w:pos="6048"/>
        </w:tabs>
        <w:spacing w:before="14"/>
        <w:ind w:left="1088" w:right="0" w:firstLine="0"/>
        <w:jc w:val="left"/>
        <w:rPr>
          <w:rFonts w:hint="eastAsia" w:ascii="仿宋" w:hAnsi="仿宋" w:eastAsia="仿宋"/>
          <w:sz w:val="28"/>
        </w:rPr>
      </w:pPr>
      <w:r>
        <w:rPr>
          <w:rFonts w:hint="eastAsia" w:ascii="仿宋" w:hAnsi="仿宋" w:eastAsia="仿宋"/>
          <w:sz w:val="28"/>
        </w:rPr>
        <w:t>评</w:t>
      </w:r>
      <w:r>
        <w:rPr>
          <w:rFonts w:hint="eastAsia" w:ascii="仿宋" w:hAnsi="仿宋" w:eastAsia="仿宋"/>
          <w:spacing w:val="-3"/>
          <w:sz w:val="28"/>
        </w:rPr>
        <w:t>价</w:t>
      </w:r>
      <w:r>
        <w:rPr>
          <w:rFonts w:hint="eastAsia" w:ascii="仿宋" w:hAnsi="仿宋" w:eastAsia="仿宋"/>
          <w:sz w:val="28"/>
        </w:rPr>
        <w:t>机构</w:t>
      </w:r>
      <w:r>
        <w:rPr>
          <w:rFonts w:hint="eastAsia" w:ascii="仿宋" w:hAnsi="仿宋" w:eastAsia="仿宋"/>
          <w:spacing w:val="-22"/>
          <w:sz w:val="28"/>
        </w:rPr>
        <w:t>：</w:t>
      </w:r>
      <w:r>
        <w:rPr>
          <w:rFonts w:hint="eastAsia" w:ascii="仿宋" w:hAnsi="仿宋" w:eastAsia="仿宋"/>
          <w:spacing w:val="-22"/>
          <w:sz w:val="28"/>
          <w:u w:val="single"/>
        </w:rPr>
        <w:t>□</w:t>
      </w:r>
      <w:r>
        <w:rPr>
          <w:rFonts w:hint="eastAsia" w:ascii="仿宋" w:hAnsi="仿宋" w:eastAsia="仿宋"/>
          <w:sz w:val="28"/>
          <w:u w:val="single"/>
        </w:rPr>
        <w:t>第</w:t>
      </w:r>
      <w:r>
        <w:rPr>
          <w:rFonts w:hint="eastAsia" w:ascii="仿宋" w:hAnsi="仿宋" w:eastAsia="仿宋"/>
          <w:spacing w:val="-3"/>
          <w:sz w:val="28"/>
          <w:u w:val="single"/>
        </w:rPr>
        <w:t>三</w:t>
      </w:r>
      <w:r>
        <w:rPr>
          <w:rFonts w:hint="eastAsia" w:ascii="仿宋" w:hAnsi="仿宋" w:eastAsia="仿宋"/>
          <w:sz w:val="28"/>
          <w:u w:val="single"/>
        </w:rPr>
        <w:t>方机构</w:t>
      </w:r>
      <w:r>
        <w:rPr>
          <w:rFonts w:hint="eastAsia" w:ascii="仿宋" w:hAnsi="仿宋" w:eastAsia="仿宋"/>
          <w:sz w:val="28"/>
        </w:rPr>
        <w:tab/>
      </w:r>
      <w:r>
        <w:rPr>
          <w:rFonts w:hint="eastAsia" w:ascii="仿宋" w:hAnsi="仿宋" w:eastAsia="仿宋"/>
          <w:spacing w:val="-41"/>
          <w:sz w:val="28"/>
          <w:u w:val="single"/>
        </w:rPr>
        <w:t>□</w:t>
      </w:r>
      <w:r>
        <w:rPr>
          <w:rFonts w:hint="eastAsia" w:ascii="仿宋" w:hAnsi="仿宋" w:eastAsia="仿宋"/>
          <w:sz w:val="28"/>
          <w:u w:val="single"/>
        </w:rPr>
        <w:t>专</w:t>
      </w:r>
      <w:r>
        <w:rPr>
          <w:rFonts w:hint="eastAsia" w:ascii="仿宋" w:hAnsi="仿宋" w:eastAsia="仿宋"/>
          <w:spacing w:val="-3"/>
          <w:sz w:val="28"/>
          <w:u w:val="single"/>
        </w:rPr>
        <w:t>家</w:t>
      </w:r>
      <w:r>
        <w:rPr>
          <w:rFonts w:hint="eastAsia" w:ascii="仿宋" w:hAnsi="仿宋" w:eastAsia="仿宋"/>
          <w:sz w:val="28"/>
          <w:u w:val="single"/>
        </w:rPr>
        <w:t>组</w:t>
      </w:r>
      <w:r>
        <w:rPr>
          <w:rFonts w:hint="eastAsia" w:ascii="仿宋" w:hAnsi="仿宋" w:eastAsia="仿宋"/>
          <w:sz w:val="28"/>
        </w:rPr>
        <w:tab/>
      </w:r>
      <w:r>
        <w:rPr>
          <w:rFonts w:hint="eastAsia" w:ascii="仿宋" w:hAnsi="仿宋" w:eastAsia="仿宋"/>
          <w:spacing w:val="-41"/>
          <w:sz w:val="28"/>
          <w:u w:val="single"/>
        </w:rPr>
        <w:t>□</w:t>
      </w:r>
      <w:r>
        <w:rPr>
          <w:rFonts w:hint="eastAsia" w:ascii="仿宋" w:hAnsi="仿宋" w:eastAsia="仿宋"/>
          <w:spacing w:val="-1"/>
          <w:sz w:val="28"/>
          <w:u w:val="single"/>
        </w:rPr>
        <w:t>项</w:t>
      </w:r>
      <w:r>
        <w:rPr>
          <w:rFonts w:hint="eastAsia" w:ascii="仿宋" w:hAnsi="仿宋" w:eastAsia="仿宋"/>
          <w:spacing w:val="-3"/>
          <w:sz w:val="28"/>
          <w:u w:val="single"/>
        </w:rPr>
        <w:t>目</w:t>
      </w:r>
      <w:r>
        <w:rPr>
          <w:rFonts w:hint="eastAsia" w:ascii="仿宋" w:hAnsi="仿宋" w:eastAsia="仿宋"/>
          <w:spacing w:val="-1"/>
          <w:sz w:val="28"/>
          <w:u w:val="single"/>
        </w:rPr>
        <w:t>单位</w:t>
      </w:r>
      <w:r>
        <w:rPr>
          <w:rFonts w:hint="eastAsia" w:ascii="仿宋" w:hAnsi="仿宋" w:eastAsia="仿宋"/>
          <w:spacing w:val="-3"/>
          <w:sz w:val="28"/>
          <w:u w:val="single"/>
        </w:rPr>
        <w:t>评</w:t>
      </w:r>
      <w:r>
        <w:rPr>
          <w:rFonts w:hint="eastAsia" w:ascii="仿宋" w:hAnsi="仿宋" w:eastAsia="仿宋"/>
          <w:spacing w:val="-1"/>
          <w:sz w:val="28"/>
          <w:u w:val="single"/>
        </w:rPr>
        <w:t>价</w:t>
      </w:r>
      <w:r>
        <w:rPr>
          <w:rFonts w:hint="eastAsia" w:ascii="仿宋" w:hAnsi="仿宋" w:eastAsia="仿宋"/>
          <w:sz w:val="28"/>
          <w:u w:val="single"/>
        </w:rPr>
        <w:t>组</w:t>
      </w:r>
    </w:p>
    <w:p>
      <w:pPr>
        <w:pStyle w:val="3"/>
        <w:rPr>
          <w:rFonts w:ascii="仿宋"/>
          <w:sz w:val="20"/>
        </w:rPr>
      </w:pPr>
    </w:p>
    <w:p>
      <w:pPr>
        <w:pStyle w:val="3"/>
        <w:rPr>
          <w:rFonts w:ascii="仿宋"/>
          <w:sz w:val="20"/>
        </w:rPr>
      </w:pPr>
    </w:p>
    <w:p>
      <w:pPr>
        <w:pStyle w:val="3"/>
        <w:spacing w:before="11"/>
        <w:rPr>
          <w:rFonts w:ascii="仿宋"/>
          <w:sz w:val="15"/>
        </w:rPr>
      </w:pPr>
      <w:r>
        <w:rPr>
          <w:rFonts w:hint="eastAsia" w:ascii="仿宋_GB2312" w:eastAsia="仿宋_GB2312"/>
          <w:sz w:val="32"/>
          <w:szCs w:val="32"/>
          <w:lang w:val="en-US" w:eastAsia="zh-CN"/>
        </w:rPr>
        <w:t xml:space="preserve"> </w:t>
      </w:r>
    </w:p>
    <w:p>
      <w:pPr>
        <w:tabs>
          <w:tab w:val="left" w:pos="3808"/>
        </w:tabs>
        <w:spacing w:before="15"/>
        <w:ind w:left="1052" w:right="0" w:firstLine="0"/>
        <w:jc w:val="left"/>
        <w:rPr>
          <w:rFonts w:hint="eastAsia" w:ascii="仿宋" w:eastAsia="仿宋"/>
          <w:sz w:val="28"/>
          <w:lang w:val="en-US" w:eastAsia="zh-CN"/>
        </w:rPr>
      </w:pPr>
      <w:r>
        <w:rPr>
          <w:rFonts w:hint="eastAsia" w:ascii="仿宋" w:eastAsia="仿宋"/>
          <w:sz w:val="28"/>
          <w:lang w:val="en-US" w:eastAsia="zh-CN"/>
        </w:rPr>
        <w:t>评价单位（盖章）：</w:t>
      </w:r>
    </w:p>
    <w:p>
      <w:pPr>
        <w:tabs>
          <w:tab w:val="left" w:pos="3808"/>
        </w:tabs>
        <w:spacing w:before="15"/>
        <w:ind w:left="1052" w:right="0" w:firstLine="0"/>
        <w:jc w:val="left"/>
        <w:rPr>
          <w:rFonts w:hint="eastAsia" w:ascii="仿宋" w:eastAsia="仿宋"/>
          <w:sz w:val="28"/>
          <w:lang w:val="en-US" w:eastAsia="zh-CN"/>
        </w:rPr>
      </w:pPr>
    </w:p>
    <w:p>
      <w:pPr>
        <w:spacing w:line="360" w:lineRule="auto"/>
        <w:ind w:firstLine="2240" w:firstLineChars="800"/>
        <w:rPr>
          <w:rFonts w:hint="default" w:ascii="仿宋_GB2312" w:eastAsia="仿宋"/>
          <w:sz w:val="32"/>
          <w:szCs w:val="32"/>
          <w:lang w:val="en-US" w:eastAsia="zh-CN"/>
        </w:rPr>
      </w:pPr>
      <w:r>
        <w:rPr>
          <w:rFonts w:hint="eastAsia" w:ascii="仿宋" w:eastAsia="仿宋"/>
          <w:sz w:val="28"/>
        </w:rPr>
        <w:t>上报时间：</w:t>
      </w:r>
      <w:r>
        <w:rPr>
          <w:rFonts w:hint="eastAsia" w:ascii="仿宋" w:eastAsia="仿宋"/>
          <w:sz w:val="28"/>
          <w:lang w:val="en-US" w:eastAsia="zh-CN"/>
        </w:rPr>
        <w:t>2022年6月10日</w:t>
      </w:r>
    </w:p>
    <w:p>
      <w:pPr>
        <w:spacing w:line="360" w:lineRule="auto"/>
        <w:rPr>
          <w:rFonts w:ascii="仿宋_GB2312" w:eastAsia="仿宋_GB2312"/>
          <w:sz w:val="32"/>
          <w:szCs w:val="32"/>
        </w:rPr>
      </w:pPr>
    </w:p>
    <w:p>
      <w:pPr>
        <w:jc w:val="center"/>
        <w:rPr>
          <w:rFonts w:ascii="黑体" w:hAnsi="黑体" w:eastAsia="黑体"/>
          <w:sz w:val="36"/>
          <w:szCs w:val="36"/>
        </w:rPr>
      </w:pPr>
      <w:r>
        <w:rPr>
          <w:rFonts w:hint="eastAsia" w:ascii="黑体" w:hAnsi="黑体" w:eastAsia="黑体"/>
          <w:sz w:val="36"/>
          <w:szCs w:val="36"/>
        </w:rPr>
        <w:t>景德镇市浮梁县粮食产后服务体系建设项目</w:t>
      </w:r>
    </w:p>
    <w:p>
      <w:pPr>
        <w:jc w:val="center"/>
        <w:rPr>
          <w:rFonts w:ascii="黑体" w:hAnsi="黑体" w:eastAsia="黑体"/>
          <w:sz w:val="36"/>
          <w:szCs w:val="36"/>
        </w:rPr>
      </w:pPr>
      <w:r>
        <w:rPr>
          <w:rFonts w:hint="eastAsia" w:ascii="黑体" w:hAnsi="黑体" w:eastAsia="黑体"/>
          <w:sz w:val="36"/>
          <w:szCs w:val="36"/>
        </w:rPr>
        <w:t>的绩效评价报告</w:t>
      </w:r>
    </w:p>
    <w:p>
      <w:pPr>
        <w:rPr>
          <w:rFonts w:ascii="仿宋" w:hAnsi="仿宋" w:eastAsia="仿宋"/>
          <w:sz w:val="32"/>
          <w:szCs w:val="32"/>
        </w:rPr>
      </w:pPr>
      <w:r>
        <w:rPr>
          <w:rFonts w:hint="eastAsia" w:ascii="仿宋" w:hAnsi="仿宋" w:eastAsia="仿宋"/>
          <w:sz w:val="32"/>
          <w:szCs w:val="32"/>
        </w:rPr>
        <w:t xml:space="preserve"> </w:t>
      </w:r>
    </w:p>
    <w:p>
      <w:pPr>
        <w:ind w:firstLine="645"/>
        <w:rPr>
          <w:rFonts w:ascii="仿宋" w:hAnsi="仿宋" w:eastAsia="仿宋"/>
          <w:sz w:val="32"/>
          <w:szCs w:val="32"/>
        </w:rPr>
      </w:pPr>
      <w:r>
        <w:rPr>
          <w:rFonts w:hint="eastAsia" w:ascii="仿宋" w:hAnsi="仿宋" w:eastAsia="仿宋"/>
          <w:sz w:val="32"/>
          <w:szCs w:val="32"/>
        </w:rPr>
        <w:t>为加强和规范“优质粮食工程”专项资金管理，提高财政资金使用效益，根据《江西省财政厅  江西省粮食局关于印发江西省“优质粮食工程”专项资金绩效评价办法的通知》（赣财经[2018]25号）、《江西省粮食和物资储备局关于开展优质粮食工程绩效评价工作的通知》（赣粮财[2020]6号）文件要求，对景德镇市浮梁县粮食产后服务体系，建设项目进行了绩效评价。现将评价情况报告如下：</w:t>
      </w:r>
    </w:p>
    <w:p>
      <w:pPr>
        <w:ind w:firstLine="645"/>
        <w:rPr>
          <w:rFonts w:ascii="黑体" w:hAnsi="黑体" w:eastAsia="黑体"/>
          <w:sz w:val="32"/>
          <w:szCs w:val="32"/>
        </w:rPr>
      </w:pPr>
      <w:r>
        <w:rPr>
          <w:rFonts w:hint="eastAsia" w:ascii="黑体" w:hAnsi="黑体" w:eastAsia="黑体"/>
          <w:sz w:val="32"/>
          <w:szCs w:val="32"/>
        </w:rPr>
        <w:t>一、项目基本情况</w:t>
      </w:r>
    </w:p>
    <w:p>
      <w:pPr>
        <w:ind w:firstLine="645"/>
        <w:rPr>
          <w:rFonts w:ascii="仿宋" w:hAnsi="仿宋" w:eastAsia="仿宋"/>
          <w:b/>
          <w:bCs/>
          <w:sz w:val="32"/>
          <w:szCs w:val="32"/>
        </w:rPr>
      </w:pPr>
      <w:r>
        <w:rPr>
          <w:rFonts w:hint="eastAsia" w:ascii="仿宋" w:hAnsi="仿宋" w:eastAsia="仿宋"/>
          <w:b/>
          <w:bCs/>
          <w:sz w:val="32"/>
          <w:szCs w:val="32"/>
        </w:rPr>
        <w:t>（一）项目概况</w:t>
      </w:r>
    </w:p>
    <w:p>
      <w:pPr>
        <w:ind w:firstLine="645"/>
        <w:rPr>
          <w:rFonts w:ascii="仿宋" w:hAnsi="仿宋" w:eastAsia="仿宋"/>
          <w:sz w:val="32"/>
          <w:szCs w:val="32"/>
        </w:rPr>
      </w:pPr>
      <w:r>
        <w:rPr>
          <w:rFonts w:hint="eastAsia" w:ascii="仿宋" w:hAnsi="仿宋" w:eastAsia="仿宋"/>
          <w:sz w:val="32"/>
          <w:szCs w:val="32"/>
        </w:rPr>
        <w:t>1、项目背景</w:t>
      </w:r>
    </w:p>
    <w:p>
      <w:pPr>
        <w:ind w:firstLine="645"/>
        <w:rPr>
          <w:rFonts w:ascii="仿宋" w:hAnsi="仿宋" w:eastAsia="仿宋"/>
          <w:sz w:val="32"/>
          <w:szCs w:val="32"/>
        </w:rPr>
      </w:pPr>
      <w:r>
        <w:rPr>
          <w:rFonts w:hint="eastAsia" w:ascii="仿宋" w:hAnsi="仿宋" w:eastAsia="仿宋"/>
          <w:sz w:val="32"/>
          <w:szCs w:val="32"/>
        </w:rPr>
        <w:t>浮梁位于江西省东北部，县域面积2851平方公里，全县水稻面积32万亩，年粮食产量21万吨（稻谷）、商品量15万吨，属粮食主产县。近几年来，我县粮食产业由传统农业向现代农业转型发展，粮食生产机械化程度和粮食种植规模化水平不断提高。受制于阴雨天气影响，加之农村劳动力外出务工增加，收获后的湿谷因赶不到晴好天气翻晒，缺乏烘干设备烘干极易造成稻谷抽芽、霉变，产后粮食损失严重，既严重影响了粮食的品质，同时又减少了农民种粮收益。为了切实解决种粮农户“烘干难”问题，国务院办公厅于2017年下发了关于加快推进农业供给侧结构性改革大力发展粮食产业经济的意见，江西省启动了“优质粮食工程”实施建设，要求全省各地加快以“五代”为内容的粮食产后服务体系建设。县政府积极响应，于2018年8月以浮府文[2008]46号文件申报了浮梁县粮食产后服务中心建设的请示。2019年8月，江西省粮食和物资储备局下达我县粮食产后服务中心实施计划5个，省财政厅赣财建指[2019]89号文件安排我县2019年粮食产后服务中心中央专项资金471万元。</w:t>
      </w:r>
    </w:p>
    <w:p>
      <w:pPr>
        <w:ind w:firstLine="645"/>
        <w:rPr>
          <w:rFonts w:ascii="仿宋" w:hAnsi="仿宋" w:eastAsia="仿宋"/>
          <w:sz w:val="32"/>
          <w:szCs w:val="32"/>
        </w:rPr>
      </w:pPr>
      <w:r>
        <w:rPr>
          <w:rFonts w:hint="eastAsia" w:ascii="仿宋" w:hAnsi="仿宋" w:eastAsia="仿宋"/>
          <w:sz w:val="32"/>
          <w:szCs w:val="32"/>
        </w:rPr>
        <w:t>2、主要内容</w:t>
      </w:r>
    </w:p>
    <w:p>
      <w:pPr>
        <w:ind w:firstLine="645"/>
        <w:rPr>
          <w:rFonts w:ascii="仿宋" w:hAnsi="仿宋" w:eastAsia="仿宋"/>
          <w:sz w:val="32"/>
          <w:szCs w:val="32"/>
        </w:rPr>
      </w:pPr>
      <w:r>
        <w:rPr>
          <w:rFonts w:hint="eastAsia" w:ascii="仿宋" w:hAnsi="仿宋" w:eastAsia="仿宋"/>
          <w:sz w:val="32"/>
          <w:szCs w:val="32"/>
        </w:rPr>
        <w:t>计划新建鹅湖等5个产后服务中心、粮食日处理能力750吨。实际完成建设内容具体包括：</w:t>
      </w:r>
    </w:p>
    <w:p>
      <w:pPr>
        <w:ind w:firstLine="645"/>
        <w:rPr>
          <w:rFonts w:ascii="仿宋" w:hAnsi="仿宋" w:eastAsia="仿宋"/>
          <w:sz w:val="32"/>
          <w:szCs w:val="32"/>
        </w:rPr>
      </w:pPr>
      <w:r>
        <w:rPr>
          <w:rFonts w:hint="eastAsia" w:ascii="仿宋" w:hAnsi="仿宋" w:eastAsia="仿宋"/>
          <w:sz w:val="32"/>
          <w:szCs w:val="32"/>
        </w:rPr>
        <w:t>2.1  粮食干燥清理设备13台，日处理能力950吨，其中：鹅湖4台、处理量320吨，庄湾3台、日处理量&gt;150吨，直属粮库3台、180吨/日处理量，洪源2台、日处理量&gt;150吨，经公桥2台、日处理量&gt;150吨。建成后实际日处理能力950吨，占计划日处理量750吨的126.7%。</w:t>
      </w:r>
    </w:p>
    <w:p>
      <w:pPr>
        <w:ind w:firstLine="645"/>
        <w:rPr>
          <w:rFonts w:ascii="仿宋" w:hAnsi="仿宋" w:eastAsia="仿宋"/>
          <w:sz w:val="32"/>
          <w:szCs w:val="32"/>
        </w:rPr>
      </w:pPr>
      <w:r>
        <w:rPr>
          <w:rFonts w:hint="eastAsia" w:ascii="仿宋" w:hAnsi="仿宋" w:eastAsia="仿宋"/>
          <w:sz w:val="32"/>
          <w:szCs w:val="32"/>
        </w:rPr>
        <w:t>2.2  物流仓储设备。各中心配齐粮食接收、发放、运输（社会租赁）、装卸、通风设备及粮情检测设备，同时建成与烘干设备匹配的罩棚、晒场、地坪等配套设施，对中心所在的仓库也进行的一般性维修改造。</w:t>
      </w:r>
    </w:p>
    <w:p>
      <w:pPr>
        <w:ind w:firstLine="645"/>
        <w:rPr>
          <w:rFonts w:ascii="仿宋" w:hAnsi="仿宋" w:eastAsia="仿宋"/>
          <w:sz w:val="32"/>
          <w:szCs w:val="32"/>
        </w:rPr>
      </w:pPr>
      <w:r>
        <w:rPr>
          <w:rFonts w:hint="eastAsia" w:ascii="仿宋" w:hAnsi="仿宋" w:eastAsia="仿宋"/>
          <w:sz w:val="32"/>
          <w:szCs w:val="32"/>
        </w:rPr>
        <w:t>2.3  粮食质量常规检测离仪器。各中心参考《粮食产后服务中心建设技术指南（试行）》的要求，配齐产后服务中心检测仪器，满足粮食常规检测需求。</w:t>
      </w:r>
    </w:p>
    <w:p>
      <w:pPr>
        <w:ind w:firstLine="645"/>
        <w:rPr>
          <w:rFonts w:ascii="仿宋" w:hAnsi="仿宋" w:eastAsia="仿宋"/>
          <w:sz w:val="32"/>
          <w:szCs w:val="32"/>
        </w:rPr>
      </w:pPr>
      <w:r>
        <w:rPr>
          <w:rFonts w:hint="eastAsia" w:ascii="仿宋" w:hAnsi="仿宋" w:eastAsia="仿宋"/>
          <w:sz w:val="32"/>
          <w:szCs w:val="32"/>
        </w:rPr>
        <w:t>3、实施情况</w:t>
      </w:r>
    </w:p>
    <w:p>
      <w:pPr>
        <w:ind w:firstLine="645"/>
        <w:rPr>
          <w:rFonts w:ascii="仿宋" w:hAnsi="仿宋" w:eastAsia="仿宋"/>
          <w:sz w:val="32"/>
          <w:szCs w:val="32"/>
        </w:rPr>
      </w:pPr>
      <w:r>
        <w:rPr>
          <w:rFonts w:hint="eastAsia" w:ascii="仿宋" w:hAnsi="仿宋" w:eastAsia="仿宋"/>
          <w:sz w:val="32"/>
          <w:szCs w:val="32"/>
        </w:rPr>
        <w:t>为切实抓紧、抓好粮食产后服务体系项目建设，成立了浮梁县粮食产后服务体系建设项目领导小组。中心烘干设备及其钢棚工程通过政府采购方式确定中标单位，聘请了监理单位对工程进度、质量、安全生产等进行全程监督管理，及时对完工项目进行了验收。整个项目建设程序合规、资料齐全。为了加强项目建设管理，制定下发了《浮梁县粮食产后服务体系建设项目管理办法》、《浮梁县粮食产后服务中心项目资金管理办法》、《浮梁县粮食产后服务中心运营管理暂行办法》等相关制度，确保项目建设有序推进、项目管理有章可循、项目资金管理规范。</w:t>
      </w:r>
    </w:p>
    <w:p>
      <w:pPr>
        <w:ind w:firstLine="645"/>
        <w:rPr>
          <w:rFonts w:ascii="仿宋" w:hAnsi="仿宋" w:eastAsia="仿宋"/>
          <w:sz w:val="32"/>
          <w:szCs w:val="32"/>
        </w:rPr>
      </w:pPr>
      <w:r>
        <w:rPr>
          <w:rFonts w:hint="eastAsia" w:ascii="仿宋" w:hAnsi="仿宋" w:eastAsia="仿宋"/>
          <w:sz w:val="32"/>
          <w:szCs w:val="32"/>
        </w:rPr>
        <w:t>4、资金投入和使用情况</w:t>
      </w:r>
    </w:p>
    <w:p>
      <w:pPr>
        <w:ind w:firstLine="645"/>
        <w:rPr>
          <w:rFonts w:ascii="仿宋" w:hAnsi="仿宋" w:eastAsia="仿宋"/>
          <w:sz w:val="32"/>
          <w:szCs w:val="32"/>
        </w:rPr>
      </w:pPr>
      <w:r>
        <w:rPr>
          <w:rFonts w:hint="eastAsia" w:ascii="仿宋" w:hAnsi="仿宋" w:eastAsia="仿宋"/>
          <w:sz w:val="32"/>
          <w:szCs w:val="32"/>
        </w:rPr>
        <w:t>该项目计划建设资金1703万元。实际投入资金1830万元（其中：中央资金471万元），占计划资金的107.5%。截止2020年10月25日，该项目实际支出资金749.85万元，其中：中央资金471万元、企业自筹278.85万元。</w:t>
      </w:r>
    </w:p>
    <w:p>
      <w:pPr>
        <w:ind w:firstLine="645"/>
        <w:rPr>
          <w:rFonts w:ascii="仿宋" w:hAnsi="仿宋" w:eastAsia="仿宋"/>
          <w:sz w:val="32"/>
          <w:szCs w:val="32"/>
        </w:rPr>
      </w:pPr>
      <w:r>
        <w:rPr>
          <w:rFonts w:hint="eastAsia" w:ascii="仿宋" w:hAnsi="仿宋" w:eastAsia="仿宋"/>
          <w:sz w:val="32"/>
          <w:szCs w:val="32"/>
        </w:rPr>
        <w:t>2019年8月，县粮食局下发的《浮梁县粮食产后服务体系建设项目资金管理办法》，就项目资金管理作出了具体规定，明确了资金审批权限及资金拔付流程，要求各项目实施单位对项目资金做到专账核算、专款专用，按合同支付，县局及各项目用款单位切切实实按资金管理办法执行。</w:t>
      </w:r>
    </w:p>
    <w:p>
      <w:pPr>
        <w:ind w:firstLine="645"/>
        <w:rPr>
          <w:rFonts w:ascii="仿宋" w:hAnsi="仿宋" w:eastAsia="仿宋"/>
          <w:b/>
          <w:bCs/>
          <w:sz w:val="32"/>
          <w:szCs w:val="32"/>
        </w:rPr>
      </w:pPr>
      <w:r>
        <w:rPr>
          <w:rFonts w:hint="eastAsia" w:ascii="仿宋" w:hAnsi="仿宋" w:eastAsia="仿宋"/>
          <w:b/>
          <w:bCs/>
          <w:sz w:val="32"/>
          <w:szCs w:val="32"/>
        </w:rPr>
        <w:t>（二）项目绩效目标</w:t>
      </w:r>
    </w:p>
    <w:p>
      <w:pPr>
        <w:ind w:firstLine="645"/>
        <w:rPr>
          <w:rFonts w:ascii="仿宋" w:hAnsi="仿宋" w:eastAsia="仿宋"/>
          <w:sz w:val="32"/>
          <w:szCs w:val="32"/>
        </w:rPr>
      </w:pPr>
      <w:r>
        <w:rPr>
          <w:rFonts w:hint="eastAsia" w:ascii="仿宋" w:hAnsi="仿宋" w:eastAsia="仿宋"/>
          <w:sz w:val="32"/>
          <w:szCs w:val="32"/>
        </w:rPr>
        <w:t>1、总体目标</w:t>
      </w:r>
    </w:p>
    <w:p>
      <w:pPr>
        <w:ind w:firstLine="645"/>
        <w:rPr>
          <w:rFonts w:ascii="仿宋" w:hAnsi="仿宋" w:eastAsia="仿宋"/>
          <w:sz w:val="32"/>
          <w:szCs w:val="32"/>
        </w:rPr>
      </w:pPr>
      <w:r>
        <w:rPr>
          <w:rFonts w:hint="eastAsia" w:ascii="仿宋" w:hAnsi="仿宋" w:eastAsia="仿宋"/>
          <w:sz w:val="32"/>
          <w:szCs w:val="32"/>
        </w:rPr>
        <w:t>针对市场化收购新形势下农民“烘干难、烘干贵”等问题，整合粮食企业的现有资源，建立专业化的经营性粮食产后服务中心，有偿为种粮农户提供“五代”（代清理、代干燥、代储存、代加工、代销售）服务，在全县建成布局合理、设施先进、功能完善、满足粮食产后处理需要的新型社会化粮食产后服务体系。</w:t>
      </w:r>
    </w:p>
    <w:p>
      <w:pPr>
        <w:ind w:firstLine="645"/>
        <w:rPr>
          <w:rFonts w:ascii="仿宋" w:hAnsi="仿宋" w:eastAsia="仿宋"/>
          <w:sz w:val="32"/>
          <w:szCs w:val="32"/>
        </w:rPr>
      </w:pPr>
      <w:r>
        <w:rPr>
          <w:rFonts w:hint="eastAsia" w:ascii="仿宋" w:hAnsi="仿宋" w:eastAsia="仿宋"/>
          <w:sz w:val="32"/>
          <w:szCs w:val="32"/>
        </w:rPr>
        <w:t>2、阶段性目标</w:t>
      </w:r>
    </w:p>
    <w:p>
      <w:pPr>
        <w:ind w:firstLine="645"/>
        <w:rPr>
          <w:rFonts w:ascii="仿宋" w:hAnsi="仿宋" w:eastAsia="仿宋"/>
          <w:sz w:val="32"/>
          <w:szCs w:val="32"/>
        </w:rPr>
      </w:pPr>
      <w:r>
        <w:rPr>
          <w:rFonts w:hint="eastAsia" w:ascii="仿宋" w:hAnsi="仿宋" w:eastAsia="仿宋"/>
          <w:sz w:val="32"/>
          <w:szCs w:val="32"/>
        </w:rPr>
        <w:t>2.1  基本满足种粮农户解决“烘干难”迫切要求。5个产后服务中心的建成运行，能够覆盖全县80%乡镇、90%农户湿谷“烘干难”问题。</w:t>
      </w:r>
    </w:p>
    <w:p>
      <w:pPr>
        <w:ind w:firstLine="645"/>
        <w:rPr>
          <w:rFonts w:ascii="仿宋" w:hAnsi="仿宋" w:eastAsia="仿宋"/>
          <w:sz w:val="32"/>
          <w:szCs w:val="32"/>
        </w:rPr>
      </w:pPr>
      <w:r>
        <w:rPr>
          <w:rFonts w:hint="eastAsia" w:ascii="仿宋" w:hAnsi="仿宋" w:eastAsia="仿宋"/>
          <w:sz w:val="32"/>
          <w:szCs w:val="32"/>
        </w:rPr>
        <w:t>2.2  增强农民市场议价能力。产后服务中心通过向农民提供粮食烘干、保管及销售市场信息服务，可为农民适时适市适价卖粮创造条件，帮助农民卖好粮、卖好价。</w:t>
      </w:r>
    </w:p>
    <w:p>
      <w:pPr>
        <w:ind w:firstLine="645"/>
        <w:rPr>
          <w:rFonts w:ascii="仿宋" w:hAnsi="仿宋" w:eastAsia="仿宋"/>
          <w:sz w:val="32"/>
          <w:szCs w:val="32"/>
        </w:rPr>
      </w:pPr>
      <w:r>
        <w:rPr>
          <w:rFonts w:hint="eastAsia" w:ascii="仿宋" w:hAnsi="仿宋" w:eastAsia="仿宋"/>
          <w:sz w:val="32"/>
          <w:szCs w:val="32"/>
        </w:rPr>
        <w:t>2.3  促进粮食提质进档。服务中心通过提供专业化清理、干燥、分类等服务，大幅度提高粮食保质能力，为实现优质优价、增加绿色优质粮食产品供给创造条件，带动农民增收。</w:t>
      </w:r>
    </w:p>
    <w:p>
      <w:pPr>
        <w:ind w:firstLine="645"/>
        <w:rPr>
          <w:rFonts w:ascii="仿宋" w:hAnsi="仿宋" w:eastAsia="仿宋"/>
          <w:sz w:val="32"/>
          <w:szCs w:val="32"/>
        </w:rPr>
      </w:pPr>
      <w:r>
        <w:rPr>
          <w:rFonts w:hint="eastAsia" w:ascii="仿宋" w:hAnsi="仿宋" w:eastAsia="仿宋"/>
          <w:sz w:val="32"/>
          <w:szCs w:val="32"/>
        </w:rPr>
        <w:t>2.4  推动节粮减损。通过粮食产后服务中心和粮食产后技术服务，使农民种收获的粮食得到及时处理，妥善保管，从而大幅减少农户储粮损失率。</w:t>
      </w:r>
    </w:p>
    <w:p>
      <w:pPr>
        <w:ind w:firstLine="645"/>
        <w:rPr>
          <w:rFonts w:ascii="仿宋" w:hAnsi="仿宋" w:eastAsia="仿宋"/>
          <w:sz w:val="32"/>
          <w:szCs w:val="32"/>
        </w:rPr>
      </w:pPr>
      <w:r>
        <w:rPr>
          <w:rFonts w:hint="eastAsia" w:ascii="仿宋" w:hAnsi="仿宋" w:eastAsia="仿宋"/>
          <w:sz w:val="32"/>
          <w:szCs w:val="32"/>
        </w:rPr>
        <w:t>2.5  提高专业化服务水平。通过整合产后服务资源，形成完整的服务链，提升农业的专业化水平，促进农村第三产业发展，提高了服务效率和劳动生产率。</w:t>
      </w:r>
    </w:p>
    <w:p>
      <w:pPr>
        <w:ind w:firstLine="645"/>
        <w:rPr>
          <w:rFonts w:ascii="黑体" w:hAnsi="黑体" w:eastAsia="黑体"/>
          <w:sz w:val="32"/>
          <w:szCs w:val="32"/>
        </w:rPr>
      </w:pPr>
      <w:r>
        <w:rPr>
          <w:rFonts w:hint="eastAsia" w:ascii="黑体" w:hAnsi="黑体" w:eastAsia="黑体"/>
          <w:sz w:val="32"/>
          <w:szCs w:val="32"/>
        </w:rPr>
        <w:t>二、绩效评价工作开展情况</w:t>
      </w:r>
    </w:p>
    <w:p>
      <w:pPr>
        <w:ind w:firstLine="645"/>
        <w:rPr>
          <w:rFonts w:ascii="仿宋" w:hAnsi="仿宋" w:eastAsia="仿宋"/>
          <w:sz w:val="32"/>
          <w:szCs w:val="32"/>
        </w:rPr>
      </w:pPr>
      <w:r>
        <w:rPr>
          <w:rFonts w:hint="eastAsia" w:ascii="仿宋" w:hAnsi="仿宋" w:eastAsia="仿宋"/>
          <w:sz w:val="32"/>
          <w:szCs w:val="32"/>
        </w:rPr>
        <w:t>1、绩效评价目的</w:t>
      </w:r>
    </w:p>
    <w:p>
      <w:pPr>
        <w:ind w:firstLine="645"/>
        <w:rPr>
          <w:rFonts w:ascii="仿宋" w:hAnsi="仿宋" w:eastAsia="仿宋"/>
          <w:sz w:val="32"/>
          <w:szCs w:val="32"/>
        </w:rPr>
      </w:pPr>
      <w:r>
        <w:rPr>
          <w:rFonts w:hint="eastAsia" w:ascii="仿宋" w:hAnsi="仿宋" w:eastAsia="仿宋"/>
          <w:sz w:val="32"/>
          <w:szCs w:val="32"/>
        </w:rPr>
        <w:t>通过绩效评价对财政资金使用的经济性、效率性和效益性进行客观的评价，进一步优化财政资金使用，提高财政资金的使用绩效。</w:t>
      </w:r>
    </w:p>
    <w:p>
      <w:pPr>
        <w:ind w:firstLine="645"/>
        <w:rPr>
          <w:rFonts w:ascii="仿宋" w:hAnsi="仿宋" w:eastAsia="仿宋"/>
          <w:sz w:val="32"/>
          <w:szCs w:val="32"/>
        </w:rPr>
      </w:pPr>
      <w:r>
        <w:rPr>
          <w:rFonts w:hint="eastAsia" w:ascii="仿宋" w:hAnsi="仿宋" w:eastAsia="仿宋"/>
          <w:sz w:val="32"/>
          <w:szCs w:val="32"/>
        </w:rPr>
        <w:t>2、绩效评价对象</w:t>
      </w:r>
    </w:p>
    <w:p>
      <w:pPr>
        <w:ind w:firstLine="645"/>
        <w:rPr>
          <w:rFonts w:ascii="仿宋" w:hAnsi="仿宋" w:eastAsia="仿宋"/>
          <w:sz w:val="32"/>
          <w:szCs w:val="32"/>
        </w:rPr>
      </w:pPr>
      <w:r>
        <w:rPr>
          <w:rFonts w:hint="eastAsia" w:ascii="仿宋" w:hAnsi="仿宋" w:eastAsia="仿宋"/>
          <w:sz w:val="32"/>
          <w:szCs w:val="32"/>
        </w:rPr>
        <w:t>评价对象为2019年度中央财政投入我县的粮食产后服务中心项目5个。</w:t>
      </w:r>
    </w:p>
    <w:p>
      <w:pPr>
        <w:ind w:firstLine="645"/>
        <w:rPr>
          <w:rFonts w:ascii="仿宋" w:hAnsi="仿宋" w:eastAsia="仿宋"/>
          <w:sz w:val="32"/>
          <w:szCs w:val="32"/>
        </w:rPr>
      </w:pPr>
      <w:r>
        <w:rPr>
          <w:rFonts w:hint="eastAsia" w:ascii="仿宋" w:hAnsi="仿宋" w:eastAsia="仿宋"/>
          <w:sz w:val="32"/>
          <w:szCs w:val="32"/>
        </w:rPr>
        <w:t>3、绩效评价范围</w:t>
      </w:r>
    </w:p>
    <w:p>
      <w:pPr>
        <w:ind w:firstLine="645"/>
        <w:rPr>
          <w:rFonts w:ascii="仿宋" w:hAnsi="仿宋" w:eastAsia="仿宋"/>
          <w:sz w:val="32"/>
          <w:szCs w:val="32"/>
        </w:rPr>
      </w:pPr>
      <w:r>
        <w:rPr>
          <w:rFonts w:hint="eastAsia" w:ascii="仿宋" w:hAnsi="仿宋" w:eastAsia="仿宋"/>
          <w:sz w:val="32"/>
          <w:szCs w:val="32"/>
        </w:rPr>
        <w:t>投入指标方面包括项目立项、资金落实；过程指标包括业务管理、财务管理；项目产出包括产出数量、产出质量、产出时效、产出成本；项目效果包括经济效益、社会效益、生态效益、可持续影响等；项目满意度包括社会公众或服务对象满意度等。</w:t>
      </w:r>
    </w:p>
    <w:p>
      <w:pPr>
        <w:ind w:firstLine="645"/>
        <w:rPr>
          <w:rFonts w:ascii="仿宋" w:hAnsi="仿宋" w:eastAsia="仿宋"/>
          <w:sz w:val="32"/>
          <w:szCs w:val="32"/>
        </w:rPr>
      </w:pPr>
      <w:r>
        <w:rPr>
          <w:rFonts w:hint="eastAsia" w:ascii="仿宋" w:hAnsi="仿宋" w:eastAsia="仿宋"/>
          <w:sz w:val="32"/>
          <w:szCs w:val="32"/>
        </w:rPr>
        <w:t>（二）绩效评价原则、评价指标体系（附表说明）、评价方法、评价标准</w:t>
      </w:r>
    </w:p>
    <w:p>
      <w:pPr>
        <w:ind w:firstLine="645"/>
        <w:rPr>
          <w:rFonts w:ascii="仿宋" w:hAnsi="仿宋" w:eastAsia="仿宋"/>
          <w:sz w:val="32"/>
          <w:szCs w:val="32"/>
        </w:rPr>
      </w:pPr>
      <w:r>
        <w:rPr>
          <w:rFonts w:hint="eastAsia" w:ascii="仿宋" w:hAnsi="仿宋" w:eastAsia="仿宋"/>
          <w:sz w:val="32"/>
          <w:szCs w:val="32"/>
        </w:rPr>
        <w:t>1、绩效评价原则：坚持客观规范、公平公正、实事求是、系统全面。</w:t>
      </w:r>
    </w:p>
    <w:p>
      <w:pPr>
        <w:ind w:firstLine="645"/>
        <w:rPr>
          <w:rFonts w:ascii="仿宋" w:hAnsi="仿宋" w:eastAsia="仿宋"/>
          <w:sz w:val="32"/>
          <w:szCs w:val="32"/>
        </w:rPr>
      </w:pPr>
      <w:r>
        <w:rPr>
          <w:rFonts w:hint="eastAsia" w:ascii="仿宋" w:hAnsi="仿宋" w:eastAsia="仿宋"/>
          <w:sz w:val="32"/>
          <w:szCs w:val="32"/>
        </w:rPr>
        <w:t>2、绩效评价指标体系</w:t>
      </w:r>
    </w:p>
    <w:p>
      <w:pPr>
        <w:ind w:firstLine="645"/>
        <w:rPr>
          <w:rFonts w:ascii="仿宋" w:hAnsi="仿宋" w:eastAsia="仿宋"/>
          <w:sz w:val="32"/>
          <w:szCs w:val="32"/>
        </w:rPr>
      </w:pPr>
      <w:r>
        <w:rPr>
          <w:rFonts w:hint="eastAsia" w:ascii="仿宋" w:hAnsi="仿宋" w:eastAsia="仿宋"/>
          <w:sz w:val="32"/>
          <w:szCs w:val="32"/>
        </w:rPr>
        <w:t>评价指标体系由5个一级指标、13个二级指标、29个三级指标组成，权重总值为100分。一级指标分为投入指标、过程指标、项目产出、项目效果、项目满意度五项，权重分别为10分、10分、50分、20分、10分。投入指标由项目立项和资金落实2个二级指标组成，权重均为5分。项目产出由产出数量、产出质量、产出时效、产出成本4个二级指标组成，权重分别为20分、20分、6分、4分。项目效果由经济效益、社会效益、生态效益、可持续影响4个二级指标组成，权重分别为4分、10分、3分、3分。项目满意度由公众对象满意度、服务对象满意度2个三级指标组成，权重均为5分。</w:t>
      </w:r>
    </w:p>
    <w:p>
      <w:pPr>
        <w:ind w:firstLine="645"/>
        <w:rPr>
          <w:rFonts w:ascii="仿宋" w:hAnsi="仿宋" w:eastAsia="仿宋"/>
          <w:sz w:val="32"/>
          <w:szCs w:val="32"/>
        </w:rPr>
      </w:pPr>
      <w:r>
        <w:rPr>
          <w:rFonts w:hint="eastAsia" w:ascii="仿宋" w:hAnsi="仿宋" w:eastAsia="仿宋"/>
          <w:sz w:val="32"/>
          <w:szCs w:val="32"/>
        </w:rPr>
        <w:t>3、绩效评价方法</w:t>
      </w:r>
    </w:p>
    <w:p>
      <w:pPr>
        <w:ind w:firstLine="645"/>
        <w:rPr>
          <w:rFonts w:ascii="仿宋" w:hAnsi="仿宋" w:eastAsia="仿宋"/>
          <w:sz w:val="32"/>
          <w:szCs w:val="32"/>
        </w:rPr>
      </w:pPr>
      <w:r>
        <w:rPr>
          <w:rFonts w:hint="eastAsia" w:ascii="仿宋" w:hAnsi="仿宋" w:eastAsia="仿宋"/>
          <w:sz w:val="32"/>
          <w:szCs w:val="32"/>
        </w:rPr>
        <w:t>本次绩效评价按照《江西省粮食产后服务体系建设项目管理办法》、《江西省粮食和物资储备局关于开展2019年度优质粮食工程绩效评价工作的通知》及其《粮食产后服务体系建设项目绩效评价表》，通过实地查验和资料研究等方式收集评价所需的数据、资料，对所获得的有效数据采用定量与定性相结合的方法进行分析，最终对绩效评价的各项指标进行评定，客观反映财政资金的使用绩效。</w:t>
      </w:r>
    </w:p>
    <w:p>
      <w:pPr>
        <w:ind w:firstLine="645"/>
        <w:rPr>
          <w:rFonts w:ascii="仿宋" w:hAnsi="仿宋" w:eastAsia="仿宋"/>
          <w:sz w:val="32"/>
          <w:szCs w:val="32"/>
        </w:rPr>
      </w:pPr>
      <w:r>
        <w:rPr>
          <w:rFonts w:hint="eastAsia" w:ascii="仿宋" w:hAnsi="仿宋" w:eastAsia="仿宋"/>
          <w:sz w:val="32"/>
          <w:szCs w:val="32"/>
        </w:rPr>
        <w:t>4、绩效评价标准</w:t>
      </w:r>
    </w:p>
    <w:p>
      <w:pPr>
        <w:ind w:firstLine="645"/>
        <w:rPr>
          <w:rFonts w:ascii="仿宋" w:hAnsi="仿宋" w:eastAsia="仿宋"/>
          <w:sz w:val="32"/>
          <w:szCs w:val="32"/>
        </w:rPr>
      </w:pPr>
      <w:r>
        <w:rPr>
          <w:rFonts w:hint="eastAsia" w:ascii="仿宋" w:hAnsi="仿宋" w:eastAsia="仿宋"/>
          <w:sz w:val="32"/>
          <w:szCs w:val="32"/>
        </w:rPr>
        <w:t>绩效评价实行百分制，绩效评价结果分4档：90（含）—100分为优、80（含）—90分为良、60（含）—80分为中、60分以下为差。</w:t>
      </w:r>
    </w:p>
    <w:p>
      <w:pPr>
        <w:ind w:firstLine="645"/>
        <w:rPr>
          <w:rFonts w:ascii="仿宋" w:hAnsi="仿宋" w:eastAsia="仿宋"/>
          <w:sz w:val="32"/>
          <w:szCs w:val="32"/>
        </w:rPr>
      </w:pPr>
      <w:r>
        <w:rPr>
          <w:rFonts w:hint="eastAsia" w:ascii="仿宋" w:hAnsi="仿宋" w:eastAsia="仿宋"/>
          <w:sz w:val="32"/>
          <w:szCs w:val="32"/>
        </w:rPr>
        <w:t>（三）绩效评价工作过程</w:t>
      </w:r>
    </w:p>
    <w:p>
      <w:pPr>
        <w:ind w:firstLine="645"/>
        <w:rPr>
          <w:rFonts w:ascii="仿宋" w:hAnsi="仿宋" w:eastAsia="仿宋"/>
          <w:sz w:val="32"/>
          <w:szCs w:val="32"/>
        </w:rPr>
      </w:pPr>
      <w:r>
        <w:rPr>
          <w:rFonts w:hint="eastAsia" w:ascii="仿宋" w:hAnsi="仿宋" w:eastAsia="仿宋"/>
          <w:sz w:val="32"/>
          <w:szCs w:val="32"/>
        </w:rPr>
        <w:t>1、前期准备</w:t>
      </w:r>
    </w:p>
    <w:p>
      <w:pPr>
        <w:ind w:firstLine="645"/>
        <w:rPr>
          <w:rFonts w:ascii="仿宋" w:hAnsi="仿宋" w:eastAsia="仿宋"/>
          <w:sz w:val="32"/>
          <w:szCs w:val="32"/>
        </w:rPr>
      </w:pPr>
      <w:r>
        <w:rPr>
          <w:rFonts w:hint="eastAsia" w:ascii="仿宋" w:hAnsi="仿宋" w:eastAsia="仿宋"/>
          <w:sz w:val="32"/>
          <w:szCs w:val="32"/>
        </w:rPr>
        <w:t>为确保绩效评价工作顺利开展，县粮食局成立了浮梁县粮食产后服务体系建设项目绩效自评领导小组，局主要领导任组长，相关股室人员为成员。领导小组下设工程查验、财务审核、资料审定三个小组，加强了组织领导，明确了责任分工。</w:t>
      </w:r>
    </w:p>
    <w:p>
      <w:pPr>
        <w:ind w:firstLine="645"/>
        <w:rPr>
          <w:rFonts w:ascii="仿宋" w:hAnsi="仿宋" w:eastAsia="仿宋"/>
          <w:sz w:val="32"/>
          <w:szCs w:val="32"/>
        </w:rPr>
      </w:pPr>
      <w:r>
        <w:rPr>
          <w:rFonts w:hint="eastAsia" w:ascii="仿宋" w:hAnsi="仿宋" w:eastAsia="仿宋"/>
          <w:sz w:val="32"/>
          <w:szCs w:val="32"/>
        </w:rPr>
        <w:t>2、组织实施</w:t>
      </w:r>
    </w:p>
    <w:p>
      <w:pPr>
        <w:ind w:firstLine="645"/>
        <w:rPr>
          <w:rFonts w:ascii="仿宋" w:hAnsi="仿宋" w:eastAsia="仿宋"/>
          <w:sz w:val="32"/>
          <w:szCs w:val="32"/>
        </w:rPr>
      </w:pPr>
      <w:r>
        <w:rPr>
          <w:rFonts w:hint="eastAsia" w:ascii="仿宋" w:hAnsi="仿宋" w:eastAsia="仿宋"/>
          <w:sz w:val="32"/>
          <w:szCs w:val="32"/>
        </w:rPr>
        <w:t>2020年10月9日—10月20日，绩效自评领导小组对全县5个粮食产后服务中心项目建设开展了绩效自主评工作，并对相关基础信息资料进行收集、整理、归档。</w:t>
      </w:r>
    </w:p>
    <w:p>
      <w:pPr>
        <w:ind w:firstLine="645"/>
        <w:rPr>
          <w:rFonts w:ascii="仿宋" w:hAnsi="仿宋" w:eastAsia="仿宋"/>
          <w:sz w:val="32"/>
          <w:szCs w:val="32"/>
        </w:rPr>
      </w:pPr>
      <w:r>
        <w:rPr>
          <w:rFonts w:hint="eastAsia" w:ascii="仿宋" w:hAnsi="仿宋" w:eastAsia="仿宋"/>
          <w:sz w:val="32"/>
          <w:szCs w:val="32"/>
        </w:rPr>
        <w:t>3、分析评价</w:t>
      </w:r>
    </w:p>
    <w:p>
      <w:pPr>
        <w:ind w:firstLine="645"/>
        <w:rPr>
          <w:rFonts w:ascii="仿宋" w:hAnsi="仿宋" w:eastAsia="仿宋"/>
          <w:sz w:val="32"/>
          <w:szCs w:val="32"/>
        </w:rPr>
      </w:pPr>
      <w:r>
        <w:rPr>
          <w:rFonts w:hint="eastAsia" w:ascii="仿宋" w:hAnsi="仿宋" w:eastAsia="仿宋"/>
          <w:sz w:val="32"/>
          <w:szCs w:val="32"/>
        </w:rPr>
        <w:t>局绩效自评领导小组本着客观公正、实事求是的原则对各服务中心收集的有效数据资料进行量化分析，并对项目绩效进行定量评价。</w:t>
      </w:r>
    </w:p>
    <w:p>
      <w:pPr>
        <w:ind w:firstLine="645"/>
        <w:rPr>
          <w:rFonts w:ascii="黑体" w:hAnsi="黑体" w:eastAsia="黑体"/>
          <w:sz w:val="32"/>
          <w:szCs w:val="32"/>
        </w:rPr>
      </w:pPr>
      <w:r>
        <w:rPr>
          <w:rFonts w:hint="eastAsia" w:ascii="黑体" w:hAnsi="黑体" w:eastAsia="黑体"/>
          <w:sz w:val="32"/>
          <w:szCs w:val="32"/>
        </w:rPr>
        <w:t>三、综合评价情况及评价结论（附评分表）</w:t>
      </w:r>
    </w:p>
    <w:p>
      <w:pPr>
        <w:ind w:firstLine="645"/>
        <w:rPr>
          <w:rFonts w:ascii="仿宋" w:hAnsi="仿宋" w:eastAsia="仿宋"/>
          <w:sz w:val="32"/>
          <w:szCs w:val="32"/>
        </w:rPr>
      </w:pPr>
      <w:r>
        <w:rPr>
          <w:rFonts w:hint="eastAsia" w:ascii="仿宋" w:hAnsi="仿宋" w:eastAsia="仿宋"/>
          <w:sz w:val="32"/>
          <w:szCs w:val="32"/>
        </w:rPr>
        <w:t>2019年度浮梁县粮食产后服务体系建设项目绩效评价，依据各类报告、各类申报表及相关批复、财务凭证 等相关资料进行。通过现场实物查验、资料收集、分析比较等方式，审查评定项目预期绩效完成情况。截至评价为止，经自评领导小组综合评价：项目招投标答规定程序、项目管理制度完善、资金使用管理规范，综合得分为100分，综合绩效评价结果为“优”。</w:t>
      </w:r>
    </w:p>
    <w:p>
      <w:pPr>
        <w:ind w:firstLine="645"/>
        <w:rPr>
          <w:rFonts w:ascii="黑体" w:hAnsi="黑体" w:eastAsia="黑体"/>
          <w:sz w:val="32"/>
          <w:szCs w:val="32"/>
        </w:rPr>
      </w:pPr>
      <w:r>
        <w:rPr>
          <w:rFonts w:hint="eastAsia" w:ascii="黑体" w:hAnsi="黑体" w:eastAsia="黑体"/>
          <w:sz w:val="32"/>
          <w:szCs w:val="32"/>
        </w:rPr>
        <w:t>四、绩效评价指标分析</w:t>
      </w:r>
    </w:p>
    <w:p>
      <w:pPr>
        <w:ind w:firstLine="645"/>
        <w:rPr>
          <w:rFonts w:ascii="仿宋" w:hAnsi="仿宋" w:eastAsia="仿宋"/>
          <w:b/>
          <w:bCs/>
          <w:sz w:val="32"/>
          <w:szCs w:val="32"/>
        </w:rPr>
      </w:pPr>
      <w:r>
        <w:rPr>
          <w:rFonts w:hint="eastAsia" w:ascii="仿宋" w:hAnsi="仿宋" w:eastAsia="仿宋"/>
          <w:b/>
          <w:bCs/>
          <w:sz w:val="32"/>
          <w:szCs w:val="32"/>
        </w:rPr>
        <w:t>（一）项目决策情况</w:t>
      </w:r>
    </w:p>
    <w:p>
      <w:pPr>
        <w:ind w:firstLine="645"/>
        <w:rPr>
          <w:rFonts w:ascii="仿宋" w:hAnsi="仿宋" w:eastAsia="仿宋"/>
          <w:sz w:val="32"/>
          <w:szCs w:val="32"/>
        </w:rPr>
      </w:pPr>
      <w:r>
        <w:rPr>
          <w:rFonts w:hint="eastAsia" w:ascii="仿宋" w:hAnsi="仿宋" w:eastAsia="仿宋"/>
          <w:sz w:val="32"/>
          <w:szCs w:val="32"/>
        </w:rPr>
        <w:t>根据《江西省粮食局  财政厅关于印发〈江西省“优质粮食工程”实施方案〉的通知》（赣粮发[2017]14号）文件要求，在开展需求调查摸底的基础上，制定了《浮梁县粮食产后服务中心建设实施方案》。县政府于2018年8月向上级部门行文送呈我县粮食产后服务中心项目建设请示（浮府文[2018]46号），同时以浮府办抄字[2018]295号抄告单形成同意启动了浮梁县粮食产后服务中心项目建设，并明确项目资金筹措渠道。2019年8月，省粮食和物资储备局下达我县粮食产后服务中心建设项目计划5个（赣粮规[2019]3号）、省财政厅赣财建指[2019]89号文安排我县项目中央资金471万元。</w:t>
      </w:r>
    </w:p>
    <w:p>
      <w:pPr>
        <w:ind w:firstLine="645"/>
        <w:rPr>
          <w:rFonts w:ascii="仿宋" w:hAnsi="仿宋" w:eastAsia="仿宋"/>
          <w:b/>
          <w:bCs/>
          <w:sz w:val="32"/>
          <w:szCs w:val="32"/>
        </w:rPr>
      </w:pPr>
      <w:r>
        <w:rPr>
          <w:rFonts w:hint="eastAsia" w:ascii="仿宋" w:hAnsi="仿宋" w:eastAsia="仿宋"/>
          <w:b/>
          <w:bCs/>
          <w:sz w:val="32"/>
          <w:szCs w:val="32"/>
        </w:rPr>
        <w:t>（二）项目过程情况</w:t>
      </w:r>
    </w:p>
    <w:p>
      <w:pPr>
        <w:ind w:firstLine="645"/>
        <w:rPr>
          <w:rFonts w:ascii="仿宋" w:hAnsi="仿宋" w:eastAsia="仿宋"/>
          <w:sz w:val="32"/>
          <w:szCs w:val="32"/>
        </w:rPr>
      </w:pPr>
      <w:r>
        <w:rPr>
          <w:rFonts w:hint="eastAsia" w:ascii="仿宋" w:hAnsi="仿宋" w:eastAsia="仿宋"/>
          <w:sz w:val="32"/>
          <w:szCs w:val="32"/>
        </w:rPr>
        <w:t>1、加强领导，健全制度。县粮食局成立了浮梁县粮食产后服务体系项目建设领导小组，下设招标采购、财务管理、项目监督等工作组，明确职责；制定了《浮梁县粮食产后服务体系建设项目管理办法》、《浮梁县粮食产后服务中心经营管理方案》等相关制度。</w:t>
      </w:r>
    </w:p>
    <w:p>
      <w:pPr>
        <w:ind w:firstLine="645"/>
        <w:rPr>
          <w:rFonts w:ascii="仿宋" w:hAnsi="仿宋" w:eastAsia="仿宋"/>
          <w:sz w:val="32"/>
          <w:szCs w:val="32"/>
        </w:rPr>
      </w:pPr>
      <w:r>
        <w:rPr>
          <w:rFonts w:hint="eastAsia" w:ascii="仿宋" w:hAnsi="仿宋" w:eastAsia="仿宋"/>
          <w:sz w:val="32"/>
          <w:szCs w:val="32"/>
        </w:rPr>
        <w:t>2、加强项目质量管控。严格执行项目招标采购，并聘请监理单位对项目建设全过程的进度、质量、安全生产予以监督管理；局项目领导小组不定期对在建项目进行质量检查、进度督查，及时协调、解决项目在建过程中出现的问题和困难，督促项目实施单位做好项目资料的收集、建档。</w:t>
      </w:r>
    </w:p>
    <w:p>
      <w:pPr>
        <w:ind w:firstLine="645"/>
        <w:rPr>
          <w:rFonts w:ascii="仿宋" w:hAnsi="仿宋" w:eastAsia="仿宋"/>
          <w:sz w:val="32"/>
          <w:szCs w:val="32"/>
        </w:rPr>
      </w:pPr>
      <w:r>
        <w:rPr>
          <w:rFonts w:hint="eastAsia" w:ascii="仿宋" w:hAnsi="仿宋" w:eastAsia="仿宋"/>
          <w:sz w:val="32"/>
          <w:szCs w:val="32"/>
        </w:rPr>
        <w:t>3、加强项目资金管理。根据“省级专项资金管理办法”，制定了“浮梁县粮食产后服务体系专项资金管理办法”，对项目资金一律实行专账核算、专款专用。</w:t>
      </w:r>
    </w:p>
    <w:p>
      <w:pPr>
        <w:ind w:firstLine="645"/>
        <w:rPr>
          <w:rFonts w:ascii="仿宋" w:hAnsi="仿宋" w:eastAsia="仿宋"/>
          <w:b/>
          <w:bCs/>
          <w:sz w:val="32"/>
          <w:szCs w:val="32"/>
        </w:rPr>
      </w:pPr>
      <w:r>
        <w:rPr>
          <w:rFonts w:hint="eastAsia" w:ascii="仿宋" w:hAnsi="仿宋" w:eastAsia="仿宋"/>
          <w:b/>
          <w:bCs/>
          <w:sz w:val="32"/>
          <w:szCs w:val="32"/>
        </w:rPr>
        <w:t>（三）项目产出情况</w:t>
      </w:r>
    </w:p>
    <w:p>
      <w:pPr>
        <w:ind w:firstLine="645"/>
        <w:rPr>
          <w:rFonts w:ascii="仿宋" w:hAnsi="仿宋" w:eastAsia="仿宋"/>
          <w:sz w:val="32"/>
          <w:szCs w:val="32"/>
        </w:rPr>
      </w:pPr>
      <w:r>
        <w:rPr>
          <w:rFonts w:hint="eastAsia" w:ascii="仿宋" w:hAnsi="仿宋" w:eastAsia="仿宋"/>
          <w:sz w:val="32"/>
          <w:szCs w:val="32"/>
        </w:rPr>
        <w:t>1、产出数量达标。粮食产后服务中心建设计划数5个，实际完成数5个，占建设计划率的100%；已完成建设的5个产后服务中心均能开展代清理、代干燥、代储存、代销售为内容的“四代”服务，经公桥粮食产后服务中心利用现有的粮食加工厂能够满足“五代”服务需求；所有服务中心年服务产能均达到1万吨。</w:t>
      </w:r>
    </w:p>
    <w:p>
      <w:pPr>
        <w:ind w:firstLine="645"/>
        <w:rPr>
          <w:rFonts w:ascii="仿宋" w:hAnsi="仿宋" w:eastAsia="仿宋"/>
          <w:sz w:val="32"/>
          <w:szCs w:val="32"/>
        </w:rPr>
      </w:pPr>
      <w:r>
        <w:rPr>
          <w:rFonts w:hint="eastAsia" w:ascii="仿宋" w:hAnsi="仿宋" w:eastAsia="仿宋"/>
          <w:sz w:val="32"/>
          <w:szCs w:val="32"/>
        </w:rPr>
        <w:t>2、产出质量达标。已完成建设的5个产后服务中心清理设施利用率、烘干设施利用率、储存设施利用率分别为≥80%、≥50%、≥30%；所有建设的五个产后服务中心均使用原粮食企业现有土地存量资源，不存在新增建设用地情况；5个产后服务中心均符合建设主体要求：一是我县粮食企业已于2010年实行了全面改制，二是每个服务中心：辐射范围粮食产量＞3万吨，粮食仓容＞1万吨、年粮食收购量≥1万吨；三是每个服务中心均与农户、粮食专业合作社签订了协议。</w:t>
      </w:r>
    </w:p>
    <w:p>
      <w:pPr>
        <w:ind w:firstLine="645"/>
        <w:rPr>
          <w:rFonts w:ascii="仿宋" w:hAnsi="仿宋" w:eastAsia="仿宋"/>
          <w:sz w:val="32"/>
          <w:szCs w:val="32"/>
        </w:rPr>
      </w:pPr>
      <w:r>
        <w:rPr>
          <w:rFonts w:hint="eastAsia" w:ascii="仿宋" w:hAnsi="仿宋" w:eastAsia="仿宋"/>
          <w:sz w:val="32"/>
          <w:szCs w:val="32"/>
        </w:rPr>
        <w:t>3、产出时效达标</w:t>
      </w:r>
    </w:p>
    <w:p>
      <w:pPr>
        <w:ind w:firstLine="645"/>
        <w:rPr>
          <w:rFonts w:ascii="仿宋" w:hAnsi="仿宋" w:eastAsia="仿宋"/>
          <w:sz w:val="32"/>
          <w:szCs w:val="32"/>
        </w:rPr>
      </w:pPr>
      <w:r>
        <w:rPr>
          <w:rFonts w:hint="eastAsia" w:ascii="仿宋" w:hAnsi="仿宋" w:eastAsia="仿宋"/>
          <w:sz w:val="32"/>
          <w:szCs w:val="32"/>
        </w:rPr>
        <w:t>5个产后服务中心均于2020年10月25日前完成项目建设任务并逐一通过县级项目验收。项目建设的实际开工、竣工时间与计划时间一致。</w:t>
      </w:r>
    </w:p>
    <w:p>
      <w:pPr>
        <w:ind w:firstLine="645"/>
        <w:rPr>
          <w:rFonts w:ascii="仿宋" w:hAnsi="仿宋" w:eastAsia="仿宋"/>
          <w:sz w:val="32"/>
          <w:szCs w:val="32"/>
        </w:rPr>
      </w:pPr>
      <w:r>
        <w:rPr>
          <w:rFonts w:hint="eastAsia" w:ascii="仿宋" w:hAnsi="仿宋" w:eastAsia="仿宋"/>
          <w:sz w:val="32"/>
          <w:szCs w:val="32"/>
        </w:rPr>
        <w:t>4、产出成本达标</w:t>
      </w:r>
    </w:p>
    <w:p>
      <w:pPr>
        <w:ind w:firstLine="645"/>
        <w:rPr>
          <w:rFonts w:ascii="仿宋" w:hAnsi="仿宋" w:eastAsia="仿宋"/>
          <w:sz w:val="32"/>
          <w:szCs w:val="32"/>
        </w:rPr>
      </w:pPr>
      <w:r>
        <w:rPr>
          <w:rFonts w:hint="eastAsia" w:ascii="仿宋" w:hAnsi="仿宋" w:eastAsia="仿宋"/>
          <w:sz w:val="32"/>
          <w:szCs w:val="32"/>
        </w:rPr>
        <w:t>每个中心的建设成本均在合同金额的±5%以内，重要设备采购同等或略低于同品种同时期市场平均价。</w:t>
      </w:r>
    </w:p>
    <w:p>
      <w:pPr>
        <w:ind w:firstLine="645"/>
        <w:rPr>
          <w:rFonts w:ascii="仿宋" w:hAnsi="仿宋" w:eastAsia="仿宋"/>
          <w:b/>
          <w:bCs/>
          <w:sz w:val="32"/>
          <w:szCs w:val="32"/>
        </w:rPr>
      </w:pPr>
      <w:r>
        <w:rPr>
          <w:rFonts w:hint="eastAsia" w:ascii="仿宋" w:hAnsi="仿宋" w:eastAsia="仿宋"/>
          <w:b/>
          <w:bCs/>
          <w:sz w:val="32"/>
          <w:szCs w:val="32"/>
        </w:rPr>
        <w:t>（四）项目效益情况</w:t>
      </w:r>
    </w:p>
    <w:p>
      <w:pPr>
        <w:ind w:firstLine="645"/>
        <w:rPr>
          <w:rFonts w:ascii="仿宋" w:hAnsi="仿宋" w:eastAsia="仿宋"/>
          <w:sz w:val="32"/>
          <w:szCs w:val="32"/>
        </w:rPr>
      </w:pPr>
      <w:r>
        <w:rPr>
          <w:rFonts w:hint="eastAsia" w:ascii="仿宋" w:hAnsi="仿宋" w:eastAsia="仿宋"/>
          <w:sz w:val="32"/>
          <w:szCs w:val="32"/>
        </w:rPr>
        <w:t>1、经济效益</w:t>
      </w:r>
    </w:p>
    <w:p>
      <w:pPr>
        <w:ind w:firstLine="645"/>
        <w:rPr>
          <w:rFonts w:ascii="仿宋" w:hAnsi="仿宋" w:eastAsia="仿宋"/>
          <w:sz w:val="32"/>
          <w:szCs w:val="32"/>
        </w:rPr>
      </w:pPr>
      <w:r>
        <w:rPr>
          <w:rFonts w:hint="eastAsia" w:ascii="仿宋" w:hAnsi="仿宋" w:eastAsia="仿宋"/>
          <w:sz w:val="32"/>
          <w:szCs w:val="32"/>
        </w:rPr>
        <w:t>粮食产后服务中心投入运营后，无论是代烘干还是企业收购湿谷烘干，均会给中心增加营业收入；较之于年湿谷烘干能力缺乏7万吨的浮梁来说，项目中心的使用，其清理烘干能力能够覆盖全县90%的生产粮食及80%以上农户，由于国有粮食企业粮食产后服务中心价格合理、水杂检测和称重计量公平、对贫困户实行减收、免收烘干费用，农户能够得到实实在在的优惠，从而促使农民增收。</w:t>
      </w:r>
    </w:p>
    <w:p>
      <w:pPr>
        <w:ind w:firstLine="645"/>
        <w:rPr>
          <w:rFonts w:ascii="仿宋" w:hAnsi="仿宋" w:eastAsia="仿宋"/>
          <w:sz w:val="32"/>
          <w:szCs w:val="32"/>
        </w:rPr>
      </w:pPr>
      <w:r>
        <w:rPr>
          <w:rFonts w:hint="eastAsia" w:ascii="仿宋" w:hAnsi="仿宋" w:eastAsia="仿宋"/>
          <w:sz w:val="32"/>
          <w:szCs w:val="32"/>
        </w:rPr>
        <w:t>2、社会效益</w:t>
      </w:r>
    </w:p>
    <w:p>
      <w:pPr>
        <w:ind w:firstLine="645"/>
        <w:rPr>
          <w:rFonts w:ascii="仿宋" w:hAnsi="仿宋" w:eastAsia="仿宋"/>
          <w:sz w:val="32"/>
          <w:szCs w:val="32"/>
        </w:rPr>
      </w:pPr>
      <w:r>
        <w:rPr>
          <w:rFonts w:hint="eastAsia" w:ascii="仿宋" w:hAnsi="仿宋" w:eastAsia="仿宋"/>
          <w:sz w:val="32"/>
          <w:szCs w:val="32"/>
        </w:rPr>
        <w:t>粮食产后服务中心的建成及其投入运营，其最大社会效益是最直接、最有效地解决了困绕我县种粮农户“烘干难、烘干贵”难题，有力地促进我县粮食提质增效和农民增收，充分体现国有粮食企业服务三农的情怀及诚信度，具体表现在：一是提升了农民市场议价能力。国有粮食产后服务中心在提供清理、烘干服务的同时，可为农户提供保管服务，发布</w:t>
      </w:r>
      <w:r>
        <w:rPr>
          <w:rFonts w:hint="eastAsia" w:ascii="仿宋" w:hAnsi="仿宋" w:eastAsia="仿宋"/>
          <w:spacing w:val="-4"/>
          <w:sz w:val="32"/>
          <w:szCs w:val="32"/>
        </w:rPr>
        <w:t>粮食市场信息，疏通交易渠道，广大农户能适时适市出售粮食，从而保证农户粮食卖得出、卖得好；二是保障了粮食提质进档，国有粮食企业通过专业化的清理、干燥、分类等服务，按市场需求分等定级、分仓储存，能够有效保障粮食质量；三是有效降低农户储粮损失率。服务中心及时清理、烘干农户收获的湿谷，杜绝以往农户种湿粮处理不及时而引起的抽芽、霉变现象，从而有效地减少农民粮食产生损失；四是能够提升国有粮食企业专业化服务水平。全县国有粮食企业服务中心投入运营后实行“三个一”管理：一是要有一个明显的服务中心标识；二是要有一套完善的安全生产规范作业制度；三是要有一份公开承诺，承诺利民服务优惠举措。</w:t>
      </w:r>
    </w:p>
    <w:p>
      <w:pPr>
        <w:ind w:firstLine="645"/>
        <w:rPr>
          <w:rFonts w:ascii="仿宋" w:hAnsi="仿宋" w:eastAsia="仿宋"/>
          <w:sz w:val="32"/>
          <w:szCs w:val="32"/>
        </w:rPr>
      </w:pPr>
      <w:r>
        <w:rPr>
          <w:rFonts w:hint="eastAsia" w:ascii="仿宋" w:hAnsi="仿宋" w:eastAsia="仿宋"/>
          <w:sz w:val="32"/>
          <w:szCs w:val="32"/>
        </w:rPr>
        <w:t>3、生态效益</w:t>
      </w:r>
    </w:p>
    <w:p>
      <w:pPr>
        <w:ind w:firstLine="645"/>
        <w:rPr>
          <w:rFonts w:ascii="仿宋" w:hAnsi="仿宋" w:eastAsia="仿宋"/>
          <w:sz w:val="32"/>
          <w:szCs w:val="32"/>
        </w:rPr>
      </w:pPr>
      <w:r>
        <w:rPr>
          <w:rFonts w:hint="eastAsia" w:ascii="仿宋" w:hAnsi="仿宋" w:eastAsia="仿宋"/>
          <w:sz w:val="32"/>
          <w:szCs w:val="32"/>
        </w:rPr>
        <w:t>本次购建的设备先进，厂房整洁、美观，消除用电、用火隐患，及时处理代烘干（或收购）粮食，杜绝粮食霉变现象发生。在招标文件中明确采购的设备及其工艺必须符合环保要求，并通过环评验收方可生产。</w:t>
      </w:r>
    </w:p>
    <w:p>
      <w:pPr>
        <w:ind w:firstLine="645"/>
        <w:rPr>
          <w:rFonts w:ascii="仿宋" w:hAnsi="仿宋" w:eastAsia="仿宋"/>
          <w:sz w:val="32"/>
          <w:szCs w:val="32"/>
        </w:rPr>
      </w:pPr>
      <w:r>
        <w:rPr>
          <w:rFonts w:hint="eastAsia" w:ascii="仿宋" w:hAnsi="仿宋" w:eastAsia="仿宋"/>
          <w:sz w:val="32"/>
          <w:szCs w:val="32"/>
        </w:rPr>
        <w:t>4、可持续影响力</w:t>
      </w:r>
    </w:p>
    <w:p>
      <w:pPr>
        <w:ind w:firstLine="645"/>
        <w:rPr>
          <w:rFonts w:ascii="仿宋" w:hAnsi="仿宋" w:eastAsia="仿宋"/>
          <w:sz w:val="32"/>
          <w:szCs w:val="32"/>
        </w:rPr>
      </w:pPr>
      <w:r>
        <w:rPr>
          <w:rFonts w:hint="eastAsia" w:ascii="仿宋" w:hAnsi="仿宋" w:eastAsia="仿宋"/>
          <w:sz w:val="32"/>
          <w:szCs w:val="32"/>
        </w:rPr>
        <w:t>本次我县2019年度粮食产后服务中心均为国有粮食企业所有，产权清晰、权责明确。5个产后服务中心建设点事先已考虑其服务功能的辐射范围、粮食产量及年粮食服务能力需求；同时，5个产后服务中心所购置的设备先进，服务功能至少能满足“代清理、代干燥、代储存、代销售”四项服务功能。</w:t>
      </w:r>
    </w:p>
    <w:p>
      <w:pPr>
        <w:ind w:firstLine="645"/>
        <w:rPr>
          <w:rFonts w:ascii="黑体" w:hAnsi="黑体" w:eastAsia="黑体"/>
          <w:sz w:val="32"/>
          <w:szCs w:val="32"/>
        </w:rPr>
      </w:pPr>
      <w:r>
        <w:rPr>
          <w:rFonts w:hint="eastAsia" w:ascii="黑体" w:hAnsi="黑体" w:eastAsia="黑体"/>
          <w:sz w:val="32"/>
          <w:szCs w:val="32"/>
        </w:rPr>
        <w:t>五、主要经验及做法、存在的问题及原因分析</w:t>
      </w:r>
    </w:p>
    <w:p>
      <w:pPr>
        <w:ind w:firstLine="645"/>
        <w:rPr>
          <w:rFonts w:ascii="仿宋" w:hAnsi="仿宋" w:eastAsia="仿宋"/>
          <w:b/>
          <w:bCs/>
          <w:sz w:val="32"/>
          <w:szCs w:val="32"/>
        </w:rPr>
      </w:pPr>
      <w:r>
        <w:rPr>
          <w:rFonts w:hint="eastAsia" w:ascii="仿宋" w:hAnsi="仿宋" w:eastAsia="仿宋"/>
          <w:b/>
          <w:bCs/>
          <w:sz w:val="32"/>
          <w:szCs w:val="32"/>
        </w:rPr>
        <w:t>（一）主要经验及做法</w:t>
      </w:r>
    </w:p>
    <w:p>
      <w:pPr>
        <w:ind w:firstLine="645"/>
        <w:rPr>
          <w:rFonts w:ascii="仿宋" w:hAnsi="仿宋" w:eastAsia="仿宋"/>
          <w:sz w:val="32"/>
          <w:szCs w:val="32"/>
        </w:rPr>
      </w:pPr>
      <w:r>
        <w:rPr>
          <w:rFonts w:hint="eastAsia" w:ascii="仿宋" w:hAnsi="仿宋" w:eastAsia="仿宋"/>
          <w:sz w:val="32"/>
          <w:szCs w:val="32"/>
        </w:rPr>
        <w:t>1、科学规划布局是前提</w:t>
      </w:r>
    </w:p>
    <w:p>
      <w:pPr>
        <w:ind w:firstLine="645"/>
        <w:rPr>
          <w:rFonts w:ascii="仿宋" w:hAnsi="仿宋" w:eastAsia="仿宋"/>
          <w:sz w:val="32"/>
          <w:szCs w:val="32"/>
        </w:rPr>
      </w:pPr>
      <w:r>
        <w:rPr>
          <w:rFonts w:hint="eastAsia" w:ascii="仿宋" w:hAnsi="仿宋" w:eastAsia="仿宋"/>
          <w:sz w:val="32"/>
          <w:szCs w:val="32"/>
        </w:rPr>
        <w:t>在粮食产后服务中心建设选址注重以下几个因素：一是优先在粮源充足、商品量高、土地流率大等及收储干燥清理等产后服务能力不足的区域设点，以便于规模化种植区有效衔接。如鹅湖、庄湾、洪源3个粮食产后服务中心；二是综合考量服务中心的辐射服务范围及基层收储库点的设施优势，如直属库粮食产后服务中心；三是结合一所多个乡镇且兼顾优质稻生产订单进行布点，与优质粮种植区有效对接。如经公桥粮食产后服务中心；四是粮食产后服务中心产能规划上要充分考虑服务辐射范围的粮食总产、粮食商品量、产后服务需求量，确定产后服务中心产能规模，避免因产能过大而出现“吃不饱”的投资浪费或因产能过小而出现“吃不了”的服务产能不足的现象。</w:t>
      </w:r>
    </w:p>
    <w:p>
      <w:pPr>
        <w:ind w:firstLine="645"/>
        <w:rPr>
          <w:rFonts w:ascii="仿宋" w:hAnsi="仿宋" w:eastAsia="仿宋"/>
          <w:sz w:val="32"/>
          <w:szCs w:val="32"/>
        </w:rPr>
      </w:pPr>
      <w:r>
        <w:rPr>
          <w:rFonts w:hint="eastAsia" w:ascii="仿宋" w:hAnsi="仿宋" w:eastAsia="仿宋"/>
          <w:sz w:val="32"/>
          <w:szCs w:val="32"/>
        </w:rPr>
        <w:t>2、组织领导有力是关键。</w:t>
      </w:r>
    </w:p>
    <w:p>
      <w:pPr>
        <w:ind w:firstLine="645"/>
        <w:rPr>
          <w:rFonts w:ascii="仿宋" w:hAnsi="仿宋" w:eastAsia="仿宋"/>
          <w:sz w:val="32"/>
          <w:szCs w:val="32"/>
        </w:rPr>
      </w:pPr>
      <w:r>
        <w:rPr>
          <w:rFonts w:hint="eastAsia" w:ascii="仿宋" w:hAnsi="仿宋" w:eastAsia="仿宋"/>
          <w:sz w:val="32"/>
          <w:szCs w:val="32"/>
        </w:rPr>
        <w:t>县政府及有关部门将粮食产后服务体系建设作为直接服务农户、促农增收的重要抓手和载体，县政府高度重视、高位推动，有关部门密切配合、形成合力，极大地推动了项目实施。</w:t>
      </w:r>
    </w:p>
    <w:p>
      <w:pPr>
        <w:ind w:firstLine="645"/>
        <w:rPr>
          <w:rFonts w:ascii="仿宋" w:hAnsi="仿宋" w:eastAsia="仿宋"/>
          <w:sz w:val="32"/>
          <w:szCs w:val="32"/>
        </w:rPr>
      </w:pPr>
      <w:r>
        <w:rPr>
          <w:rFonts w:hint="eastAsia" w:ascii="仿宋" w:hAnsi="仿宋" w:eastAsia="仿宋"/>
          <w:sz w:val="32"/>
          <w:szCs w:val="32"/>
        </w:rPr>
        <w:t>3、规范建设管理是保障</w:t>
      </w:r>
    </w:p>
    <w:p>
      <w:pPr>
        <w:ind w:firstLine="645"/>
        <w:rPr>
          <w:rFonts w:ascii="仿宋" w:hAnsi="仿宋" w:eastAsia="仿宋"/>
          <w:sz w:val="32"/>
          <w:szCs w:val="32"/>
        </w:rPr>
      </w:pPr>
      <w:r>
        <w:rPr>
          <w:rFonts w:hint="eastAsia" w:ascii="仿宋" w:hAnsi="仿宋" w:eastAsia="仿宋"/>
          <w:sz w:val="32"/>
          <w:szCs w:val="32"/>
        </w:rPr>
        <w:t>制定了粮食产后服务体系建设项目各项制度，成立了项目建设领导小组，规范项目建设程序，完善责任落实机制，对项目实行专项检查、督导，严格监管项目质量、进度、规模及安全生产，做到干成事、不出事，真正把为农服务的惠民工程好事办好、好事办实。</w:t>
      </w:r>
    </w:p>
    <w:p>
      <w:pPr>
        <w:ind w:firstLine="645"/>
        <w:rPr>
          <w:rFonts w:ascii="仿宋" w:hAnsi="仿宋" w:eastAsia="仿宋"/>
          <w:b/>
          <w:bCs/>
          <w:sz w:val="32"/>
          <w:szCs w:val="32"/>
        </w:rPr>
      </w:pPr>
      <w:r>
        <w:rPr>
          <w:rFonts w:hint="eastAsia" w:ascii="仿宋" w:hAnsi="仿宋" w:eastAsia="仿宋"/>
          <w:b/>
          <w:bCs/>
          <w:sz w:val="32"/>
          <w:szCs w:val="32"/>
        </w:rPr>
        <w:t>（二）存在的问题及原因分析</w:t>
      </w:r>
    </w:p>
    <w:p>
      <w:pPr>
        <w:ind w:firstLine="645"/>
        <w:rPr>
          <w:rFonts w:ascii="仿宋" w:hAnsi="仿宋" w:eastAsia="仿宋"/>
          <w:sz w:val="32"/>
          <w:szCs w:val="32"/>
        </w:rPr>
      </w:pPr>
      <w:r>
        <w:rPr>
          <w:rFonts w:hint="eastAsia" w:ascii="仿宋" w:hAnsi="仿宋" w:eastAsia="仿宋"/>
          <w:sz w:val="32"/>
          <w:szCs w:val="32"/>
        </w:rPr>
        <w:t>项目建设资金筹措难度大</w:t>
      </w:r>
    </w:p>
    <w:p>
      <w:pPr>
        <w:ind w:firstLine="645"/>
        <w:rPr>
          <w:rFonts w:ascii="仿宋" w:hAnsi="仿宋" w:eastAsia="仿宋"/>
          <w:sz w:val="32"/>
          <w:szCs w:val="32"/>
        </w:rPr>
      </w:pPr>
      <w:r>
        <w:rPr>
          <w:rFonts w:hint="eastAsia" w:ascii="仿宋" w:hAnsi="仿宋" w:eastAsia="仿宋"/>
          <w:sz w:val="32"/>
          <w:szCs w:val="32"/>
        </w:rPr>
        <w:t>浮梁县2019年度粮食产后服务体系建设项目计划投资1703万元，实际建设投资1830万元。省拔中央财政资金471万元，占实际投资25.7%。浮梁县属吃饭财政，而粮食部门尚处爬坡过坎阶段，项目建设自筹金额负担过重、压力很大。</w:t>
      </w:r>
    </w:p>
    <w:p>
      <w:pPr>
        <w:ind w:firstLine="645"/>
        <w:rPr>
          <w:rFonts w:ascii="黑体" w:hAnsi="黑体" w:eastAsia="黑体"/>
          <w:sz w:val="32"/>
          <w:szCs w:val="32"/>
        </w:rPr>
      </w:pPr>
      <w:r>
        <w:rPr>
          <w:rFonts w:hint="eastAsia" w:ascii="黑体" w:hAnsi="黑体" w:eastAsia="黑体"/>
          <w:sz w:val="32"/>
          <w:szCs w:val="32"/>
        </w:rPr>
        <w:t>六、有关建议</w:t>
      </w:r>
    </w:p>
    <w:p>
      <w:pPr>
        <w:ind w:firstLine="645"/>
        <w:rPr>
          <w:rFonts w:ascii="仿宋" w:hAnsi="仿宋" w:eastAsia="仿宋"/>
          <w:sz w:val="32"/>
          <w:szCs w:val="32"/>
        </w:rPr>
      </w:pPr>
      <w:r>
        <w:rPr>
          <w:rFonts w:hint="eastAsia" w:ascii="仿宋" w:hAnsi="仿宋" w:eastAsia="仿宋"/>
          <w:sz w:val="32"/>
          <w:szCs w:val="32"/>
        </w:rPr>
        <w:t>一是请求增加粮食产后服务体系建设项目中央财政款入占比，并请省有关部门及时下拔该项目建设补助资金。</w:t>
      </w:r>
    </w:p>
    <w:p>
      <w:pPr>
        <w:ind w:firstLine="645"/>
        <w:rPr>
          <w:rFonts w:ascii="仿宋" w:hAnsi="仿宋" w:eastAsia="仿宋"/>
          <w:sz w:val="32"/>
          <w:szCs w:val="32"/>
        </w:rPr>
      </w:pPr>
      <w:r>
        <w:rPr>
          <w:rFonts w:hint="eastAsia" w:ascii="仿宋" w:hAnsi="仿宋" w:eastAsia="仿宋"/>
          <w:sz w:val="32"/>
          <w:szCs w:val="32"/>
        </w:rPr>
        <w:t>二是请以红头文件形式对粮食产后服务中心的运营提供政策支持，包括服务中心营业减免税优惠政策及中心运营电力优价政策。</w:t>
      </w:r>
    </w:p>
    <w:p>
      <w:pPr>
        <w:ind w:firstLine="645"/>
        <w:rPr>
          <w:rFonts w:ascii="黑体" w:hAnsi="黑体" w:eastAsia="黑体"/>
          <w:sz w:val="32"/>
          <w:szCs w:val="32"/>
        </w:rPr>
      </w:pPr>
      <w:r>
        <w:rPr>
          <w:rFonts w:hint="eastAsia" w:ascii="黑体" w:hAnsi="黑体" w:eastAsia="黑体"/>
          <w:sz w:val="32"/>
          <w:szCs w:val="32"/>
        </w:rPr>
        <w:t>七、其它需要说明的问题</w:t>
      </w:r>
    </w:p>
    <w:p>
      <w:pPr>
        <w:ind w:firstLine="645"/>
        <w:rPr>
          <w:rFonts w:hint="eastAsia" w:ascii="仿宋" w:hAnsi="仿宋" w:eastAsia="仿宋"/>
          <w:sz w:val="32"/>
          <w:szCs w:val="32"/>
        </w:rPr>
      </w:pPr>
      <w:r>
        <w:rPr>
          <w:rFonts w:hint="eastAsia" w:ascii="仿宋" w:hAnsi="仿宋" w:eastAsia="仿宋"/>
          <w:sz w:val="32"/>
          <w:szCs w:val="32"/>
        </w:rPr>
        <w:t>无。</w:t>
      </w:r>
    </w:p>
    <w:p>
      <w:pPr>
        <w:ind w:firstLine="645"/>
        <w:rPr>
          <w:rFonts w:hint="eastAsia" w:ascii="仿宋" w:hAnsi="仿宋" w:eastAsia="仿宋"/>
          <w:sz w:val="32"/>
          <w:szCs w:val="32"/>
        </w:rPr>
      </w:pPr>
    </w:p>
    <w:p>
      <w:pPr>
        <w:ind w:firstLine="645"/>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部门评价表                                                                                </w:t>
      </w:r>
    </w:p>
    <w:p>
      <w:pPr>
        <w:ind w:firstLine="645"/>
        <w:rPr>
          <w:rFonts w:hint="eastAsia" w:ascii="仿宋" w:hAnsi="仿宋" w:eastAsia="仿宋"/>
          <w:sz w:val="32"/>
          <w:szCs w:val="32"/>
        </w:rPr>
      </w:pPr>
    </w:p>
    <w:p>
      <w:pPr>
        <w:ind w:firstLine="645"/>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p>
    <w:p>
      <w:pPr>
        <w:ind w:firstLine="645"/>
        <w:rPr>
          <w:rFonts w:hint="eastAsia" w:ascii="仿宋" w:hAnsi="仿宋" w:eastAsia="仿宋"/>
          <w:sz w:val="32"/>
          <w:szCs w:val="32"/>
        </w:rPr>
      </w:pPr>
    </w:p>
    <w:tbl>
      <w:tblPr>
        <w:tblStyle w:val="4"/>
        <w:tblpPr w:leftFromText="180" w:rightFromText="180" w:vertAnchor="page" w:horzAnchor="page" w:tblpX="957" w:tblpY="853"/>
        <w:tblOverlap w:val="never"/>
        <w:tblW w:w="10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2006"/>
        <w:gridCol w:w="1178"/>
        <w:gridCol w:w="372"/>
        <w:gridCol w:w="1265"/>
        <w:gridCol w:w="1086"/>
        <w:gridCol w:w="1053"/>
        <w:gridCol w:w="734"/>
        <w:gridCol w:w="2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37" w:hRule="atLeast"/>
          <w:jc w:val="center"/>
        </w:trPr>
        <w:tc>
          <w:tcPr>
            <w:tcW w:w="2006" w:type="dxa"/>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项目名称：</w:t>
            </w:r>
          </w:p>
        </w:tc>
        <w:tc>
          <w:tcPr>
            <w:tcW w:w="8168" w:type="dxa"/>
            <w:gridSpan w:val="7"/>
            <w:vAlign w:val="center"/>
          </w:tcPr>
          <w:p>
            <w:pPr>
              <w:spacing w:line="300" w:lineRule="exact"/>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浮梁县粮食产后服务体系建设项目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657" w:hRule="atLeast"/>
          <w:jc w:val="center"/>
        </w:trPr>
        <w:tc>
          <w:tcPr>
            <w:tcW w:w="2006" w:type="dxa"/>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主管部门</w:t>
            </w:r>
          </w:p>
        </w:tc>
        <w:tc>
          <w:tcPr>
            <w:tcW w:w="1550" w:type="dxa"/>
            <w:gridSpan w:val="2"/>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浮梁县粮食局</w:t>
            </w:r>
          </w:p>
        </w:tc>
        <w:tc>
          <w:tcPr>
            <w:tcW w:w="3404" w:type="dxa"/>
            <w:gridSpan w:val="3"/>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项目实施单位</w:t>
            </w:r>
          </w:p>
        </w:tc>
        <w:tc>
          <w:tcPr>
            <w:tcW w:w="3214" w:type="dxa"/>
            <w:gridSpan w:val="2"/>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浮梁县收储公司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77" w:hRule="atLeast"/>
          <w:jc w:val="center"/>
        </w:trPr>
        <w:tc>
          <w:tcPr>
            <w:tcW w:w="2006" w:type="dxa"/>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项目负责人</w:t>
            </w:r>
          </w:p>
        </w:tc>
        <w:tc>
          <w:tcPr>
            <w:tcW w:w="1550" w:type="dxa"/>
            <w:gridSpan w:val="2"/>
            <w:vAlign w:val="center"/>
          </w:tcPr>
          <w:p>
            <w:pPr>
              <w:spacing w:line="300" w:lineRule="exact"/>
              <w:jc w:val="center"/>
              <w:rPr>
                <w:rFonts w:hint="eastAsia"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胡小明</w:t>
            </w:r>
          </w:p>
        </w:tc>
        <w:tc>
          <w:tcPr>
            <w:tcW w:w="3404" w:type="dxa"/>
            <w:gridSpan w:val="3"/>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联系电话</w:t>
            </w:r>
          </w:p>
        </w:tc>
        <w:tc>
          <w:tcPr>
            <w:tcW w:w="3214" w:type="dxa"/>
            <w:gridSpan w:val="2"/>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2626554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47" w:hRule="atLeast"/>
          <w:jc w:val="center"/>
        </w:trPr>
        <w:tc>
          <w:tcPr>
            <w:tcW w:w="2006" w:type="dxa"/>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项目类型</w:t>
            </w:r>
          </w:p>
        </w:tc>
        <w:tc>
          <w:tcPr>
            <w:tcW w:w="8168" w:type="dxa"/>
            <w:gridSpan w:val="7"/>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 xml:space="preserve">经常性项目（   ）       一次性项目（ </w:t>
            </w:r>
            <w:r>
              <w:rPr>
                <w:rFonts w:hint="default" w:ascii="Arial" w:hAnsi="Arial" w:eastAsia="华文中宋" w:cs="Arial"/>
                <w:sz w:val="21"/>
                <w:szCs w:val="21"/>
              </w:rPr>
              <w:t>√</w:t>
            </w:r>
            <w:r>
              <w:rPr>
                <w:rFonts w:hint="eastAsia" w:ascii="华文中宋" w:hAnsi="华文中宋" w:eastAsia="华文中宋" w:cs="华文中宋"/>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01" w:hRule="atLeast"/>
          <w:jc w:val="center"/>
        </w:trPr>
        <w:tc>
          <w:tcPr>
            <w:tcW w:w="2006" w:type="dxa"/>
            <w:vAlign w:val="center"/>
          </w:tcPr>
          <w:p>
            <w:pPr>
              <w:spacing w:line="24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计划投资额</w:t>
            </w:r>
          </w:p>
          <w:p>
            <w:pPr>
              <w:spacing w:line="24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（万元）</w:t>
            </w:r>
          </w:p>
        </w:tc>
        <w:tc>
          <w:tcPr>
            <w:tcW w:w="1178" w:type="dxa"/>
            <w:vAlign w:val="center"/>
          </w:tcPr>
          <w:p>
            <w:pPr>
              <w:spacing w:line="24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1703</w:t>
            </w:r>
          </w:p>
        </w:tc>
        <w:tc>
          <w:tcPr>
            <w:tcW w:w="1637" w:type="dxa"/>
            <w:gridSpan w:val="2"/>
            <w:vAlign w:val="center"/>
          </w:tcPr>
          <w:p>
            <w:pPr>
              <w:spacing w:line="24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实际到位资金（万元）</w:t>
            </w:r>
          </w:p>
        </w:tc>
        <w:tc>
          <w:tcPr>
            <w:tcW w:w="1086" w:type="dxa"/>
            <w:vAlign w:val="center"/>
          </w:tcPr>
          <w:p>
            <w:pPr>
              <w:spacing w:line="24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1093.85</w:t>
            </w:r>
          </w:p>
        </w:tc>
        <w:tc>
          <w:tcPr>
            <w:tcW w:w="1787" w:type="dxa"/>
            <w:gridSpan w:val="2"/>
            <w:vAlign w:val="center"/>
          </w:tcPr>
          <w:p>
            <w:pPr>
              <w:spacing w:line="24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实际使用情况（万元）</w:t>
            </w:r>
          </w:p>
        </w:tc>
        <w:tc>
          <w:tcPr>
            <w:tcW w:w="2480" w:type="dxa"/>
            <w:vAlign w:val="center"/>
          </w:tcPr>
          <w:p>
            <w:pPr>
              <w:spacing w:line="24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1093.85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37" w:hRule="atLeast"/>
          <w:jc w:val="center"/>
        </w:trPr>
        <w:tc>
          <w:tcPr>
            <w:tcW w:w="2006" w:type="dxa"/>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其中：中央财政</w:t>
            </w:r>
          </w:p>
        </w:tc>
        <w:tc>
          <w:tcPr>
            <w:tcW w:w="1178"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471</w:t>
            </w:r>
          </w:p>
        </w:tc>
        <w:tc>
          <w:tcPr>
            <w:tcW w:w="1637" w:type="dxa"/>
            <w:gridSpan w:val="2"/>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其中：中央财政</w:t>
            </w:r>
          </w:p>
        </w:tc>
        <w:tc>
          <w:tcPr>
            <w:tcW w:w="1086"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471</w:t>
            </w:r>
          </w:p>
        </w:tc>
        <w:tc>
          <w:tcPr>
            <w:tcW w:w="1787" w:type="dxa"/>
            <w:gridSpan w:val="2"/>
            <w:vAlign w:val="center"/>
          </w:tcPr>
          <w:p>
            <w:pPr>
              <w:spacing w:line="300" w:lineRule="exact"/>
              <w:jc w:val="center"/>
              <w:rPr>
                <w:rFonts w:hint="eastAsia" w:ascii="华文中宋" w:hAnsi="华文中宋" w:eastAsia="华文中宋" w:cs="华文中宋"/>
                <w:sz w:val="21"/>
                <w:szCs w:val="21"/>
              </w:rPr>
            </w:pPr>
          </w:p>
        </w:tc>
        <w:tc>
          <w:tcPr>
            <w:tcW w:w="2480"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37" w:hRule="atLeast"/>
          <w:jc w:val="center"/>
        </w:trPr>
        <w:tc>
          <w:tcPr>
            <w:tcW w:w="2006" w:type="dxa"/>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省财政</w:t>
            </w:r>
          </w:p>
        </w:tc>
        <w:tc>
          <w:tcPr>
            <w:tcW w:w="1178"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272</w:t>
            </w:r>
          </w:p>
        </w:tc>
        <w:tc>
          <w:tcPr>
            <w:tcW w:w="1637" w:type="dxa"/>
            <w:gridSpan w:val="2"/>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省财政</w:t>
            </w:r>
          </w:p>
        </w:tc>
        <w:tc>
          <w:tcPr>
            <w:tcW w:w="1086"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272</w:t>
            </w:r>
          </w:p>
        </w:tc>
        <w:tc>
          <w:tcPr>
            <w:tcW w:w="1787" w:type="dxa"/>
            <w:gridSpan w:val="2"/>
            <w:vAlign w:val="center"/>
          </w:tcPr>
          <w:p>
            <w:pPr>
              <w:spacing w:line="300" w:lineRule="exact"/>
              <w:jc w:val="center"/>
              <w:rPr>
                <w:rFonts w:hint="eastAsia" w:ascii="华文中宋" w:hAnsi="华文中宋" w:eastAsia="华文中宋" w:cs="华文中宋"/>
                <w:sz w:val="21"/>
                <w:szCs w:val="21"/>
              </w:rPr>
            </w:pPr>
          </w:p>
        </w:tc>
        <w:tc>
          <w:tcPr>
            <w:tcW w:w="2480"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272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577" w:hRule="atLeast"/>
          <w:jc w:val="center"/>
        </w:trPr>
        <w:tc>
          <w:tcPr>
            <w:tcW w:w="2006" w:type="dxa"/>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市县财政</w:t>
            </w:r>
          </w:p>
        </w:tc>
        <w:tc>
          <w:tcPr>
            <w:tcW w:w="1178" w:type="dxa"/>
            <w:vAlign w:val="center"/>
          </w:tcPr>
          <w:p>
            <w:pPr>
              <w:spacing w:line="300" w:lineRule="exact"/>
              <w:ind w:firstLine="210" w:firstLineChars="100"/>
              <w:jc w:val="both"/>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650</w:t>
            </w:r>
          </w:p>
        </w:tc>
        <w:tc>
          <w:tcPr>
            <w:tcW w:w="1637" w:type="dxa"/>
            <w:gridSpan w:val="2"/>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市县财政</w:t>
            </w:r>
          </w:p>
        </w:tc>
        <w:tc>
          <w:tcPr>
            <w:tcW w:w="1086"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50</w:t>
            </w:r>
          </w:p>
        </w:tc>
        <w:tc>
          <w:tcPr>
            <w:tcW w:w="1787" w:type="dxa"/>
            <w:gridSpan w:val="2"/>
            <w:vAlign w:val="center"/>
          </w:tcPr>
          <w:p>
            <w:pPr>
              <w:spacing w:line="300" w:lineRule="exact"/>
              <w:jc w:val="center"/>
              <w:rPr>
                <w:rFonts w:hint="eastAsia" w:ascii="华文中宋" w:hAnsi="华文中宋" w:eastAsia="华文中宋" w:cs="华文中宋"/>
                <w:sz w:val="21"/>
                <w:szCs w:val="21"/>
              </w:rPr>
            </w:pPr>
          </w:p>
        </w:tc>
        <w:tc>
          <w:tcPr>
            <w:tcW w:w="2480"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87" w:hRule="atLeast"/>
          <w:jc w:val="center"/>
        </w:trPr>
        <w:tc>
          <w:tcPr>
            <w:tcW w:w="2006" w:type="dxa"/>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其他</w:t>
            </w:r>
          </w:p>
        </w:tc>
        <w:tc>
          <w:tcPr>
            <w:tcW w:w="1178"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310</w:t>
            </w:r>
          </w:p>
        </w:tc>
        <w:tc>
          <w:tcPr>
            <w:tcW w:w="1637" w:type="dxa"/>
            <w:gridSpan w:val="2"/>
            <w:vAlign w:val="center"/>
          </w:tcPr>
          <w:p>
            <w:pPr>
              <w:spacing w:line="300" w:lineRule="exact"/>
              <w:jc w:val="center"/>
              <w:rPr>
                <w:rFonts w:hint="eastAsia" w:ascii="华文中宋" w:hAnsi="华文中宋" w:eastAsia="华文中宋" w:cs="华文中宋"/>
                <w:sz w:val="21"/>
                <w:szCs w:val="21"/>
              </w:rPr>
            </w:pPr>
            <w:r>
              <w:rPr>
                <w:rFonts w:hint="eastAsia" w:ascii="华文中宋" w:hAnsi="华文中宋" w:eastAsia="华文中宋" w:cs="华文中宋"/>
                <w:sz w:val="21"/>
                <w:szCs w:val="21"/>
              </w:rPr>
              <w:t>其他</w:t>
            </w:r>
          </w:p>
        </w:tc>
        <w:tc>
          <w:tcPr>
            <w:tcW w:w="1086"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300.85</w:t>
            </w:r>
          </w:p>
        </w:tc>
        <w:tc>
          <w:tcPr>
            <w:tcW w:w="1787" w:type="dxa"/>
            <w:gridSpan w:val="2"/>
            <w:vAlign w:val="center"/>
          </w:tcPr>
          <w:p>
            <w:pPr>
              <w:spacing w:line="300" w:lineRule="exact"/>
              <w:jc w:val="center"/>
              <w:rPr>
                <w:rFonts w:hint="eastAsia" w:ascii="华文中宋" w:hAnsi="华文中宋" w:eastAsia="华文中宋" w:cs="华文中宋"/>
                <w:sz w:val="21"/>
                <w:szCs w:val="21"/>
              </w:rPr>
            </w:pPr>
          </w:p>
        </w:tc>
        <w:tc>
          <w:tcPr>
            <w:tcW w:w="2480" w:type="dxa"/>
            <w:vAlign w:val="center"/>
          </w:tcPr>
          <w:p>
            <w:pPr>
              <w:spacing w:line="300" w:lineRule="exact"/>
              <w:jc w:val="center"/>
              <w:rPr>
                <w:rFonts w:hint="default" w:ascii="华文中宋" w:hAnsi="华文中宋" w:eastAsia="华文中宋" w:cs="华文中宋"/>
                <w:sz w:val="21"/>
                <w:szCs w:val="21"/>
                <w:lang w:val="en-US" w:eastAsia="zh-CN"/>
              </w:rPr>
            </w:pPr>
            <w:r>
              <w:rPr>
                <w:rFonts w:hint="eastAsia" w:ascii="华文中宋" w:hAnsi="华文中宋" w:eastAsia="华文中宋" w:cs="华文中宋"/>
                <w:sz w:val="21"/>
                <w:szCs w:val="21"/>
                <w:lang w:val="en-US" w:eastAsia="zh-CN"/>
              </w:rPr>
              <w:t>300.85</w:t>
            </w:r>
          </w:p>
        </w:tc>
      </w:tr>
    </w:tbl>
    <w:tbl>
      <w:tblPr>
        <w:tblStyle w:val="4"/>
        <w:tblpPr w:leftFromText="180" w:rightFromText="180" w:vertAnchor="page" w:horzAnchor="page" w:tblpX="881" w:tblpY="1758"/>
        <w:tblOverlap w:val="never"/>
        <w:tblW w:w="10171" w:type="dxa"/>
        <w:tblInd w:w="0" w:type="dxa"/>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Layout w:type="fixed"/>
        <w:tblCellMar>
          <w:top w:w="0" w:type="dxa"/>
          <w:left w:w="0" w:type="dxa"/>
          <w:bottom w:w="0" w:type="dxa"/>
          <w:right w:w="0" w:type="dxa"/>
        </w:tblCellMar>
      </w:tblPr>
      <w:tblGrid>
        <w:gridCol w:w="650"/>
        <w:gridCol w:w="1141"/>
        <w:gridCol w:w="1699"/>
        <w:gridCol w:w="4800"/>
        <w:gridCol w:w="1000"/>
        <w:gridCol w:w="881"/>
      </w:tblGrid>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480" w:hRule="atLeast"/>
        </w:trPr>
        <w:tc>
          <w:tcPr>
            <w:tcW w:w="650" w:type="dxa"/>
            <w:tcBorders>
              <w:top w:val="single" w:color="auto" w:sz="4" w:space="0"/>
              <w:left w:val="single" w:color="auto" w:sz="4" w:space="0"/>
              <w:bottom w:val="single" w:color="0C0C0C" w:sz="8" w:space="0"/>
              <w:right w:val="single" w:color="auto" w:sz="4" w:space="0"/>
            </w:tcBorders>
            <w:vAlign w:val="center"/>
          </w:tcPr>
          <w:p>
            <w:pPr>
              <w:pStyle w:val="6"/>
              <w:spacing w:line="240" w:lineRule="auto"/>
              <w:ind w:left="83"/>
              <w:jc w:val="center"/>
              <w:rPr>
                <w:rFonts w:ascii="宋体" w:hAnsi="宋体" w:eastAsia="宋体" w:cs="Times New Roman"/>
                <w:sz w:val="21"/>
                <w:szCs w:val="21"/>
              </w:rPr>
            </w:pPr>
            <w:r>
              <w:rPr>
                <w:rFonts w:hint="eastAsia"/>
                <w:sz w:val="21"/>
                <w:szCs w:val="21"/>
              </w:rPr>
              <w:t xml:space="preserve">  </w:t>
            </w:r>
            <w:r>
              <w:rPr>
                <w:rFonts w:hint="eastAsia" w:ascii="宋体" w:hAnsi="宋体" w:eastAsia="宋体" w:cs="Times New Roman"/>
                <w:color w:val="11110F"/>
                <w:sz w:val="21"/>
                <w:szCs w:val="21"/>
              </w:rPr>
              <w:t>一级指标</w:t>
            </w:r>
          </w:p>
        </w:tc>
        <w:tc>
          <w:tcPr>
            <w:tcW w:w="1141" w:type="dxa"/>
            <w:tcBorders>
              <w:top w:val="single" w:color="auto" w:sz="4" w:space="0"/>
              <w:left w:val="single" w:color="auto" w:sz="4" w:space="0"/>
              <w:bottom w:val="single" w:color="0C0C0C" w:sz="8" w:space="0"/>
              <w:right w:val="single" w:color="auto" w:sz="4" w:space="0"/>
            </w:tcBorders>
            <w:vAlign w:val="center"/>
          </w:tcPr>
          <w:p>
            <w:pPr>
              <w:pStyle w:val="6"/>
              <w:spacing w:line="240" w:lineRule="auto"/>
              <w:ind w:left="186"/>
              <w:jc w:val="center"/>
              <w:rPr>
                <w:rFonts w:ascii="宋体" w:hAnsi="宋体" w:eastAsia="宋体" w:cs="Times New Roman"/>
                <w:sz w:val="21"/>
                <w:szCs w:val="21"/>
              </w:rPr>
            </w:pPr>
            <w:r>
              <w:rPr>
                <w:rFonts w:hint="eastAsia" w:ascii="宋体" w:hAnsi="宋体" w:eastAsia="宋体" w:cs="Times New Roman"/>
                <w:color w:val="11110F"/>
                <w:sz w:val="21"/>
                <w:szCs w:val="21"/>
              </w:rPr>
              <w:t>二级指标</w:t>
            </w:r>
          </w:p>
        </w:tc>
        <w:tc>
          <w:tcPr>
            <w:tcW w:w="1699" w:type="dxa"/>
            <w:tcBorders>
              <w:top w:val="single" w:color="auto" w:sz="4" w:space="0"/>
              <w:left w:val="single" w:color="auto" w:sz="4" w:space="0"/>
              <w:bottom w:val="single" w:color="0C0C0C" w:sz="8" w:space="0"/>
              <w:right w:val="single" w:color="auto" w:sz="4" w:space="0"/>
            </w:tcBorders>
            <w:vAlign w:val="center"/>
          </w:tcPr>
          <w:p>
            <w:pPr>
              <w:pStyle w:val="6"/>
              <w:spacing w:line="240" w:lineRule="auto"/>
              <w:ind w:left="301"/>
              <w:jc w:val="center"/>
              <w:rPr>
                <w:rFonts w:ascii="宋体" w:hAnsi="宋体" w:eastAsia="宋体" w:cs="Times New Roman"/>
                <w:sz w:val="21"/>
                <w:szCs w:val="21"/>
              </w:rPr>
            </w:pPr>
            <w:r>
              <w:rPr>
                <w:rFonts w:hint="eastAsia" w:ascii="宋体" w:hAnsi="宋体" w:eastAsia="宋体" w:cs="Times New Roman"/>
                <w:color w:val="11110F"/>
                <w:sz w:val="21"/>
                <w:szCs w:val="21"/>
              </w:rPr>
              <w:t>三级指标</w:t>
            </w:r>
          </w:p>
        </w:tc>
        <w:tc>
          <w:tcPr>
            <w:tcW w:w="4800" w:type="dxa"/>
            <w:tcBorders>
              <w:top w:val="single" w:color="auto" w:sz="4" w:space="0"/>
              <w:left w:val="single" w:color="auto" w:sz="4" w:space="0"/>
              <w:bottom w:val="single" w:color="0C0C0C" w:sz="8" w:space="0"/>
              <w:right w:val="single" w:color="auto" w:sz="4" w:space="0"/>
            </w:tcBorders>
            <w:vAlign w:val="center"/>
          </w:tcPr>
          <w:p>
            <w:pPr>
              <w:pStyle w:val="6"/>
              <w:spacing w:line="240" w:lineRule="auto"/>
              <w:ind w:left="2076" w:right="2089"/>
              <w:jc w:val="center"/>
              <w:rPr>
                <w:rFonts w:ascii="宋体" w:hAnsi="宋体" w:eastAsia="宋体" w:cs="Times New Roman"/>
                <w:sz w:val="21"/>
                <w:szCs w:val="21"/>
              </w:rPr>
            </w:pPr>
            <w:r>
              <w:rPr>
                <w:rFonts w:hint="eastAsia" w:ascii="宋体" w:hAnsi="宋体" w:eastAsia="宋体" w:cs="Times New Roman"/>
                <w:color w:val="11110F"/>
                <w:sz w:val="21"/>
                <w:szCs w:val="21"/>
              </w:rPr>
              <w:t xml:space="preserve">评分标准 </w:t>
            </w:r>
          </w:p>
        </w:tc>
        <w:tc>
          <w:tcPr>
            <w:tcW w:w="1000" w:type="dxa"/>
            <w:tcBorders>
              <w:top w:val="single" w:color="auto" w:sz="4" w:space="0"/>
              <w:left w:val="single" w:color="auto" w:sz="4" w:space="0"/>
              <w:bottom w:val="single" w:color="0C0C0C" w:sz="8" w:space="0"/>
              <w:right w:val="single" w:color="auto" w:sz="4" w:space="0"/>
            </w:tcBorders>
            <w:vAlign w:val="center"/>
          </w:tcPr>
          <w:p>
            <w:pPr>
              <w:pStyle w:val="6"/>
              <w:spacing w:line="240" w:lineRule="auto"/>
              <w:ind w:left="123"/>
              <w:jc w:val="center"/>
              <w:rPr>
                <w:rFonts w:ascii="宋体" w:hAnsi="宋体" w:eastAsia="宋体" w:cs="Times New Roman"/>
                <w:sz w:val="21"/>
                <w:szCs w:val="21"/>
              </w:rPr>
            </w:pPr>
            <w:r>
              <w:rPr>
                <w:rFonts w:hint="eastAsia" w:ascii="宋体" w:hAnsi="宋体" w:eastAsia="宋体" w:cs="Times New Roman"/>
                <w:color w:val="11110F"/>
                <w:sz w:val="21"/>
                <w:szCs w:val="21"/>
              </w:rPr>
              <w:t>评价分</w:t>
            </w:r>
          </w:p>
        </w:tc>
        <w:tc>
          <w:tcPr>
            <w:tcW w:w="881" w:type="dxa"/>
            <w:tcBorders>
              <w:top w:val="single" w:color="auto" w:sz="4" w:space="0"/>
              <w:left w:val="single" w:color="auto" w:sz="4" w:space="0"/>
              <w:bottom w:val="single" w:color="0C0C0C" w:sz="8" w:space="0"/>
              <w:right w:val="single" w:color="auto" w:sz="4" w:space="0"/>
            </w:tcBorders>
            <w:vAlign w:val="center"/>
          </w:tcPr>
          <w:p>
            <w:pPr>
              <w:pStyle w:val="6"/>
              <w:spacing w:line="240" w:lineRule="auto"/>
              <w:ind w:left="123"/>
              <w:jc w:val="center"/>
              <w:rPr>
                <w:rFonts w:hint="eastAsia" w:ascii="宋体" w:hAnsi="宋体" w:eastAsia="宋体" w:cs="Times New Roman"/>
                <w:color w:val="11110F"/>
                <w:sz w:val="21"/>
                <w:szCs w:val="21"/>
                <w:lang w:val="en-US" w:eastAsia="zh-CN"/>
              </w:rPr>
            </w:pPr>
            <w:r>
              <w:rPr>
                <w:rFonts w:hint="eastAsia" w:ascii="宋体" w:hAnsi="宋体" w:eastAsia="宋体" w:cs="Times New Roman"/>
                <w:color w:val="11110F"/>
                <w:sz w:val="21"/>
                <w:szCs w:val="21"/>
                <w:lang w:val="en-US" w:eastAsia="zh-CN"/>
              </w:rPr>
              <w:t>得分</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1254" w:hRule="atLeast"/>
        </w:trPr>
        <w:tc>
          <w:tcPr>
            <w:tcW w:w="650" w:type="dxa"/>
            <w:vMerge w:val="restart"/>
            <w:tcBorders>
              <w:top w:val="nil"/>
              <w:left w:val="single" w:color="auto" w:sz="4" w:space="0"/>
              <w:bottom w:val="single" w:color="0F0F0F" w:sz="8" w:space="0"/>
              <w:right w:val="single" w:color="auto" w:sz="4" w:space="0"/>
            </w:tcBorders>
            <w:vAlign w:val="center"/>
          </w:tcPr>
          <w:p>
            <w:pPr>
              <w:pStyle w:val="6"/>
              <w:spacing w:line="240" w:lineRule="auto"/>
              <w:ind w:left="137" w:right="143"/>
              <w:jc w:val="center"/>
              <w:rPr>
                <w:rFonts w:ascii="宋体" w:hAnsi="宋体" w:eastAsia="宋体" w:cs="Times New Roman"/>
                <w:sz w:val="21"/>
                <w:szCs w:val="21"/>
              </w:rPr>
            </w:pPr>
            <w:r>
              <w:rPr>
                <w:rFonts w:hint="eastAsia" w:ascii="宋体" w:hAnsi="宋体" w:eastAsia="宋体" w:cs="Times New Roman"/>
                <w:color w:val="11110F"/>
                <w:sz w:val="21"/>
                <w:szCs w:val="21"/>
              </w:rPr>
              <w:t>投入指标</w:t>
            </w:r>
          </w:p>
          <w:p>
            <w:pPr>
              <w:pStyle w:val="6"/>
              <w:spacing w:line="240" w:lineRule="auto"/>
              <w:ind w:left="137" w:right="25"/>
              <w:jc w:val="center"/>
              <w:rPr>
                <w:rFonts w:ascii="宋体" w:hAnsi="宋体" w:eastAsia="宋体" w:cs="Times New Roman"/>
                <w:sz w:val="21"/>
                <w:szCs w:val="21"/>
              </w:rPr>
            </w:pPr>
            <w:r>
              <w:rPr>
                <w:rFonts w:ascii="宋体" w:hAnsi="宋体" w:eastAsia="宋体"/>
                <w:color w:val="11110F"/>
                <w:sz w:val="21"/>
                <w:szCs w:val="21"/>
              </w:rPr>
              <w:t>(10</w:t>
            </w:r>
            <w:r>
              <w:rPr>
                <w:rFonts w:hint="eastAsia" w:ascii="宋体" w:hAnsi="宋体" w:eastAsia="宋体" w:cs="Times New Roman"/>
                <w:color w:val="11110F"/>
                <w:sz w:val="21"/>
                <w:szCs w:val="21"/>
              </w:rPr>
              <w:t>分）</w:t>
            </w:r>
          </w:p>
        </w:tc>
        <w:tc>
          <w:tcPr>
            <w:tcW w:w="1141" w:type="dxa"/>
            <w:tcBorders>
              <w:top w:val="single" w:color="0C0C0C" w:sz="8" w:space="0"/>
              <w:left w:val="single" w:color="auto" w:sz="4" w:space="0"/>
              <w:bottom w:val="single" w:color="0C0F0C" w:sz="8" w:space="0"/>
              <w:right w:val="single" w:color="auto" w:sz="4" w:space="0"/>
            </w:tcBorders>
            <w:vAlign w:val="center"/>
          </w:tcPr>
          <w:p>
            <w:pPr>
              <w:pStyle w:val="6"/>
              <w:spacing w:line="240" w:lineRule="auto"/>
              <w:ind w:left="227" w:right="228"/>
              <w:jc w:val="center"/>
              <w:rPr>
                <w:rFonts w:ascii="宋体" w:hAnsi="宋体" w:eastAsia="宋体" w:cs="Times New Roman"/>
                <w:sz w:val="21"/>
                <w:szCs w:val="21"/>
              </w:rPr>
            </w:pPr>
            <w:r>
              <w:rPr>
                <w:rFonts w:hint="eastAsia" w:ascii="宋体" w:hAnsi="宋体" w:eastAsia="宋体" w:cs="Times New Roman"/>
                <w:color w:val="11110F"/>
                <w:sz w:val="21"/>
                <w:szCs w:val="21"/>
              </w:rPr>
              <w:t>项目立项</w:t>
            </w:r>
          </w:p>
          <w:p>
            <w:pPr>
              <w:pStyle w:val="6"/>
              <w:spacing w:line="240" w:lineRule="auto"/>
              <w:ind w:left="240" w:right="146"/>
              <w:jc w:val="center"/>
              <w:rPr>
                <w:rFonts w:ascii="宋体" w:hAnsi="宋体" w:eastAsia="宋体" w:cs="Times New Roman"/>
                <w:sz w:val="21"/>
                <w:szCs w:val="21"/>
              </w:rPr>
            </w:pPr>
            <w:r>
              <w:rPr>
                <w:rFonts w:ascii="宋体" w:hAnsi="宋体" w:eastAsia="宋体"/>
                <w:color w:val="11110F"/>
                <w:sz w:val="21"/>
                <w:szCs w:val="21"/>
              </w:rPr>
              <w:t>( 4</w:t>
            </w:r>
            <w:r>
              <w:rPr>
                <w:rFonts w:hint="eastAsia" w:ascii="宋体" w:hAnsi="宋体" w:eastAsia="宋体" w:cs="Times New Roman"/>
                <w:color w:val="11110F"/>
                <w:sz w:val="21"/>
                <w:szCs w:val="21"/>
              </w:rPr>
              <w:t>分）</w:t>
            </w:r>
          </w:p>
        </w:tc>
        <w:tc>
          <w:tcPr>
            <w:tcW w:w="1699" w:type="dxa"/>
            <w:tcBorders>
              <w:top w:val="single" w:color="0C0C0C" w:sz="8" w:space="0"/>
              <w:left w:val="single" w:color="auto" w:sz="4" w:space="0"/>
              <w:bottom w:val="single" w:color="0C0F0C" w:sz="8" w:space="0"/>
              <w:right w:val="single" w:color="auto" w:sz="4" w:space="0"/>
            </w:tcBorders>
            <w:vAlign w:val="center"/>
          </w:tcPr>
          <w:p>
            <w:pPr>
              <w:pStyle w:val="6"/>
              <w:spacing w:line="240" w:lineRule="auto"/>
              <w:ind w:left="70" w:right="88"/>
              <w:jc w:val="center"/>
              <w:rPr>
                <w:rFonts w:ascii="宋体" w:hAnsi="宋体" w:eastAsia="宋体" w:cs="Times New Roman"/>
                <w:sz w:val="21"/>
                <w:szCs w:val="21"/>
              </w:rPr>
            </w:pPr>
            <w:r>
              <w:rPr>
                <w:rFonts w:hint="eastAsia" w:ascii="宋体" w:hAnsi="宋体" w:eastAsia="宋体" w:cs="Times New Roman"/>
                <w:color w:val="11110F"/>
                <w:sz w:val="21"/>
                <w:szCs w:val="21"/>
              </w:rPr>
              <w:t>项目立项规范性</w:t>
            </w:r>
          </w:p>
          <w:p>
            <w:pPr>
              <w:pStyle w:val="6"/>
              <w:spacing w:line="240" w:lineRule="auto"/>
              <w:ind w:left="175" w:right="88"/>
              <w:jc w:val="center"/>
              <w:rPr>
                <w:rFonts w:ascii="宋体" w:hAnsi="宋体" w:eastAsia="宋体" w:cs="Times New Roman"/>
                <w:sz w:val="21"/>
                <w:szCs w:val="21"/>
              </w:rPr>
            </w:pPr>
            <w:r>
              <w:rPr>
                <w:rFonts w:ascii="宋体" w:hAnsi="宋体" w:eastAsia="宋体"/>
                <w:color w:val="11110F"/>
                <w:sz w:val="21"/>
                <w:szCs w:val="21"/>
              </w:rPr>
              <w:t>( 4</w:t>
            </w:r>
            <w:r>
              <w:rPr>
                <w:rFonts w:hint="eastAsia" w:ascii="宋体" w:hAnsi="宋体" w:eastAsia="宋体" w:cs="Times New Roman"/>
                <w:color w:val="11110F"/>
                <w:sz w:val="21"/>
                <w:szCs w:val="21"/>
              </w:rPr>
              <w:t>分）</w:t>
            </w:r>
          </w:p>
        </w:tc>
        <w:tc>
          <w:tcPr>
            <w:tcW w:w="4800" w:type="dxa"/>
            <w:tcBorders>
              <w:top w:val="single" w:color="0C0C0C" w:sz="8" w:space="0"/>
              <w:left w:val="single" w:color="auto" w:sz="4" w:space="0"/>
              <w:bottom w:val="single" w:color="0C0F0C" w:sz="8" w:space="0"/>
              <w:right w:val="single" w:color="auto" w:sz="4" w:space="0"/>
            </w:tcBorders>
            <w:vAlign w:val="center"/>
          </w:tcPr>
          <w:p>
            <w:pPr>
              <w:pStyle w:val="6"/>
              <w:spacing w:line="240" w:lineRule="auto"/>
              <w:ind w:left="8" w:right="88"/>
              <w:jc w:val="both"/>
              <w:rPr>
                <w:rFonts w:ascii="宋体" w:hAnsi="宋体" w:eastAsia="宋体" w:cs="Times New Roman"/>
                <w:sz w:val="21"/>
                <w:szCs w:val="21"/>
              </w:rPr>
            </w:pPr>
            <w:r>
              <w:rPr>
                <w:rFonts w:hint="eastAsia" w:ascii="宋体" w:hAnsi="宋体" w:eastAsia="宋体" w:cs="Times New Roman"/>
                <w:color w:val="11110F"/>
                <w:sz w:val="21"/>
                <w:szCs w:val="21"/>
              </w:rPr>
              <w:t>项目设立有申请及有 关政府抄告单、批复等文件得</w:t>
            </w:r>
            <w:r>
              <w:rPr>
                <w:rFonts w:ascii="宋体" w:hAnsi="宋体" w:eastAsia="宋体"/>
                <w:color w:val="11110F"/>
                <w:sz w:val="21"/>
                <w:szCs w:val="21"/>
              </w:rPr>
              <w:t>1</w:t>
            </w:r>
            <w:r>
              <w:rPr>
                <w:rFonts w:hint="eastAsia" w:ascii="宋体" w:hAnsi="宋体" w:eastAsia="宋体" w:cs="Times New Roman"/>
                <w:color w:val="11110F"/>
                <w:sz w:val="21"/>
                <w:szCs w:val="21"/>
              </w:rPr>
              <w:t>分，未设立不得分。制定具体实施方案（开展需求摸底调查），并报省里备案，一项不符扣</w:t>
            </w:r>
            <w:r>
              <w:rPr>
                <w:rFonts w:ascii="宋体" w:hAnsi="宋体" w:eastAsia="宋体"/>
                <w:color w:val="11110F"/>
                <w:sz w:val="21"/>
                <w:szCs w:val="21"/>
              </w:rPr>
              <w:t>1</w:t>
            </w:r>
            <w:r>
              <w:rPr>
                <w:rFonts w:hint="eastAsia" w:ascii="宋体" w:hAnsi="宋体" w:eastAsia="宋体" w:cs="Times New Roman"/>
                <w:color w:val="11110F"/>
                <w:sz w:val="21"/>
                <w:szCs w:val="21"/>
              </w:rPr>
              <w:t>分，未按照具体实施方案执行或擅自改变建设内容的不得分。项目预期绩效目标明确具体、可衡量，并自行开展绩效评价的得</w:t>
            </w:r>
            <w:r>
              <w:rPr>
                <w:rFonts w:ascii="宋体" w:hAnsi="宋体" w:eastAsia="宋体"/>
                <w:color w:val="11110F"/>
                <w:sz w:val="21"/>
                <w:szCs w:val="21"/>
              </w:rPr>
              <w:t>1</w:t>
            </w:r>
            <w:r>
              <w:rPr>
                <w:rFonts w:hint="eastAsia" w:ascii="宋体" w:hAnsi="宋体" w:eastAsia="宋体" w:cs="Times New Roman"/>
                <w:color w:val="11110F"/>
                <w:sz w:val="21"/>
                <w:szCs w:val="21"/>
              </w:rPr>
              <w:t>分，一项不符扣</w:t>
            </w:r>
            <w:r>
              <w:rPr>
                <w:rFonts w:hint="eastAsia" w:ascii="宋体" w:hAnsi="宋体" w:eastAsia="宋体"/>
                <w:color w:val="11110F"/>
                <w:sz w:val="21"/>
                <w:szCs w:val="21"/>
              </w:rPr>
              <w:t>0.5</w:t>
            </w:r>
            <w:r>
              <w:rPr>
                <w:rFonts w:hint="eastAsia" w:ascii="宋体" w:hAnsi="宋体" w:eastAsia="宋体" w:cs="Times New Roman"/>
                <w:color w:val="11110F"/>
                <w:sz w:val="21"/>
                <w:szCs w:val="21"/>
              </w:rPr>
              <w:t>分，扣完为止。</w:t>
            </w:r>
          </w:p>
        </w:tc>
        <w:tc>
          <w:tcPr>
            <w:tcW w:w="1000" w:type="dxa"/>
            <w:tcBorders>
              <w:top w:val="single" w:color="0C0C0C"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4</w:t>
            </w:r>
          </w:p>
        </w:tc>
        <w:tc>
          <w:tcPr>
            <w:tcW w:w="881" w:type="dxa"/>
            <w:tcBorders>
              <w:top w:val="single" w:color="0C0C0C"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4</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690" w:hRule="atLeast"/>
        </w:trPr>
        <w:tc>
          <w:tcPr>
            <w:tcW w:w="650" w:type="dxa"/>
            <w:vMerge w:val="continue"/>
            <w:tcBorders>
              <w:top w:val="nil"/>
              <w:left w:val="single" w:color="auto" w:sz="4" w:space="0"/>
              <w:bottom w:val="single" w:color="0F0F0F" w:sz="8" w:space="0"/>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restart"/>
            <w:tcBorders>
              <w:top w:val="nil"/>
              <w:left w:val="single" w:color="auto" w:sz="4" w:space="0"/>
              <w:bottom w:val="single" w:color="0F0F0F" w:sz="8" w:space="0"/>
              <w:right w:val="single" w:color="auto" w:sz="4" w:space="0"/>
            </w:tcBorders>
            <w:vAlign w:val="center"/>
          </w:tcPr>
          <w:p>
            <w:pPr>
              <w:pStyle w:val="6"/>
              <w:spacing w:line="240" w:lineRule="auto"/>
              <w:ind w:left="232" w:right="228"/>
              <w:jc w:val="center"/>
              <w:rPr>
                <w:rFonts w:ascii="宋体" w:hAnsi="宋体" w:eastAsia="宋体" w:cs="Times New Roman"/>
                <w:sz w:val="21"/>
                <w:szCs w:val="21"/>
              </w:rPr>
            </w:pPr>
            <w:r>
              <w:rPr>
                <w:rFonts w:hint="eastAsia" w:ascii="宋体" w:hAnsi="宋体" w:eastAsia="宋体" w:cs="Times New Roman"/>
                <w:color w:val="11110F"/>
                <w:sz w:val="21"/>
                <w:szCs w:val="21"/>
              </w:rPr>
              <w:t>资金落实</w:t>
            </w:r>
          </w:p>
          <w:p>
            <w:pPr>
              <w:pStyle w:val="6"/>
              <w:spacing w:line="240" w:lineRule="auto"/>
              <w:ind w:left="240" w:right="135"/>
              <w:jc w:val="center"/>
              <w:rPr>
                <w:rFonts w:ascii="宋体" w:hAnsi="宋体" w:eastAsia="宋体" w:cs="Times New Roman"/>
                <w:sz w:val="21"/>
                <w:szCs w:val="21"/>
              </w:rPr>
            </w:pPr>
            <w:r>
              <w:rPr>
                <w:rFonts w:ascii="宋体" w:hAnsi="宋体" w:eastAsia="宋体"/>
                <w:color w:val="11110F"/>
                <w:sz w:val="21"/>
                <w:szCs w:val="21"/>
              </w:rPr>
              <w:t xml:space="preserve">( 6 </w:t>
            </w:r>
            <w:r>
              <w:rPr>
                <w:rFonts w:hint="eastAsia" w:ascii="宋体" w:hAnsi="宋体" w:eastAsia="宋体" w:cs="Times New Roman"/>
                <w:color w:val="11110F"/>
                <w:sz w:val="21"/>
                <w:szCs w:val="21"/>
              </w:rPr>
              <w:t>分）</w:t>
            </w:r>
          </w:p>
        </w:tc>
        <w:tc>
          <w:tcPr>
            <w:tcW w:w="1699" w:type="dxa"/>
            <w:tcBorders>
              <w:top w:val="single" w:color="0C0F0C" w:sz="8" w:space="0"/>
              <w:left w:val="single" w:color="auto" w:sz="4" w:space="0"/>
              <w:bottom w:val="single" w:color="0C0C08" w:sz="8" w:space="0"/>
              <w:right w:val="single" w:color="auto" w:sz="4" w:space="0"/>
            </w:tcBorders>
            <w:vAlign w:val="center"/>
          </w:tcPr>
          <w:p>
            <w:pPr>
              <w:pStyle w:val="6"/>
              <w:spacing w:line="240" w:lineRule="auto"/>
              <w:ind w:left="58" w:right="86"/>
              <w:jc w:val="center"/>
              <w:rPr>
                <w:rFonts w:ascii="宋体" w:hAnsi="宋体" w:eastAsia="宋体" w:cs="Times New Roman"/>
                <w:sz w:val="21"/>
                <w:szCs w:val="21"/>
              </w:rPr>
            </w:pPr>
            <w:r>
              <w:rPr>
                <w:rFonts w:hint="eastAsia" w:ascii="宋体" w:hAnsi="宋体" w:eastAsia="宋体" w:cs="Times New Roman"/>
                <w:color w:val="11110F"/>
                <w:sz w:val="21"/>
                <w:szCs w:val="21"/>
              </w:rPr>
              <w:t>配套资金到位率</w:t>
            </w:r>
          </w:p>
          <w:p>
            <w:pPr>
              <w:pStyle w:val="6"/>
              <w:spacing w:line="240" w:lineRule="auto"/>
              <w:ind w:left="80" w:right="5"/>
              <w:jc w:val="center"/>
              <w:rPr>
                <w:rFonts w:ascii="宋体" w:hAnsi="宋体" w:eastAsia="宋体" w:cs="Times New Roman"/>
                <w:sz w:val="21"/>
                <w:szCs w:val="21"/>
              </w:rPr>
            </w:pPr>
            <w:r>
              <w:rPr>
                <w:rFonts w:ascii="宋体" w:hAnsi="宋体" w:eastAsia="宋体"/>
                <w:color w:val="11110F"/>
                <w:sz w:val="21"/>
                <w:szCs w:val="21"/>
              </w:rPr>
              <w:t>( 1</w:t>
            </w:r>
            <w:r>
              <w:rPr>
                <w:rFonts w:hint="eastAsia" w:ascii="宋体" w:hAnsi="宋体" w:eastAsia="宋体" w:cs="Times New Roman"/>
                <w:color w:val="11110F"/>
                <w:sz w:val="21"/>
                <w:szCs w:val="21"/>
              </w:rPr>
              <w:t>分）</w:t>
            </w:r>
          </w:p>
        </w:tc>
        <w:tc>
          <w:tcPr>
            <w:tcW w:w="4800" w:type="dxa"/>
            <w:tcBorders>
              <w:top w:val="single" w:color="0C0F0C" w:sz="8" w:space="0"/>
              <w:left w:val="single" w:color="auto" w:sz="4" w:space="0"/>
              <w:bottom w:val="single" w:color="0C0C08" w:sz="8" w:space="0"/>
              <w:right w:val="single" w:color="auto" w:sz="4" w:space="0"/>
            </w:tcBorders>
            <w:vAlign w:val="center"/>
          </w:tcPr>
          <w:p>
            <w:pPr>
              <w:pStyle w:val="6"/>
              <w:spacing w:line="240" w:lineRule="auto"/>
              <w:ind w:left="27" w:right="43"/>
              <w:jc w:val="both"/>
              <w:rPr>
                <w:rFonts w:ascii="宋体" w:hAnsi="宋体" w:eastAsia="宋体" w:cs="Times New Roman"/>
                <w:sz w:val="21"/>
                <w:szCs w:val="21"/>
              </w:rPr>
            </w:pPr>
            <w:r>
              <w:rPr>
                <w:rFonts w:hint="eastAsia" w:ascii="宋体" w:hAnsi="宋体" w:eastAsia="宋体" w:cs="Times New Roman"/>
                <w:color w:val="11110F"/>
                <w:sz w:val="21"/>
                <w:szCs w:val="21"/>
              </w:rPr>
              <w:t>依据实施方案，县（市、区）级配套资金到位</w:t>
            </w:r>
            <w:r>
              <w:rPr>
                <w:rFonts w:ascii="宋体" w:hAnsi="宋体" w:eastAsia="宋体"/>
                <w:color w:val="11110F"/>
                <w:sz w:val="21"/>
                <w:szCs w:val="21"/>
              </w:rPr>
              <w:t>100%,</w:t>
            </w:r>
            <w:r>
              <w:rPr>
                <w:rFonts w:hint="eastAsia" w:ascii="宋体" w:hAnsi="宋体" w:eastAsia="宋体" w:cs="Times New Roman"/>
                <w:color w:val="11110F"/>
                <w:sz w:val="21"/>
                <w:szCs w:val="21"/>
              </w:rPr>
              <w:t xml:space="preserve">自筹资金到位  </w:t>
            </w:r>
            <w:r>
              <w:rPr>
                <w:rFonts w:ascii="宋体" w:hAnsi="宋体" w:eastAsia="宋体"/>
                <w:color w:val="11110F"/>
                <w:sz w:val="21"/>
                <w:szCs w:val="21"/>
              </w:rPr>
              <w:t>100%,</w:t>
            </w:r>
            <w:r>
              <w:rPr>
                <w:rFonts w:hint="eastAsia" w:ascii="宋体" w:hAnsi="宋体" w:eastAsia="宋体" w:cs="Times New Roman"/>
                <w:color w:val="11110F"/>
                <w:sz w:val="21"/>
                <w:szCs w:val="21"/>
              </w:rPr>
              <w:t>配套资金各自比例可以调整，但资金总量不变，满足得分，实际到位比每减少</w:t>
            </w:r>
            <w:r>
              <w:rPr>
                <w:rFonts w:ascii="宋体" w:hAnsi="宋体" w:eastAsia="宋体"/>
                <w:color w:val="11110F"/>
                <w:sz w:val="21"/>
                <w:szCs w:val="21"/>
              </w:rPr>
              <w:t>10%</w:t>
            </w:r>
            <w:r>
              <w:rPr>
                <w:rFonts w:hint="eastAsia" w:ascii="宋体" w:hAnsi="宋体" w:eastAsia="宋体" w:cs="Times New Roman"/>
                <w:color w:val="11110F"/>
                <w:sz w:val="21"/>
                <w:szCs w:val="21"/>
              </w:rPr>
              <w:t>扣分，扣完为止。</w:t>
            </w:r>
          </w:p>
        </w:tc>
        <w:tc>
          <w:tcPr>
            <w:tcW w:w="1000" w:type="dxa"/>
            <w:tcBorders>
              <w:top w:val="single" w:color="030303" w:sz="8" w:space="0"/>
              <w:left w:val="single" w:color="auto" w:sz="4" w:space="0"/>
              <w:bottom w:val="single" w:color="0C0C08"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1</w:t>
            </w:r>
          </w:p>
        </w:tc>
        <w:tc>
          <w:tcPr>
            <w:tcW w:w="881" w:type="dxa"/>
            <w:tcBorders>
              <w:top w:val="single" w:color="030303" w:sz="8" w:space="0"/>
              <w:left w:val="single" w:color="auto" w:sz="4" w:space="0"/>
              <w:bottom w:val="single" w:color="0C0C08"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1</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846" w:hRule="atLeast"/>
        </w:trPr>
        <w:tc>
          <w:tcPr>
            <w:tcW w:w="650" w:type="dxa"/>
            <w:vMerge w:val="continue"/>
            <w:tcBorders>
              <w:top w:val="nil"/>
              <w:left w:val="single" w:color="auto" w:sz="4" w:space="0"/>
              <w:bottom w:val="single" w:color="0F0F0F" w:sz="8" w:space="0"/>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continue"/>
            <w:tcBorders>
              <w:top w:val="nil"/>
              <w:left w:val="single" w:color="auto" w:sz="4" w:space="0"/>
              <w:bottom w:val="single" w:color="0F0F0F" w:sz="8" w:space="0"/>
              <w:right w:val="single" w:color="auto" w:sz="4" w:space="0"/>
            </w:tcBorders>
            <w:vAlign w:val="center"/>
          </w:tcPr>
          <w:p>
            <w:pPr>
              <w:widowControl/>
              <w:spacing w:line="240" w:lineRule="auto"/>
              <w:jc w:val="center"/>
              <w:rPr>
                <w:rFonts w:ascii="宋体" w:hAnsi="宋体" w:cs="Times New Roman"/>
                <w:sz w:val="21"/>
                <w:szCs w:val="21"/>
              </w:rPr>
            </w:pPr>
          </w:p>
        </w:tc>
        <w:tc>
          <w:tcPr>
            <w:tcW w:w="1699" w:type="dxa"/>
            <w:tcBorders>
              <w:top w:val="single" w:color="0C0C08" w:sz="8" w:space="0"/>
              <w:left w:val="single" w:color="auto" w:sz="4" w:space="0"/>
              <w:bottom w:val="single" w:color="0F0F0F" w:sz="8" w:space="0"/>
              <w:right w:val="single" w:color="auto" w:sz="4" w:space="0"/>
            </w:tcBorders>
            <w:vAlign w:val="center"/>
          </w:tcPr>
          <w:p>
            <w:pPr>
              <w:pStyle w:val="6"/>
              <w:spacing w:line="240" w:lineRule="auto"/>
              <w:ind w:left="69" w:right="82"/>
              <w:jc w:val="center"/>
              <w:rPr>
                <w:rFonts w:ascii="宋体" w:hAnsi="宋体" w:eastAsia="宋体" w:cs="Times New Roman"/>
                <w:sz w:val="21"/>
                <w:szCs w:val="21"/>
              </w:rPr>
            </w:pPr>
            <w:r>
              <w:rPr>
                <w:rFonts w:hint="eastAsia" w:ascii="宋体" w:hAnsi="宋体" w:eastAsia="宋体" w:cs="Times New Roman"/>
                <w:color w:val="11110F"/>
                <w:sz w:val="21"/>
                <w:szCs w:val="21"/>
              </w:rPr>
              <w:t>预算资金执行率</w:t>
            </w:r>
          </w:p>
          <w:p>
            <w:pPr>
              <w:pStyle w:val="6"/>
              <w:spacing w:line="240" w:lineRule="auto"/>
              <w:ind w:left="177" w:right="82"/>
              <w:jc w:val="center"/>
              <w:rPr>
                <w:rFonts w:ascii="宋体" w:hAnsi="宋体" w:eastAsia="宋体" w:cs="Times New Roman"/>
                <w:sz w:val="21"/>
                <w:szCs w:val="21"/>
              </w:rPr>
            </w:pPr>
            <w:r>
              <w:rPr>
                <w:rFonts w:ascii="宋体" w:hAnsi="宋体" w:eastAsia="宋体"/>
                <w:color w:val="11110F"/>
                <w:sz w:val="21"/>
                <w:szCs w:val="21"/>
              </w:rPr>
              <w:t>( 5</w:t>
            </w:r>
            <w:r>
              <w:rPr>
                <w:rFonts w:hint="eastAsia" w:ascii="宋体" w:hAnsi="宋体" w:eastAsia="宋体" w:cs="Times New Roman"/>
                <w:color w:val="11110F"/>
                <w:sz w:val="21"/>
                <w:szCs w:val="21"/>
              </w:rPr>
              <w:t>分）</w:t>
            </w:r>
          </w:p>
        </w:tc>
        <w:tc>
          <w:tcPr>
            <w:tcW w:w="4800" w:type="dxa"/>
            <w:tcBorders>
              <w:top w:val="single" w:color="0C0C08" w:sz="8" w:space="0"/>
              <w:left w:val="single" w:color="auto" w:sz="4" w:space="0"/>
              <w:bottom w:val="single" w:color="0F0F0F" w:sz="8" w:space="0"/>
              <w:right w:val="single" w:color="auto" w:sz="4" w:space="0"/>
            </w:tcBorders>
            <w:vAlign w:val="center"/>
          </w:tcPr>
          <w:p>
            <w:pPr>
              <w:pStyle w:val="6"/>
              <w:spacing w:line="240" w:lineRule="auto"/>
              <w:ind w:left="22" w:right="115"/>
              <w:jc w:val="both"/>
              <w:rPr>
                <w:rFonts w:ascii="宋体" w:hAnsi="宋体" w:eastAsia="宋体" w:cs="Times New Roman"/>
                <w:sz w:val="21"/>
                <w:szCs w:val="21"/>
              </w:rPr>
            </w:pPr>
            <w:r>
              <w:rPr>
                <w:rFonts w:hint="eastAsia" w:ascii="宋体" w:hAnsi="宋体" w:eastAsia="宋体" w:cs="Times New Roman"/>
                <w:color w:val="11110F"/>
                <w:sz w:val="21"/>
                <w:szCs w:val="21"/>
              </w:rPr>
              <w:t>预算资金执行率＝（至项目最终用款单位的资金额度／项目年度预算安排资金）</w:t>
            </w:r>
            <w:r>
              <w:rPr>
                <w:rFonts w:ascii="宋体" w:hAnsi="宋体" w:eastAsia="宋体"/>
                <w:color w:val="11110F"/>
                <w:sz w:val="21"/>
                <w:szCs w:val="21"/>
              </w:rPr>
              <w:t>*100%</w:t>
            </w:r>
            <w:r>
              <w:rPr>
                <w:rFonts w:hint="eastAsia" w:ascii="宋体" w:hAnsi="宋体" w:eastAsia="宋体"/>
                <w:color w:val="11110F"/>
                <w:sz w:val="21"/>
                <w:szCs w:val="21"/>
              </w:rPr>
              <w:t>，</w:t>
            </w:r>
            <w:r>
              <w:rPr>
                <w:rFonts w:ascii="宋体" w:hAnsi="宋体" w:eastAsia="宋体"/>
                <w:color w:val="11110F"/>
                <w:sz w:val="21"/>
                <w:szCs w:val="21"/>
              </w:rPr>
              <w:t>100</w:t>
            </w:r>
            <w:r>
              <w:rPr>
                <w:rFonts w:ascii="宋体" w:hAnsi="宋体" w:eastAsia="宋体"/>
                <w:color w:val="11110F"/>
                <w:spacing w:val="-12"/>
                <w:sz w:val="21"/>
                <w:szCs w:val="21"/>
              </w:rPr>
              <w:t>%</w:t>
            </w:r>
            <w:r>
              <w:rPr>
                <w:rFonts w:hint="eastAsia" w:ascii="宋体" w:hAnsi="宋体" w:eastAsia="宋体" w:cs="Times New Roman"/>
                <w:color w:val="11110F"/>
                <w:spacing w:val="5"/>
                <w:sz w:val="21"/>
                <w:szCs w:val="21"/>
              </w:rPr>
              <w:t>得</w:t>
            </w:r>
            <w:r>
              <w:rPr>
                <w:rFonts w:ascii="宋体" w:hAnsi="宋体" w:eastAsia="宋体"/>
                <w:color w:val="11110F"/>
                <w:spacing w:val="5"/>
                <w:sz w:val="21"/>
                <w:szCs w:val="21"/>
              </w:rPr>
              <w:t>5</w:t>
            </w:r>
            <w:r>
              <w:rPr>
                <w:rFonts w:hint="eastAsia" w:ascii="宋体" w:hAnsi="宋体" w:eastAsia="宋体" w:cs="Times New Roman"/>
                <w:color w:val="11110F"/>
                <w:spacing w:val="1"/>
                <w:sz w:val="21"/>
                <w:szCs w:val="21"/>
              </w:rPr>
              <w:t>分，未达到</w:t>
            </w:r>
            <w:r>
              <w:rPr>
                <w:rFonts w:ascii="宋体" w:hAnsi="宋体" w:eastAsia="宋体"/>
                <w:color w:val="11110F"/>
                <w:sz w:val="21"/>
                <w:szCs w:val="21"/>
              </w:rPr>
              <w:t>100%</w:t>
            </w:r>
            <w:r>
              <w:rPr>
                <w:rFonts w:hint="eastAsia" w:ascii="宋体" w:hAnsi="宋体" w:eastAsia="宋体" w:cs="Times New Roman"/>
                <w:color w:val="11110F"/>
                <w:sz w:val="21"/>
                <w:szCs w:val="21"/>
              </w:rPr>
              <w:t>按实际预算资金执行率＊指标权重得分。</w:t>
            </w:r>
          </w:p>
        </w:tc>
        <w:tc>
          <w:tcPr>
            <w:tcW w:w="1000" w:type="dxa"/>
            <w:tcBorders>
              <w:top w:val="single" w:color="0C0C08" w:sz="8" w:space="0"/>
              <w:left w:val="single" w:color="auto" w:sz="4" w:space="0"/>
              <w:bottom w:val="single" w:color="181813" w:sz="12"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5</w:t>
            </w:r>
          </w:p>
        </w:tc>
        <w:tc>
          <w:tcPr>
            <w:tcW w:w="881" w:type="dxa"/>
            <w:tcBorders>
              <w:top w:val="single" w:color="0C0C08" w:sz="8" w:space="0"/>
              <w:left w:val="single" w:color="auto" w:sz="4" w:space="0"/>
              <w:bottom w:val="single" w:color="181813" w:sz="12"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5</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940" w:hRule="atLeast"/>
        </w:trPr>
        <w:tc>
          <w:tcPr>
            <w:tcW w:w="650" w:type="dxa"/>
            <w:vMerge w:val="restart"/>
            <w:tcBorders>
              <w:top w:val="nil"/>
              <w:left w:val="single" w:color="auto" w:sz="4" w:space="0"/>
              <w:bottom w:val="single" w:color="030303" w:sz="8" w:space="0"/>
              <w:right w:val="single" w:color="auto" w:sz="4" w:space="0"/>
            </w:tcBorders>
            <w:vAlign w:val="center"/>
          </w:tcPr>
          <w:p>
            <w:pPr>
              <w:pStyle w:val="6"/>
              <w:spacing w:line="240" w:lineRule="auto"/>
              <w:ind w:left="146" w:right="126"/>
              <w:jc w:val="center"/>
              <w:rPr>
                <w:rFonts w:ascii="宋体" w:hAnsi="宋体" w:eastAsia="宋体" w:cs="Times New Roman"/>
                <w:sz w:val="21"/>
                <w:szCs w:val="21"/>
              </w:rPr>
            </w:pPr>
            <w:r>
              <w:rPr>
                <w:rFonts w:hint="eastAsia" w:ascii="宋体" w:hAnsi="宋体" w:eastAsia="宋体" w:cs="Times New Roman"/>
                <w:color w:val="11110F"/>
                <w:sz w:val="21"/>
                <w:szCs w:val="21"/>
              </w:rPr>
              <w:t>过程指标</w:t>
            </w:r>
          </w:p>
          <w:p>
            <w:pPr>
              <w:pStyle w:val="6"/>
              <w:spacing w:line="240" w:lineRule="auto"/>
              <w:ind w:left="146" w:right="2"/>
              <w:jc w:val="center"/>
              <w:rPr>
                <w:rFonts w:ascii="宋体" w:hAnsi="宋体" w:eastAsia="宋体" w:cs="Times New Roman"/>
                <w:sz w:val="21"/>
                <w:szCs w:val="21"/>
              </w:rPr>
            </w:pPr>
            <w:r>
              <w:rPr>
                <w:rFonts w:ascii="宋体" w:hAnsi="宋体" w:eastAsia="宋体"/>
                <w:color w:val="11110F"/>
                <w:sz w:val="21"/>
                <w:szCs w:val="21"/>
              </w:rPr>
              <w:t>(10</w:t>
            </w:r>
            <w:r>
              <w:rPr>
                <w:rFonts w:hint="eastAsia" w:ascii="宋体" w:hAnsi="宋体" w:eastAsia="宋体" w:cs="Times New Roman"/>
                <w:color w:val="11110F"/>
                <w:sz w:val="21"/>
                <w:szCs w:val="21"/>
              </w:rPr>
              <w:t>分）</w:t>
            </w:r>
          </w:p>
        </w:tc>
        <w:tc>
          <w:tcPr>
            <w:tcW w:w="1141" w:type="dxa"/>
            <w:vMerge w:val="restart"/>
            <w:tcBorders>
              <w:top w:val="nil"/>
              <w:left w:val="single" w:color="auto" w:sz="4" w:space="0"/>
              <w:bottom w:val="single" w:color="080C08" w:sz="8" w:space="0"/>
              <w:right w:val="single" w:color="auto" w:sz="4" w:space="0"/>
            </w:tcBorders>
            <w:vAlign w:val="center"/>
          </w:tcPr>
          <w:p>
            <w:pPr>
              <w:pStyle w:val="6"/>
              <w:spacing w:line="240" w:lineRule="auto"/>
              <w:ind w:left="255" w:right="245"/>
              <w:jc w:val="center"/>
              <w:rPr>
                <w:rFonts w:ascii="宋体" w:hAnsi="宋体" w:eastAsia="宋体" w:cs="Times New Roman"/>
                <w:sz w:val="21"/>
                <w:szCs w:val="21"/>
              </w:rPr>
            </w:pPr>
            <w:r>
              <w:rPr>
                <w:rFonts w:hint="eastAsia" w:ascii="宋体" w:hAnsi="宋体" w:eastAsia="宋体" w:cs="Times New Roman"/>
                <w:color w:val="11110F"/>
                <w:sz w:val="21"/>
                <w:szCs w:val="21"/>
              </w:rPr>
              <w:t>业务管理</w:t>
            </w:r>
          </w:p>
          <w:p>
            <w:pPr>
              <w:pStyle w:val="6"/>
              <w:spacing w:line="240" w:lineRule="auto"/>
              <w:ind w:left="255" w:right="146"/>
              <w:jc w:val="center"/>
              <w:rPr>
                <w:rFonts w:ascii="宋体" w:hAnsi="宋体" w:eastAsia="宋体" w:cs="Times New Roman"/>
                <w:sz w:val="21"/>
                <w:szCs w:val="21"/>
              </w:rPr>
            </w:pPr>
            <w:r>
              <w:rPr>
                <w:rFonts w:ascii="宋体" w:hAnsi="宋体" w:eastAsia="宋体"/>
                <w:color w:val="11110F"/>
                <w:sz w:val="21"/>
                <w:szCs w:val="21"/>
              </w:rPr>
              <w:t>( 5</w:t>
            </w:r>
            <w:r>
              <w:rPr>
                <w:rFonts w:hint="eastAsia" w:ascii="宋体" w:hAnsi="宋体" w:eastAsia="宋体" w:cs="Times New Roman"/>
                <w:color w:val="11110F"/>
                <w:sz w:val="21"/>
                <w:szCs w:val="21"/>
              </w:rPr>
              <w:t>分）</w:t>
            </w:r>
          </w:p>
        </w:tc>
        <w:tc>
          <w:tcPr>
            <w:tcW w:w="1699" w:type="dxa"/>
            <w:tcBorders>
              <w:top w:val="single" w:color="0F0F0F" w:sz="8" w:space="0"/>
              <w:left w:val="single" w:color="auto" w:sz="4" w:space="0"/>
              <w:bottom w:val="single" w:color="0F130F" w:sz="8" w:space="0"/>
              <w:right w:val="single" w:color="auto" w:sz="4" w:space="0"/>
            </w:tcBorders>
            <w:vAlign w:val="center"/>
          </w:tcPr>
          <w:p>
            <w:pPr>
              <w:pStyle w:val="6"/>
              <w:spacing w:line="240" w:lineRule="auto"/>
              <w:ind w:left="77" w:right="78"/>
              <w:jc w:val="center"/>
              <w:rPr>
                <w:rFonts w:ascii="宋体" w:hAnsi="宋体" w:eastAsia="宋体" w:cs="Times New Roman"/>
                <w:sz w:val="21"/>
                <w:szCs w:val="21"/>
              </w:rPr>
            </w:pPr>
            <w:r>
              <w:rPr>
                <w:rFonts w:hint="eastAsia" w:ascii="宋体" w:hAnsi="宋体" w:eastAsia="宋体" w:cs="Times New Roman"/>
                <w:color w:val="11110F"/>
                <w:sz w:val="21"/>
                <w:szCs w:val="21"/>
              </w:rPr>
              <w:t>管理制度健全性</w:t>
            </w:r>
          </w:p>
          <w:p>
            <w:pPr>
              <w:pStyle w:val="6"/>
              <w:spacing w:line="240" w:lineRule="auto"/>
              <w:ind w:left="171" w:right="82"/>
              <w:jc w:val="center"/>
              <w:rPr>
                <w:rFonts w:ascii="宋体" w:hAnsi="宋体" w:eastAsia="宋体" w:cs="Times New Roman"/>
                <w:sz w:val="21"/>
                <w:szCs w:val="21"/>
              </w:rPr>
            </w:pPr>
            <w:r>
              <w:rPr>
                <w:rFonts w:ascii="宋体" w:hAnsi="宋体" w:eastAsia="宋体"/>
                <w:color w:val="11110F"/>
                <w:sz w:val="21"/>
                <w:szCs w:val="21"/>
              </w:rPr>
              <w:t>( 2</w:t>
            </w:r>
            <w:r>
              <w:rPr>
                <w:rFonts w:hint="eastAsia" w:ascii="宋体" w:hAnsi="宋体" w:eastAsia="宋体" w:cs="Times New Roman"/>
                <w:color w:val="11110F"/>
                <w:sz w:val="21"/>
                <w:szCs w:val="21"/>
              </w:rPr>
              <w:t>分）</w:t>
            </w:r>
          </w:p>
        </w:tc>
        <w:tc>
          <w:tcPr>
            <w:tcW w:w="4800" w:type="dxa"/>
            <w:tcBorders>
              <w:top w:val="single" w:color="0F0F0F" w:sz="8" w:space="0"/>
              <w:left w:val="single" w:color="auto" w:sz="4" w:space="0"/>
              <w:bottom w:val="single" w:color="0F130F" w:sz="8" w:space="0"/>
              <w:right w:val="single" w:color="auto" w:sz="4" w:space="0"/>
            </w:tcBorders>
            <w:vAlign w:val="center"/>
          </w:tcPr>
          <w:p>
            <w:pPr>
              <w:pStyle w:val="6"/>
              <w:spacing w:line="240" w:lineRule="auto"/>
              <w:ind w:left="23" w:right="98" w:firstLine="4"/>
              <w:jc w:val="both"/>
              <w:rPr>
                <w:rFonts w:ascii="宋体" w:hAnsi="宋体" w:eastAsia="宋体" w:cs="Times New Roman"/>
                <w:sz w:val="21"/>
                <w:szCs w:val="21"/>
              </w:rPr>
            </w:pPr>
            <w:r>
              <w:rPr>
                <w:rFonts w:hint="eastAsia" w:ascii="宋体" w:hAnsi="宋体" w:eastAsia="宋体" w:cs="Times New Roman"/>
                <w:color w:val="11110F"/>
                <w:spacing w:val="-4"/>
                <w:sz w:val="21"/>
                <w:szCs w:val="21"/>
              </w:rPr>
              <w:t>成立领导小组确定相关负责人</w:t>
            </w:r>
            <w:r>
              <w:rPr>
                <w:rFonts w:hint="eastAsia" w:ascii="宋体" w:hAnsi="宋体" w:eastAsia="宋体" w:cs="Times New Roman"/>
                <w:color w:val="11110F"/>
                <w:spacing w:val="-28"/>
                <w:sz w:val="21"/>
                <w:szCs w:val="21"/>
              </w:rPr>
              <w:t xml:space="preserve">， </w:t>
            </w:r>
            <w:r>
              <w:rPr>
                <w:rFonts w:hint="eastAsia" w:ascii="宋体" w:hAnsi="宋体" w:eastAsia="宋体" w:cs="Times New Roman"/>
                <w:color w:val="11110F"/>
                <w:spacing w:val="-8"/>
                <w:sz w:val="21"/>
                <w:szCs w:val="21"/>
              </w:rPr>
              <w:t xml:space="preserve">明确相关职责 </w:t>
            </w:r>
            <w:r>
              <w:rPr>
                <w:rFonts w:hint="eastAsia" w:ascii="宋体" w:hAnsi="宋体" w:eastAsia="宋体" w:cs="Times New Roman"/>
                <w:color w:val="11110F"/>
                <w:spacing w:val="-26"/>
                <w:sz w:val="21"/>
                <w:szCs w:val="21"/>
              </w:rPr>
              <w:t xml:space="preserve">， </w:t>
            </w:r>
            <w:r>
              <w:rPr>
                <w:rFonts w:hint="eastAsia" w:ascii="宋体" w:hAnsi="宋体" w:eastAsia="宋体" w:cs="Times New Roman"/>
                <w:color w:val="11110F"/>
                <w:sz w:val="21"/>
                <w:szCs w:val="21"/>
              </w:rPr>
              <w:t>得</w:t>
            </w:r>
            <w:r>
              <w:rPr>
                <w:rFonts w:ascii="宋体" w:hAnsi="宋体" w:eastAsia="宋体"/>
                <w:color w:val="11110F"/>
                <w:sz w:val="21"/>
                <w:szCs w:val="21"/>
              </w:rPr>
              <w:t>1</w:t>
            </w:r>
            <w:r>
              <w:rPr>
                <w:rFonts w:hint="eastAsia" w:ascii="宋体" w:hAnsi="宋体" w:eastAsia="宋体" w:cs="Times New Roman"/>
                <w:color w:val="11110F"/>
                <w:spacing w:val="5"/>
                <w:sz w:val="21"/>
                <w:szCs w:val="21"/>
              </w:rPr>
              <w:t>分</w:t>
            </w:r>
            <w:r>
              <w:rPr>
                <w:rFonts w:hint="eastAsia" w:ascii="宋体" w:hAnsi="宋体" w:eastAsia="宋体" w:cs="Times New Roman"/>
                <w:color w:val="11110F"/>
                <w:spacing w:val="-14"/>
                <w:sz w:val="21"/>
                <w:szCs w:val="21"/>
              </w:rPr>
              <w:t xml:space="preserve">； </w:t>
            </w:r>
            <w:r>
              <w:rPr>
                <w:rFonts w:hint="eastAsia" w:ascii="宋体" w:hAnsi="宋体" w:eastAsia="宋体" w:cs="Times New Roman"/>
                <w:color w:val="11110F"/>
                <w:sz w:val="21"/>
                <w:szCs w:val="21"/>
              </w:rPr>
              <w:t>建立项目管理制度，明确操作规程，且业务管理制度合法、合</w:t>
            </w:r>
            <w:r>
              <w:rPr>
                <w:rFonts w:hint="eastAsia" w:ascii="宋体" w:hAnsi="宋体" w:eastAsia="宋体" w:cs="Times New Roman"/>
                <w:color w:val="11110F"/>
                <w:spacing w:val="-7"/>
                <w:sz w:val="21"/>
                <w:szCs w:val="21"/>
              </w:rPr>
              <w:t>规、完整的 得</w:t>
            </w:r>
            <w:r>
              <w:rPr>
                <w:rFonts w:ascii="宋体" w:hAnsi="宋体" w:eastAsia="宋体"/>
                <w:color w:val="11110F"/>
                <w:sz w:val="21"/>
                <w:szCs w:val="21"/>
              </w:rPr>
              <w:t>1</w:t>
            </w:r>
            <w:r>
              <w:rPr>
                <w:rFonts w:hint="eastAsia" w:ascii="宋体" w:hAnsi="宋体" w:eastAsia="宋体" w:cs="Times New Roman"/>
                <w:color w:val="11110F"/>
                <w:spacing w:val="5"/>
                <w:sz w:val="21"/>
                <w:szCs w:val="21"/>
              </w:rPr>
              <w:t>分</w:t>
            </w:r>
            <w:r>
              <w:rPr>
                <w:rFonts w:hint="eastAsia" w:ascii="宋体" w:hAnsi="宋体" w:eastAsia="宋体" w:cs="Times New Roman"/>
                <w:color w:val="11110F"/>
                <w:spacing w:val="-24"/>
                <w:sz w:val="21"/>
                <w:szCs w:val="21"/>
              </w:rPr>
              <w:t xml:space="preserve">； </w:t>
            </w:r>
            <w:r>
              <w:rPr>
                <w:rFonts w:hint="eastAsia" w:ascii="宋体" w:hAnsi="宋体" w:eastAsia="宋体" w:cs="Times New Roman"/>
                <w:color w:val="11110F"/>
                <w:spacing w:val="3"/>
                <w:sz w:val="21"/>
                <w:szCs w:val="21"/>
              </w:rPr>
              <w:t>否则不得分。</w:t>
            </w:r>
          </w:p>
        </w:tc>
        <w:tc>
          <w:tcPr>
            <w:tcW w:w="1000" w:type="dxa"/>
            <w:tcBorders>
              <w:top w:val="single" w:color="181813" w:sz="12" w:space="0"/>
              <w:left w:val="single" w:color="auto" w:sz="4" w:space="0"/>
              <w:bottom w:val="single" w:color="000000"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881" w:type="dxa"/>
            <w:tcBorders>
              <w:top w:val="single" w:color="181813" w:sz="12" w:space="0"/>
              <w:left w:val="single" w:color="auto" w:sz="4" w:space="0"/>
              <w:bottom w:val="single" w:color="000000"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1061" w:hRule="atLeast"/>
        </w:trPr>
        <w:tc>
          <w:tcPr>
            <w:tcW w:w="650" w:type="dxa"/>
            <w:vMerge w:val="continue"/>
            <w:tcBorders>
              <w:top w:val="nil"/>
              <w:left w:val="single" w:color="auto" w:sz="4" w:space="0"/>
              <w:bottom w:val="single" w:color="030303" w:sz="8" w:space="0"/>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continue"/>
            <w:tcBorders>
              <w:top w:val="nil"/>
              <w:left w:val="single" w:color="auto" w:sz="4" w:space="0"/>
              <w:bottom w:val="single" w:color="080C08" w:sz="8" w:space="0"/>
              <w:right w:val="single" w:color="auto" w:sz="4" w:space="0"/>
            </w:tcBorders>
            <w:vAlign w:val="center"/>
          </w:tcPr>
          <w:p>
            <w:pPr>
              <w:widowControl/>
              <w:spacing w:line="240" w:lineRule="auto"/>
              <w:jc w:val="center"/>
              <w:rPr>
                <w:rFonts w:ascii="宋体" w:hAnsi="宋体" w:cs="Times New Roman"/>
                <w:sz w:val="21"/>
                <w:szCs w:val="21"/>
              </w:rPr>
            </w:pPr>
          </w:p>
        </w:tc>
        <w:tc>
          <w:tcPr>
            <w:tcW w:w="1699" w:type="dxa"/>
            <w:tcBorders>
              <w:top w:val="single" w:color="0F130F" w:sz="8" w:space="0"/>
              <w:left w:val="single" w:color="auto" w:sz="4" w:space="0"/>
              <w:bottom w:val="single" w:color="080C08" w:sz="8" w:space="0"/>
              <w:right w:val="single" w:color="auto" w:sz="4" w:space="0"/>
            </w:tcBorders>
            <w:vAlign w:val="center"/>
          </w:tcPr>
          <w:p>
            <w:pPr>
              <w:pStyle w:val="6"/>
              <w:spacing w:line="240" w:lineRule="auto"/>
              <w:ind w:left="75" w:right="86"/>
              <w:jc w:val="center"/>
              <w:rPr>
                <w:rFonts w:ascii="宋体" w:hAnsi="宋体" w:eastAsia="宋体" w:cs="Times New Roman"/>
                <w:sz w:val="21"/>
                <w:szCs w:val="21"/>
              </w:rPr>
            </w:pPr>
            <w:r>
              <w:rPr>
                <w:rFonts w:hint="eastAsia" w:ascii="宋体" w:hAnsi="宋体" w:eastAsia="宋体" w:cs="Times New Roman"/>
                <w:color w:val="11110F"/>
                <w:sz w:val="21"/>
                <w:szCs w:val="21"/>
              </w:rPr>
              <w:t>项目质量可控性</w:t>
            </w:r>
          </w:p>
          <w:p>
            <w:pPr>
              <w:pStyle w:val="6"/>
              <w:spacing w:line="240" w:lineRule="auto"/>
              <w:ind w:left="175" w:right="86"/>
              <w:jc w:val="center"/>
              <w:rPr>
                <w:rFonts w:ascii="宋体" w:hAnsi="宋体" w:eastAsia="宋体" w:cs="Times New Roman"/>
                <w:sz w:val="21"/>
                <w:szCs w:val="21"/>
              </w:rPr>
            </w:pPr>
            <w:r>
              <w:rPr>
                <w:rFonts w:ascii="宋体" w:hAnsi="宋体" w:eastAsia="宋体"/>
                <w:color w:val="11110F"/>
                <w:sz w:val="21"/>
                <w:szCs w:val="21"/>
              </w:rPr>
              <w:t>( 3</w:t>
            </w:r>
            <w:r>
              <w:rPr>
                <w:rFonts w:hint="eastAsia" w:ascii="宋体" w:hAnsi="宋体" w:eastAsia="宋体" w:cs="Times New Roman"/>
                <w:color w:val="11110F"/>
                <w:sz w:val="21"/>
                <w:szCs w:val="21"/>
              </w:rPr>
              <w:t>分）</w:t>
            </w:r>
          </w:p>
        </w:tc>
        <w:tc>
          <w:tcPr>
            <w:tcW w:w="4800" w:type="dxa"/>
            <w:tcBorders>
              <w:top w:val="single" w:color="0F130F" w:sz="8" w:space="0"/>
              <w:left w:val="single" w:color="auto" w:sz="4" w:space="0"/>
              <w:bottom w:val="single" w:color="auto" w:sz="4" w:space="0"/>
              <w:right w:val="single" w:color="auto" w:sz="4" w:space="0"/>
            </w:tcBorders>
            <w:vAlign w:val="center"/>
          </w:tcPr>
          <w:p>
            <w:pPr>
              <w:pStyle w:val="6"/>
              <w:spacing w:line="240" w:lineRule="auto"/>
              <w:ind w:left="31" w:right="106" w:hanging="1"/>
              <w:jc w:val="both"/>
              <w:rPr>
                <w:rFonts w:ascii="宋体" w:hAnsi="宋体" w:eastAsia="宋体" w:cs="Times New Roman"/>
                <w:sz w:val="21"/>
                <w:szCs w:val="21"/>
              </w:rPr>
            </w:pPr>
            <w:r>
              <w:rPr>
                <w:rFonts w:hint="eastAsia" w:ascii="宋体" w:hAnsi="宋体" w:eastAsia="宋体" w:cs="Times New Roman"/>
                <w:color w:val="11110F"/>
                <w:sz w:val="21"/>
                <w:szCs w:val="21"/>
              </w:rPr>
              <w:t>项目采用 招标采购、项目监理并资料完整的得</w:t>
            </w:r>
            <w:r>
              <w:rPr>
                <w:rFonts w:ascii="宋体" w:hAnsi="宋体" w:eastAsia="宋体"/>
                <w:color w:val="11110F"/>
                <w:sz w:val="21"/>
                <w:szCs w:val="21"/>
              </w:rPr>
              <w:t>1</w:t>
            </w:r>
            <w:r>
              <w:rPr>
                <w:rFonts w:hint="eastAsia" w:ascii="宋体" w:hAnsi="宋体" w:eastAsia="宋体" w:cs="Times New Roman"/>
                <w:color w:val="11110F"/>
                <w:sz w:val="21"/>
                <w:szCs w:val="21"/>
              </w:rPr>
              <w:t>分，采取了相应的质量检查、督导、验收等控制措施 并资料 完整的得</w:t>
            </w:r>
            <w:r>
              <w:rPr>
                <w:rFonts w:hint="eastAsia" w:ascii="宋体" w:hAnsi="宋体" w:eastAsia="宋体"/>
                <w:color w:val="11110F"/>
                <w:sz w:val="21"/>
                <w:szCs w:val="21"/>
              </w:rPr>
              <w:t>1</w:t>
            </w:r>
            <w:r>
              <w:rPr>
                <w:rFonts w:hint="eastAsia" w:ascii="宋体" w:hAnsi="宋体" w:eastAsia="宋体" w:cs="Times New Roman"/>
                <w:color w:val="11110F"/>
                <w:sz w:val="21"/>
                <w:szCs w:val="21"/>
              </w:rPr>
              <w:t>分，按照验收标准要求将档案资料及时、完整归档管理的得</w:t>
            </w:r>
            <w:r>
              <w:rPr>
                <w:rFonts w:ascii="宋体" w:hAnsi="宋体" w:eastAsia="宋体"/>
                <w:color w:val="11110F"/>
                <w:sz w:val="21"/>
                <w:szCs w:val="21"/>
              </w:rPr>
              <w:t>1</w:t>
            </w:r>
            <w:r>
              <w:rPr>
                <w:rFonts w:hint="eastAsia" w:ascii="宋体" w:hAnsi="宋体" w:eastAsia="宋体" w:cs="Times New Roman"/>
                <w:color w:val="11110F"/>
                <w:sz w:val="21"/>
                <w:szCs w:val="21"/>
              </w:rPr>
              <w:t>分，否则不得分。</w:t>
            </w:r>
          </w:p>
        </w:tc>
        <w:tc>
          <w:tcPr>
            <w:tcW w:w="1000" w:type="dxa"/>
            <w:tcBorders>
              <w:top w:val="single" w:color="000000" w:sz="8" w:space="0"/>
              <w:left w:val="single" w:color="auto" w:sz="4" w:space="0"/>
              <w:bottom w:val="single" w:color="auto" w:sz="4"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3</w:t>
            </w:r>
          </w:p>
        </w:tc>
        <w:tc>
          <w:tcPr>
            <w:tcW w:w="881" w:type="dxa"/>
            <w:tcBorders>
              <w:top w:val="single" w:color="000000" w:sz="8" w:space="0"/>
              <w:left w:val="single" w:color="auto" w:sz="4" w:space="0"/>
              <w:bottom w:val="single" w:color="auto" w:sz="4"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3</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600" w:hRule="atLeast"/>
        </w:trPr>
        <w:tc>
          <w:tcPr>
            <w:tcW w:w="650" w:type="dxa"/>
            <w:vMerge w:val="continue"/>
            <w:tcBorders>
              <w:top w:val="nil"/>
              <w:left w:val="single" w:color="auto" w:sz="4" w:space="0"/>
              <w:bottom w:val="single" w:color="030303" w:sz="8" w:space="0"/>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restart"/>
            <w:tcBorders>
              <w:top w:val="nil"/>
              <w:left w:val="single" w:color="auto" w:sz="4" w:space="0"/>
              <w:bottom w:val="single" w:color="13130F" w:sz="8" w:space="0"/>
              <w:right w:val="single" w:color="auto" w:sz="4" w:space="0"/>
            </w:tcBorders>
            <w:vAlign w:val="center"/>
          </w:tcPr>
          <w:p>
            <w:pPr>
              <w:pStyle w:val="6"/>
              <w:spacing w:line="240" w:lineRule="auto"/>
              <w:ind w:left="240" w:right="216"/>
              <w:jc w:val="center"/>
              <w:rPr>
                <w:rFonts w:ascii="宋体" w:hAnsi="宋体" w:eastAsia="宋体" w:cs="Times New Roman"/>
                <w:sz w:val="21"/>
                <w:szCs w:val="21"/>
              </w:rPr>
            </w:pPr>
            <w:r>
              <w:rPr>
                <w:rFonts w:hint="eastAsia" w:ascii="宋体" w:hAnsi="宋体" w:eastAsia="宋体" w:cs="Times New Roman"/>
                <w:color w:val="11110F"/>
                <w:sz w:val="21"/>
                <w:szCs w:val="21"/>
              </w:rPr>
              <w:t>财务管理</w:t>
            </w:r>
          </w:p>
          <w:p>
            <w:pPr>
              <w:pStyle w:val="6"/>
              <w:spacing w:line="240" w:lineRule="auto"/>
              <w:ind w:left="240" w:right="127"/>
              <w:jc w:val="center"/>
              <w:rPr>
                <w:rFonts w:ascii="宋体" w:hAnsi="宋体" w:eastAsia="宋体" w:cs="Times New Roman"/>
                <w:sz w:val="21"/>
                <w:szCs w:val="21"/>
              </w:rPr>
            </w:pPr>
            <w:r>
              <w:rPr>
                <w:rFonts w:ascii="宋体" w:hAnsi="宋体" w:eastAsia="宋体"/>
                <w:color w:val="11110F"/>
                <w:sz w:val="21"/>
                <w:szCs w:val="21"/>
              </w:rPr>
              <w:t>( 5</w:t>
            </w:r>
            <w:r>
              <w:rPr>
                <w:rFonts w:hint="eastAsia" w:ascii="宋体" w:hAnsi="宋体" w:eastAsia="宋体" w:cs="Times New Roman"/>
                <w:color w:val="11110F"/>
                <w:sz w:val="21"/>
                <w:szCs w:val="21"/>
              </w:rPr>
              <w:t>分）</w:t>
            </w:r>
          </w:p>
        </w:tc>
        <w:tc>
          <w:tcPr>
            <w:tcW w:w="1699" w:type="dxa"/>
            <w:tcBorders>
              <w:top w:val="single" w:color="080C08" w:sz="8" w:space="0"/>
              <w:left w:val="single" w:color="auto" w:sz="4" w:space="0"/>
              <w:bottom w:val="single" w:color="0C0C0C" w:sz="8" w:space="0"/>
              <w:right w:val="single" w:color="auto" w:sz="4" w:space="0"/>
            </w:tcBorders>
            <w:vAlign w:val="center"/>
          </w:tcPr>
          <w:p>
            <w:pPr>
              <w:pStyle w:val="6"/>
              <w:spacing w:line="240" w:lineRule="auto"/>
              <w:ind w:left="75" w:right="86"/>
              <w:jc w:val="center"/>
              <w:rPr>
                <w:rFonts w:ascii="宋体" w:hAnsi="宋体" w:eastAsia="宋体" w:cs="Times New Roman"/>
                <w:sz w:val="21"/>
                <w:szCs w:val="21"/>
              </w:rPr>
            </w:pPr>
            <w:r>
              <w:rPr>
                <w:rFonts w:hint="eastAsia" w:ascii="宋体" w:hAnsi="宋体" w:eastAsia="宋体" w:cs="Times New Roman"/>
                <w:color w:val="11110F"/>
                <w:sz w:val="21"/>
                <w:szCs w:val="21"/>
              </w:rPr>
              <w:t>建立专账核算管理</w:t>
            </w:r>
          </w:p>
          <w:p>
            <w:pPr>
              <w:pStyle w:val="6"/>
              <w:spacing w:line="240" w:lineRule="auto"/>
              <w:ind w:left="185" w:right="86"/>
              <w:jc w:val="center"/>
              <w:rPr>
                <w:rFonts w:ascii="宋体" w:hAnsi="宋体" w:eastAsia="宋体" w:cs="Times New Roman"/>
                <w:sz w:val="21"/>
                <w:szCs w:val="21"/>
              </w:rPr>
            </w:pPr>
            <w:r>
              <w:rPr>
                <w:rFonts w:ascii="宋体" w:hAnsi="宋体" w:eastAsia="宋体"/>
                <w:color w:val="11110F"/>
                <w:sz w:val="21"/>
                <w:szCs w:val="21"/>
              </w:rPr>
              <w:t>( 2</w:t>
            </w:r>
            <w:r>
              <w:rPr>
                <w:rFonts w:hint="eastAsia" w:ascii="宋体" w:hAnsi="宋体" w:eastAsia="宋体" w:cs="Times New Roman"/>
                <w:color w:val="11110F"/>
                <w:sz w:val="21"/>
                <w:szCs w:val="21"/>
              </w:rPr>
              <w:t>分）</w:t>
            </w:r>
          </w:p>
        </w:tc>
        <w:tc>
          <w:tcPr>
            <w:tcW w:w="4800" w:type="dxa"/>
            <w:tcBorders>
              <w:top w:val="single" w:color="auto" w:sz="4" w:space="0"/>
              <w:left w:val="single" w:color="auto" w:sz="4" w:space="0"/>
              <w:bottom w:val="single" w:color="0C0C0C" w:sz="8" w:space="0"/>
              <w:right w:val="single" w:color="auto" w:sz="4" w:space="0"/>
            </w:tcBorders>
            <w:vAlign w:val="center"/>
          </w:tcPr>
          <w:p>
            <w:pPr>
              <w:pStyle w:val="6"/>
              <w:spacing w:line="240" w:lineRule="auto"/>
              <w:ind w:left="33" w:right="243" w:hanging="2"/>
              <w:jc w:val="both"/>
              <w:rPr>
                <w:rFonts w:ascii="宋体" w:hAnsi="宋体" w:eastAsia="宋体" w:cs="Times New Roman"/>
                <w:sz w:val="21"/>
                <w:szCs w:val="21"/>
              </w:rPr>
            </w:pPr>
            <w:r>
              <w:rPr>
                <w:rFonts w:hint="eastAsia" w:ascii="宋体" w:hAnsi="宋体" w:eastAsia="宋体" w:cs="Times New Roman"/>
                <w:color w:val="11110F"/>
                <w:sz w:val="21"/>
                <w:szCs w:val="21"/>
              </w:rPr>
              <w:t>项目资金依据“省级专项资金管理办法”要求建立专账核算得</w:t>
            </w:r>
            <w:r>
              <w:rPr>
                <w:rFonts w:ascii="宋体" w:hAnsi="宋体" w:eastAsia="宋体"/>
                <w:color w:val="11110F"/>
                <w:spacing w:val="5"/>
                <w:sz w:val="21"/>
                <w:szCs w:val="21"/>
              </w:rPr>
              <w:t>1</w:t>
            </w:r>
            <w:r>
              <w:rPr>
                <w:rFonts w:hint="eastAsia" w:ascii="宋体" w:hAnsi="宋体" w:eastAsia="宋体" w:cs="Times New Roman"/>
                <w:color w:val="11110F"/>
                <w:spacing w:val="5"/>
                <w:sz w:val="21"/>
                <w:szCs w:val="21"/>
              </w:rPr>
              <w:t>分，实行专款专用得</w:t>
            </w:r>
            <w:r>
              <w:rPr>
                <w:rFonts w:ascii="宋体" w:hAnsi="宋体" w:eastAsia="宋体"/>
                <w:color w:val="11110F"/>
                <w:spacing w:val="5"/>
                <w:sz w:val="21"/>
                <w:szCs w:val="21"/>
              </w:rPr>
              <w:t>1</w:t>
            </w:r>
            <w:r>
              <w:rPr>
                <w:rFonts w:hint="eastAsia" w:ascii="宋体" w:hAnsi="宋体" w:eastAsia="宋体" w:cs="Times New Roman"/>
                <w:color w:val="11110F"/>
                <w:spacing w:val="1"/>
                <w:sz w:val="21"/>
                <w:szCs w:val="21"/>
              </w:rPr>
              <w:t>分。否则不得分</w:t>
            </w:r>
            <w:r>
              <w:rPr>
                <w:rFonts w:hint="eastAsia" w:ascii="宋体" w:hAnsi="宋体" w:eastAsia="宋体" w:cs="Times New Roman"/>
                <w:color w:val="11110F"/>
                <w:sz w:val="21"/>
                <w:szCs w:val="21"/>
              </w:rPr>
              <w:t>；</w:t>
            </w:r>
          </w:p>
        </w:tc>
        <w:tc>
          <w:tcPr>
            <w:tcW w:w="1000" w:type="dxa"/>
            <w:tcBorders>
              <w:top w:val="single" w:color="auto" w:sz="4" w:space="0"/>
              <w:left w:val="single" w:color="auto" w:sz="4" w:space="0"/>
              <w:bottom w:val="single" w:color="0C0C0C"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881" w:type="dxa"/>
            <w:tcBorders>
              <w:top w:val="single" w:color="auto" w:sz="4" w:space="0"/>
              <w:left w:val="single" w:color="auto" w:sz="4" w:space="0"/>
              <w:bottom w:val="single" w:color="0C0C0C"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832" w:hRule="atLeast"/>
        </w:trPr>
        <w:tc>
          <w:tcPr>
            <w:tcW w:w="650" w:type="dxa"/>
            <w:vMerge w:val="continue"/>
            <w:tcBorders>
              <w:top w:val="nil"/>
              <w:left w:val="single" w:color="auto" w:sz="4" w:space="0"/>
              <w:bottom w:val="single" w:color="030303" w:sz="8" w:space="0"/>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continue"/>
            <w:tcBorders>
              <w:top w:val="nil"/>
              <w:left w:val="single" w:color="auto" w:sz="4" w:space="0"/>
              <w:bottom w:val="single" w:color="13130F" w:sz="8" w:space="0"/>
              <w:right w:val="single" w:color="auto" w:sz="4" w:space="0"/>
            </w:tcBorders>
            <w:vAlign w:val="center"/>
          </w:tcPr>
          <w:p>
            <w:pPr>
              <w:widowControl/>
              <w:spacing w:line="240" w:lineRule="auto"/>
              <w:jc w:val="center"/>
              <w:rPr>
                <w:rFonts w:ascii="宋体" w:hAnsi="宋体" w:cs="Times New Roman"/>
                <w:sz w:val="21"/>
                <w:szCs w:val="21"/>
              </w:rPr>
            </w:pPr>
          </w:p>
        </w:tc>
        <w:tc>
          <w:tcPr>
            <w:tcW w:w="1699" w:type="dxa"/>
            <w:tcBorders>
              <w:top w:val="single" w:color="0C0C0C" w:sz="8" w:space="0"/>
              <w:left w:val="single" w:color="auto" w:sz="4" w:space="0"/>
              <w:bottom w:val="single" w:color="13130F" w:sz="8" w:space="0"/>
              <w:right w:val="single" w:color="auto" w:sz="4" w:space="0"/>
            </w:tcBorders>
            <w:vAlign w:val="center"/>
          </w:tcPr>
          <w:p>
            <w:pPr>
              <w:pStyle w:val="6"/>
              <w:spacing w:line="240" w:lineRule="auto"/>
              <w:ind w:left="80" w:right="80"/>
              <w:jc w:val="center"/>
              <w:rPr>
                <w:rFonts w:ascii="宋体" w:hAnsi="宋体" w:eastAsia="宋体" w:cs="Times New Roman"/>
                <w:sz w:val="21"/>
                <w:szCs w:val="21"/>
              </w:rPr>
            </w:pPr>
            <w:r>
              <w:rPr>
                <w:rFonts w:hint="eastAsia" w:ascii="宋体" w:hAnsi="宋体" w:eastAsia="宋体" w:cs="Times New Roman"/>
                <w:color w:val="11110F"/>
                <w:sz w:val="21"/>
                <w:szCs w:val="21"/>
              </w:rPr>
              <w:t>财务监控有效性</w:t>
            </w:r>
          </w:p>
          <w:p>
            <w:pPr>
              <w:pStyle w:val="6"/>
              <w:spacing w:line="240" w:lineRule="auto"/>
              <w:ind w:left="195" w:right="86"/>
              <w:jc w:val="center"/>
              <w:rPr>
                <w:rFonts w:ascii="宋体" w:hAnsi="宋体" w:eastAsia="宋体" w:cs="Times New Roman"/>
                <w:sz w:val="21"/>
                <w:szCs w:val="21"/>
              </w:rPr>
            </w:pPr>
            <w:r>
              <w:rPr>
                <w:rFonts w:ascii="宋体" w:hAnsi="宋体" w:eastAsia="宋体"/>
                <w:color w:val="11110F"/>
                <w:sz w:val="21"/>
                <w:szCs w:val="21"/>
              </w:rPr>
              <w:t>( 3</w:t>
            </w:r>
            <w:r>
              <w:rPr>
                <w:rFonts w:hint="eastAsia" w:ascii="宋体" w:hAnsi="宋体" w:eastAsia="宋体" w:cs="Times New Roman"/>
                <w:color w:val="11110F"/>
                <w:sz w:val="21"/>
                <w:szCs w:val="21"/>
              </w:rPr>
              <w:t>分）</w:t>
            </w:r>
          </w:p>
        </w:tc>
        <w:tc>
          <w:tcPr>
            <w:tcW w:w="4800" w:type="dxa"/>
            <w:tcBorders>
              <w:top w:val="single" w:color="0C0C0C" w:sz="8" w:space="0"/>
              <w:left w:val="single" w:color="auto" w:sz="4" w:space="0"/>
              <w:bottom w:val="single" w:color="13130F" w:sz="8" w:space="0"/>
              <w:right w:val="single" w:color="auto" w:sz="4" w:space="0"/>
            </w:tcBorders>
            <w:vAlign w:val="center"/>
          </w:tcPr>
          <w:p>
            <w:pPr>
              <w:pStyle w:val="6"/>
              <w:spacing w:line="240" w:lineRule="auto"/>
              <w:ind w:left="37"/>
              <w:jc w:val="both"/>
              <w:rPr>
                <w:rFonts w:ascii="宋体" w:hAnsi="宋体" w:eastAsia="宋体" w:cs="Times New Roman"/>
                <w:sz w:val="21"/>
                <w:szCs w:val="21"/>
              </w:rPr>
            </w:pPr>
            <w:r>
              <w:rPr>
                <w:rFonts w:hint="eastAsia" w:ascii="宋体" w:hAnsi="宋体" w:eastAsia="宋体" w:cs="Times New Roman"/>
                <w:color w:val="11110F"/>
                <w:sz w:val="21"/>
                <w:szCs w:val="21"/>
              </w:rPr>
              <w:t>专项资金巳按照相应的财务制度（或流程）实行监管得</w:t>
            </w:r>
            <w:r>
              <w:rPr>
                <w:rFonts w:ascii="宋体" w:hAnsi="宋体" w:eastAsia="宋体"/>
                <w:color w:val="11110F"/>
                <w:sz w:val="21"/>
                <w:szCs w:val="21"/>
              </w:rPr>
              <w:t>1</w:t>
            </w:r>
            <w:r>
              <w:rPr>
                <w:rFonts w:hint="eastAsia" w:ascii="宋体" w:hAnsi="宋体" w:eastAsia="宋体" w:cs="Times New Roman"/>
                <w:color w:val="11110F"/>
                <w:sz w:val="21"/>
                <w:szCs w:val="21"/>
              </w:rPr>
              <w:t>分；不存在专项 资金支出依据不合规、虚列项目支出、截留、 挤占、挪用项目资金 等情况，得</w:t>
            </w:r>
            <w:r>
              <w:rPr>
                <w:rFonts w:ascii="宋体" w:hAnsi="宋体" w:eastAsia="宋体"/>
                <w:color w:val="11110F"/>
                <w:sz w:val="21"/>
                <w:szCs w:val="21"/>
              </w:rPr>
              <w:t>2</w:t>
            </w:r>
            <w:r>
              <w:rPr>
                <w:rFonts w:hint="eastAsia" w:ascii="宋体" w:hAnsi="宋体" w:eastAsia="宋体" w:cs="Times New Roman"/>
                <w:color w:val="11110F"/>
                <w:sz w:val="21"/>
                <w:szCs w:val="21"/>
              </w:rPr>
              <w:t>分；否则不得分。</w:t>
            </w:r>
          </w:p>
        </w:tc>
        <w:tc>
          <w:tcPr>
            <w:tcW w:w="1000" w:type="dxa"/>
            <w:tcBorders>
              <w:top w:val="single" w:color="0C0C0C" w:sz="8" w:space="0"/>
              <w:left w:val="single" w:color="auto" w:sz="4" w:space="0"/>
              <w:bottom w:val="single" w:color="13130F"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3</w:t>
            </w:r>
          </w:p>
        </w:tc>
        <w:tc>
          <w:tcPr>
            <w:tcW w:w="881" w:type="dxa"/>
            <w:tcBorders>
              <w:top w:val="single" w:color="0C0C0C" w:sz="8" w:space="0"/>
              <w:left w:val="single" w:color="auto" w:sz="4" w:space="0"/>
              <w:bottom w:val="single" w:color="13130F"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3</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766" w:hRule="atLeast"/>
        </w:trPr>
        <w:tc>
          <w:tcPr>
            <w:tcW w:w="650" w:type="dxa"/>
            <w:vMerge w:val="restart"/>
            <w:tcBorders>
              <w:top w:val="nil"/>
              <w:left w:val="single" w:color="auto" w:sz="4" w:space="0"/>
              <w:bottom w:val="single" w:color="0F0F0C" w:sz="8" w:space="0"/>
              <w:right w:val="single" w:color="auto" w:sz="4" w:space="0"/>
            </w:tcBorders>
            <w:vAlign w:val="center"/>
          </w:tcPr>
          <w:p>
            <w:pPr>
              <w:pStyle w:val="6"/>
              <w:spacing w:line="240" w:lineRule="auto"/>
              <w:ind w:left="174"/>
              <w:jc w:val="center"/>
              <w:rPr>
                <w:rFonts w:ascii="宋体" w:hAnsi="宋体" w:eastAsia="宋体" w:cs="Times New Roman"/>
                <w:sz w:val="21"/>
                <w:szCs w:val="21"/>
              </w:rPr>
            </w:pPr>
            <w:r>
              <w:rPr>
                <w:rFonts w:hint="eastAsia" w:ascii="宋体" w:hAnsi="宋体" w:eastAsia="宋体" w:cs="Times New Roman"/>
                <w:color w:val="11110F"/>
                <w:sz w:val="21"/>
                <w:szCs w:val="21"/>
              </w:rPr>
              <w:t>项目产出</w:t>
            </w:r>
          </w:p>
          <w:p>
            <w:pPr>
              <w:pStyle w:val="6"/>
              <w:spacing w:line="240" w:lineRule="auto"/>
              <w:ind w:left="267"/>
              <w:jc w:val="center"/>
              <w:rPr>
                <w:rFonts w:ascii="宋体" w:hAnsi="宋体" w:eastAsia="宋体" w:cs="Times New Roman"/>
                <w:sz w:val="21"/>
                <w:szCs w:val="21"/>
              </w:rPr>
            </w:pPr>
            <w:r>
              <w:rPr>
                <w:rFonts w:ascii="宋体" w:hAnsi="宋体" w:eastAsia="宋体"/>
                <w:color w:val="11110F"/>
                <w:sz w:val="21"/>
                <w:szCs w:val="21"/>
              </w:rPr>
              <w:t>( 50</w:t>
            </w:r>
            <w:r>
              <w:rPr>
                <w:rFonts w:hint="eastAsia" w:ascii="宋体" w:hAnsi="宋体" w:eastAsia="宋体" w:cs="Times New Roman"/>
                <w:color w:val="11110F"/>
                <w:sz w:val="21"/>
                <w:szCs w:val="21"/>
              </w:rPr>
              <w:t>分）</w:t>
            </w:r>
          </w:p>
        </w:tc>
        <w:tc>
          <w:tcPr>
            <w:tcW w:w="1141" w:type="dxa"/>
            <w:vMerge w:val="restart"/>
            <w:tcBorders>
              <w:top w:val="nil"/>
              <w:left w:val="single" w:color="auto" w:sz="4" w:space="0"/>
              <w:bottom w:val="single" w:color="030303" w:sz="8" w:space="0"/>
              <w:right w:val="single" w:color="auto" w:sz="4" w:space="0"/>
            </w:tcBorders>
            <w:vAlign w:val="center"/>
          </w:tcPr>
          <w:p>
            <w:pPr>
              <w:pStyle w:val="6"/>
              <w:spacing w:line="240" w:lineRule="auto"/>
              <w:ind w:left="278"/>
              <w:jc w:val="both"/>
              <w:rPr>
                <w:rFonts w:ascii="宋体" w:hAnsi="宋体" w:eastAsia="宋体" w:cs="Times New Roman"/>
                <w:sz w:val="21"/>
                <w:szCs w:val="21"/>
              </w:rPr>
            </w:pPr>
            <w:r>
              <w:rPr>
                <w:rFonts w:hint="eastAsia" w:ascii="宋体" w:hAnsi="宋体" w:eastAsia="宋体" w:cs="Times New Roman"/>
                <w:color w:val="11110F"/>
                <w:sz w:val="21"/>
                <w:szCs w:val="21"/>
              </w:rPr>
              <w:t>产出数量</w:t>
            </w:r>
          </w:p>
          <w:p>
            <w:pPr>
              <w:pStyle w:val="6"/>
              <w:spacing w:line="240" w:lineRule="auto"/>
              <w:ind w:left="373"/>
              <w:jc w:val="both"/>
              <w:rPr>
                <w:rFonts w:ascii="宋体" w:hAnsi="宋体" w:eastAsia="宋体" w:cs="Times New Roman"/>
                <w:sz w:val="21"/>
                <w:szCs w:val="21"/>
              </w:rPr>
            </w:pPr>
            <w:r>
              <w:rPr>
                <w:rFonts w:ascii="宋体" w:hAnsi="宋体" w:eastAsia="宋体"/>
                <w:color w:val="11110F"/>
                <w:sz w:val="21"/>
                <w:szCs w:val="21"/>
              </w:rPr>
              <w:t>( 20</w:t>
            </w:r>
            <w:r>
              <w:rPr>
                <w:rFonts w:hint="eastAsia" w:ascii="宋体" w:hAnsi="宋体" w:eastAsia="宋体" w:cs="Times New Roman"/>
                <w:color w:val="11110F"/>
                <w:sz w:val="21"/>
                <w:szCs w:val="21"/>
              </w:rPr>
              <w:t>分）</w:t>
            </w:r>
          </w:p>
        </w:tc>
        <w:tc>
          <w:tcPr>
            <w:tcW w:w="1699" w:type="dxa"/>
            <w:tcBorders>
              <w:top w:val="single" w:color="13130F" w:sz="8" w:space="0"/>
              <w:left w:val="single" w:color="auto" w:sz="4" w:space="0"/>
              <w:bottom w:val="single" w:color="0F0F0F" w:sz="8" w:space="0"/>
              <w:right w:val="single" w:color="auto" w:sz="4" w:space="0"/>
            </w:tcBorders>
            <w:vAlign w:val="center"/>
          </w:tcPr>
          <w:p>
            <w:pPr>
              <w:pStyle w:val="6"/>
              <w:spacing w:line="240" w:lineRule="auto"/>
              <w:ind w:left="77" w:right="75"/>
              <w:jc w:val="center"/>
              <w:rPr>
                <w:rFonts w:ascii="宋体" w:hAnsi="宋体" w:eastAsia="宋体" w:cs="Times New Roman"/>
                <w:sz w:val="21"/>
                <w:szCs w:val="21"/>
              </w:rPr>
            </w:pPr>
            <w:r>
              <w:rPr>
                <w:rFonts w:hint="eastAsia" w:ascii="宋体" w:hAnsi="宋体" w:eastAsia="宋体" w:cs="Times New Roman"/>
                <w:color w:val="11110F"/>
                <w:sz w:val="21"/>
                <w:szCs w:val="21"/>
              </w:rPr>
              <w:t>建设计划完成率</w:t>
            </w:r>
          </w:p>
          <w:p>
            <w:pPr>
              <w:pStyle w:val="6"/>
              <w:spacing w:line="240" w:lineRule="auto"/>
              <w:ind w:left="196" w:right="82"/>
              <w:jc w:val="center"/>
              <w:rPr>
                <w:rFonts w:ascii="宋体" w:hAnsi="宋体" w:eastAsia="宋体" w:cs="Times New Roman"/>
                <w:sz w:val="21"/>
                <w:szCs w:val="21"/>
              </w:rPr>
            </w:pPr>
            <w:r>
              <w:rPr>
                <w:rFonts w:ascii="宋体" w:hAnsi="宋体" w:eastAsia="宋体"/>
                <w:color w:val="11110F"/>
                <w:sz w:val="21"/>
                <w:szCs w:val="21"/>
              </w:rPr>
              <w:t>( 12</w:t>
            </w:r>
            <w:r>
              <w:rPr>
                <w:rFonts w:hint="eastAsia" w:ascii="宋体" w:hAnsi="宋体" w:eastAsia="宋体" w:cs="Times New Roman"/>
                <w:color w:val="11110F"/>
                <w:sz w:val="21"/>
                <w:szCs w:val="21"/>
              </w:rPr>
              <w:t>分）</w:t>
            </w:r>
          </w:p>
        </w:tc>
        <w:tc>
          <w:tcPr>
            <w:tcW w:w="4800" w:type="dxa"/>
            <w:tcBorders>
              <w:top w:val="single" w:color="13130F" w:sz="8" w:space="0"/>
              <w:left w:val="single" w:color="auto" w:sz="4" w:space="0"/>
              <w:bottom w:val="single" w:color="0F0F0F" w:sz="8" w:space="0"/>
              <w:right w:val="single" w:color="auto" w:sz="4" w:space="0"/>
            </w:tcBorders>
            <w:vAlign w:val="center"/>
          </w:tcPr>
          <w:p>
            <w:pPr>
              <w:pStyle w:val="6"/>
              <w:spacing w:line="240" w:lineRule="auto"/>
              <w:ind w:left="31" w:right="91" w:firstLine="5"/>
              <w:jc w:val="both"/>
              <w:rPr>
                <w:rFonts w:ascii="宋体" w:hAnsi="宋体" w:eastAsia="宋体" w:cs="Times New Roman"/>
                <w:sz w:val="21"/>
                <w:szCs w:val="21"/>
              </w:rPr>
            </w:pPr>
            <w:r>
              <w:rPr>
                <w:rFonts w:hint="eastAsia" w:ascii="宋体" w:hAnsi="宋体" w:eastAsia="宋体" w:cs="Times New Roman"/>
                <w:color w:val="11110F"/>
                <w:sz w:val="21"/>
                <w:szCs w:val="21"/>
              </w:rPr>
              <w:t>完成当年产后服务中心建设计划数（以通过验收为准），未达到</w:t>
            </w:r>
            <w:r>
              <w:rPr>
                <w:rFonts w:ascii="宋体" w:hAnsi="宋体" w:eastAsia="宋体"/>
                <w:color w:val="11110F"/>
                <w:sz w:val="21"/>
                <w:szCs w:val="21"/>
              </w:rPr>
              <w:t>100%</w:t>
            </w:r>
            <w:r>
              <w:rPr>
                <w:rFonts w:hint="eastAsia" w:ascii="宋体" w:hAnsi="宋体" w:eastAsia="宋体" w:cs="Times New Roman"/>
                <w:color w:val="11110F"/>
                <w:sz w:val="21"/>
                <w:szCs w:val="21"/>
              </w:rPr>
              <w:t>按实际完成率计分，即实际完成数／计划数</w:t>
            </w:r>
            <w:r>
              <w:rPr>
                <w:rFonts w:ascii="宋体" w:hAnsi="宋体" w:eastAsia="宋体"/>
                <w:color w:val="11110F"/>
                <w:sz w:val="21"/>
                <w:szCs w:val="21"/>
              </w:rPr>
              <w:t xml:space="preserve">*100%* </w:t>
            </w:r>
            <w:r>
              <w:rPr>
                <w:rFonts w:hint="eastAsia" w:ascii="宋体" w:hAnsi="宋体" w:eastAsia="宋体" w:cs="Times New Roman"/>
                <w:color w:val="11110F"/>
                <w:sz w:val="21"/>
                <w:szCs w:val="21"/>
              </w:rPr>
              <w:t>指标权重。</w:t>
            </w:r>
          </w:p>
        </w:tc>
        <w:tc>
          <w:tcPr>
            <w:tcW w:w="1000" w:type="dxa"/>
            <w:tcBorders>
              <w:top w:val="single" w:color="13130F" w:sz="8" w:space="0"/>
              <w:left w:val="single" w:color="auto" w:sz="4" w:space="0"/>
              <w:bottom w:val="single" w:color="0F0F0F"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12</w:t>
            </w:r>
          </w:p>
        </w:tc>
        <w:tc>
          <w:tcPr>
            <w:tcW w:w="881" w:type="dxa"/>
            <w:tcBorders>
              <w:top w:val="single" w:color="13130F" w:sz="8" w:space="0"/>
              <w:left w:val="single" w:color="auto" w:sz="4" w:space="0"/>
              <w:bottom w:val="single" w:color="0F0F0F" w:sz="8" w:space="0"/>
              <w:right w:val="single" w:color="auto" w:sz="4" w:space="0"/>
            </w:tcBorders>
            <w:vAlign w:val="center"/>
          </w:tcPr>
          <w:p>
            <w:pPr>
              <w:pStyle w:val="6"/>
              <w:spacing w:line="240" w:lineRule="auto"/>
              <w:jc w:val="center"/>
              <w:rPr>
                <w:rFonts w:hint="default" w:ascii="宋体" w:hAnsi="宋体" w:eastAsia="宋体"/>
                <w:sz w:val="21"/>
                <w:szCs w:val="21"/>
                <w:lang w:val="en-US" w:eastAsia="zh-CN"/>
              </w:rPr>
            </w:pPr>
            <w:r>
              <w:rPr>
                <w:rFonts w:hint="eastAsia"/>
                <w:sz w:val="21"/>
                <w:szCs w:val="21"/>
                <w:lang w:val="en-US" w:eastAsia="zh-CN"/>
              </w:rPr>
              <w:t>11</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940" w:hRule="atLeast"/>
        </w:trPr>
        <w:tc>
          <w:tcPr>
            <w:tcW w:w="650" w:type="dxa"/>
            <w:vMerge w:val="continue"/>
            <w:tcBorders>
              <w:top w:val="nil"/>
              <w:left w:val="single" w:color="auto" w:sz="4" w:space="0"/>
              <w:bottom w:val="single" w:color="0F0F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continue"/>
            <w:tcBorders>
              <w:top w:val="nil"/>
              <w:left w:val="single" w:color="auto" w:sz="4" w:space="0"/>
              <w:bottom w:val="single" w:color="030303" w:sz="8" w:space="0"/>
              <w:right w:val="single" w:color="auto" w:sz="4" w:space="0"/>
            </w:tcBorders>
            <w:vAlign w:val="center"/>
          </w:tcPr>
          <w:p>
            <w:pPr>
              <w:widowControl/>
              <w:spacing w:line="240" w:lineRule="auto"/>
              <w:jc w:val="center"/>
              <w:rPr>
                <w:rFonts w:ascii="宋体" w:hAnsi="宋体" w:cs="Times New Roman"/>
                <w:sz w:val="21"/>
                <w:szCs w:val="21"/>
              </w:rPr>
            </w:pPr>
          </w:p>
        </w:tc>
        <w:tc>
          <w:tcPr>
            <w:tcW w:w="1699" w:type="dxa"/>
            <w:tcBorders>
              <w:top w:val="single" w:color="0F0F0F" w:sz="8" w:space="0"/>
              <w:left w:val="single" w:color="auto" w:sz="4" w:space="0"/>
              <w:bottom w:val="single" w:color="0C0F0C" w:sz="8" w:space="0"/>
              <w:right w:val="single" w:color="auto" w:sz="4" w:space="0"/>
            </w:tcBorders>
            <w:vAlign w:val="center"/>
          </w:tcPr>
          <w:p>
            <w:pPr>
              <w:pStyle w:val="6"/>
              <w:spacing w:line="240" w:lineRule="auto"/>
              <w:ind w:left="106" w:right="99"/>
              <w:jc w:val="center"/>
              <w:rPr>
                <w:rFonts w:ascii="宋体" w:hAnsi="宋体" w:eastAsia="宋体" w:cs="Times New Roman"/>
                <w:sz w:val="21"/>
                <w:szCs w:val="21"/>
              </w:rPr>
            </w:pPr>
            <w:r>
              <w:rPr>
                <w:rFonts w:hint="eastAsia" w:ascii="宋体" w:hAnsi="宋体" w:eastAsia="宋体" w:cs="Times New Roman"/>
                <w:color w:val="11110F"/>
                <w:sz w:val="21"/>
                <w:szCs w:val="21"/>
              </w:rPr>
              <w:t>开展代清理、代干燥、代储存、代加工、代销售</w:t>
            </w:r>
          </w:p>
          <w:p>
            <w:pPr>
              <w:pStyle w:val="6"/>
              <w:spacing w:line="240" w:lineRule="auto"/>
              <w:ind w:left="77" w:right="44"/>
              <w:jc w:val="center"/>
              <w:rPr>
                <w:rFonts w:ascii="宋体" w:hAnsi="宋体" w:eastAsia="宋体" w:cs="Times New Roman"/>
                <w:sz w:val="21"/>
                <w:szCs w:val="21"/>
              </w:rPr>
            </w:pPr>
            <w:r>
              <w:rPr>
                <w:rFonts w:hint="eastAsia" w:ascii="宋体" w:hAnsi="宋体" w:eastAsia="宋体" w:cs="Times New Roman"/>
                <w:color w:val="11110F"/>
                <w:sz w:val="21"/>
                <w:szCs w:val="21"/>
              </w:rPr>
              <w:t xml:space="preserve">服务 </w:t>
            </w:r>
            <w:r>
              <w:rPr>
                <w:rFonts w:ascii="宋体" w:hAnsi="宋体" w:eastAsia="宋体"/>
                <w:color w:val="11110F"/>
                <w:sz w:val="21"/>
                <w:szCs w:val="21"/>
              </w:rPr>
              <w:t>( 4</w:t>
            </w:r>
            <w:r>
              <w:rPr>
                <w:rFonts w:hint="eastAsia" w:ascii="宋体" w:hAnsi="宋体" w:eastAsia="宋体" w:cs="Times New Roman"/>
                <w:color w:val="11110F"/>
                <w:sz w:val="21"/>
                <w:szCs w:val="21"/>
              </w:rPr>
              <w:t>分）</w:t>
            </w:r>
          </w:p>
        </w:tc>
        <w:tc>
          <w:tcPr>
            <w:tcW w:w="4800" w:type="dxa"/>
            <w:tcBorders>
              <w:top w:val="single" w:color="0F0F0F" w:sz="8" w:space="0"/>
              <w:left w:val="single" w:color="auto" w:sz="4" w:space="0"/>
              <w:bottom w:val="single" w:color="0C0F0C" w:sz="8" w:space="0"/>
              <w:right w:val="single" w:color="auto" w:sz="4" w:space="0"/>
            </w:tcBorders>
            <w:vAlign w:val="center"/>
          </w:tcPr>
          <w:p>
            <w:pPr>
              <w:pStyle w:val="6"/>
              <w:spacing w:line="240" w:lineRule="auto"/>
              <w:ind w:left="32" w:right="75" w:firstLine="2"/>
              <w:jc w:val="both"/>
              <w:rPr>
                <w:rFonts w:ascii="宋体" w:hAnsi="宋体" w:eastAsia="宋体" w:cs="Times New Roman"/>
                <w:sz w:val="21"/>
                <w:szCs w:val="21"/>
              </w:rPr>
            </w:pPr>
            <w:r>
              <w:rPr>
                <w:rFonts w:hint="eastAsia" w:ascii="宋体" w:hAnsi="宋体" w:eastAsia="宋体" w:cs="Times New Roman"/>
                <w:color w:val="11110F"/>
                <w:sz w:val="21"/>
                <w:szCs w:val="21"/>
              </w:rPr>
              <w:t>具备相应设施开展代清理、代干燥、代储存、代加工、代销售等服务，提供</w:t>
            </w:r>
            <w:r>
              <w:rPr>
                <w:rFonts w:ascii="宋体" w:hAnsi="宋体" w:eastAsia="宋体"/>
                <w:color w:val="11110F"/>
                <w:sz w:val="21"/>
                <w:szCs w:val="21"/>
              </w:rPr>
              <w:t>2019</w:t>
            </w:r>
            <w:r>
              <w:rPr>
                <w:rFonts w:hint="eastAsia" w:ascii="宋体" w:hAnsi="宋体" w:eastAsia="宋体" w:cs="Times New Roman"/>
                <w:color w:val="11110F"/>
                <w:sz w:val="21"/>
                <w:szCs w:val="21"/>
              </w:rPr>
              <w:t>年度中心与农户签订的业务合同或业务流程单，每具 备“一代”服务功能得</w:t>
            </w:r>
            <w:r>
              <w:rPr>
                <w:rFonts w:ascii="宋体" w:hAnsi="宋体" w:eastAsia="宋体"/>
                <w:color w:val="11110F"/>
                <w:sz w:val="21"/>
                <w:szCs w:val="21"/>
              </w:rPr>
              <w:t>1</w:t>
            </w:r>
            <w:r>
              <w:rPr>
                <w:rFonts w:hint="eastAsia" w:ascii="宋体" w:hAnsi="宋体" w:eastAsia="宋体" w:cs="Times New Roman"/>
                <w:color w:val="11110F"/>
                <w:sz w:val="21"/>
                <w:szCs w:val="21"/>
              </w:rPr>
              <w:t>分，最多得</w:t>
            </w:r>
            <w:r>
              <w:rPr>
                <w:rFonts w:ascii="宋体" w:hAnsi="宋体" w:eastAsia="宋体"/>
                <w:color w:val="11110F"/>
                <w:sz w:val="21"/>
                <w:szCs w:val="21"/>
              </w:rPr>
              <w:t>4</w:t>
            </w:r>
            <w:r>
              <w:rPr>
                <w:rFonts w:hint="eastAsia" w:ascii="宋体" w:hAnsi="宋体" w:eastAsia="宋体" w:cs="Times New Roman"/>
                <w:color w:val="11110F"/>
                <w:sz w:val="21"/>
                <w:szCs w:val="21"/>
              </w:rPr>
              <w:t>分。</w:t>
            </w:r>
          </w:p>
        </w:tc>
        <w:tc>
          <w:tcPr>
            <w:tcW w:w="1000" w:type="dxa"/>
            <w:tcBorders>
              <w:top w:val="single" w:color="0F0F0F" w:sz="8" w:space="0"/>
              <w:left w:val="single" w:color="auto" w:sz="4" w:space="0"/>
              <w:bottom w:val="single" w:color="0C0F0C"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4</w:t>
            </w:r>
          </w:p>
        </w:tc>
        <w:tc>
          <w:tcPr>
            <w:tcW w:w="881" w:type="dxa"/>
            <w:tcBorders>
              <w:top w:val="single" w:color="0F0F0F" w:sz="8" w:space="0"/>
              <w:left w:val="single" w:color="auto" w:sz="4" w:space="0"/>
              <w:bottom w:val="single" w:color="0C0F0C"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4</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578" w:hRule="atLeast"/>
        </w:trPr>
        <w:tc>
          <w:tcPr>
            <w:tcW w:w="650" w:type="dxa"/>
            <w:vMerge w:val="continue"/>
            <w:tcBorders>
              <w:top w:val="nil"/>
              <w:left w:val="single" w:color="auto" w:sz="4" w:space="0"/>
              <w:bottom w:val="single" w:color="0F0F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continue"/>
            <w:tcBorders>
              <w:top w:val="nil"/>
              <w:left w:val="single" w:color="auto" w:sz="4" w:space="0"/>
              <w:bottom w:val="single" w:color="030303" w:sz="8" w:space="0"/>
              <w:right w:val="single" w:color="auto" w:sz="4" w:space="0"/>
            </w:tcBorders>
            <w:vAlign w:val="center"/>
          </w:tcPr>
          <w:p>
            <w:pPr>
              <w:widowControl/>
              <w:spacing w:line="240" w:lineRule="auto"/>
              <w:jc w:val="center"/>
              <w:rPr>
                <w:rFonts w:ascii="宋体" w:hAnsi="宋体" w:cs="Times New Roman"/>
                <w:sz w:val="21"/>
                <w:szCs w:val="21"/>
              </w:rPr>
            </w:pPr>
          </w:p>
        </w:tc>
        <w:tc>
          <w:tcPr>
            <w:tcW w:w="1699" w:type="dxa"/>
            <w:tcBorders>
              <w:top w:val="single" w:color="0C0F0C" w:sz="8" w:space="0"/>
              <w:left w:val="single" w:color="auto" w:sz="4" w:space="0"/>
              <w:bottom w:val="single" w:color="030303" w:sz="8" w:space="0"/>
              <w:right w:val="single" w:color="auto" w:sz="4" w:space="0"/>
            </w:tcBorders>
            <w:vAlign w:val="center"/>
          </w:tcPr>
          <w:p>
            <w:pPr>
              <w:pStyle w:val="6"/>
              <w:spacing w:line="240" w:lineRule="auto"/>
              <w:ind w:left="258" w:right="81" w:hanging="147"/>
              <w:jc w:val="center"/>
              <w:rPr>
                <w:rFonts w:ascii="宋体" w:hAnsi="宋体" w:eastAsia="宋体" w:cs="Times New Roman"/>
                <w:sz w:val="21"/>
                <w:szCs w:val="21"/>
              </w:rPr>
            </w:pPr>
            <w:r>
              <w:rPr>
                <w:rFonts w:hint="eastAsia" w:ascii="宋体" w:hAnsi="宋体" w:eastAsia="宋体" w:cs="Times New Roman"/>
                <w:color w:val="11110F"/>
                <w:sz w:val="21"/>
                <w:szCs w:val="21"/>
              </w:rPr>
              <w:t xml:space="preserve">服务中心年服务能力 </w:t>
            </w:r>
            <w:r>
              <w:rPr>
                <w:rFonts w:ascii="宋体" w:hAnsi="宋体" w:eastAsia="宋体"/>
                <w:color w:val="11110F"/>
                <w:sz w:val="21"/>
                <w:szCs w:val="21"/>
              </w:rPr>
              <w:t>( 4</w:t>
            </w:r>
            <w:r>
              <w:rPr>
                <w:rFonts w:hint="eastAsia" w:ascii="宋体" w:hAnsi="宋体" w:eastAsia="宋体" w:cs="Times New Roman"/>
                <w:color w:val="11110F"/>
                <w:sz w:val="21"/>
                <w:szCs w:val="21"/>
              </w:rPr>
              <w:t>分）</w:t>
            </w:r>
          </w:p>
        </w:tc>
        <w:tc>
          <w:tcPr>
            <w:tcW w:w="4800" w:type="dxa"/>
            <w:tcBorders>
              <w:top w:val="single" w:color="0C0F0C" w:sz="8" w:space="0"/>
              <w:left w:val="single" w:color="auto" w:sz="4" w:space="0"/>
              <w:bottom w:val="single" w:color="030303" w:sz="8" w:space="0"/>
              <w:right w:val="single" w:color="auto" w:sz="4" w:space="0"/>
            </w:tcBorders>
            <w:vAlign w:val="center"/>
          </w:tcPr>
          <w:p>
            <w:pPr>
              <w:pStyle w:val="6"/>
              <w:spacing w:line="240" w:lineRule="auto"/>
              <w:ind w:left="41" w:right="177" w:firstLine="1"/>
              <w:jc w:val="both"/>
              <w:rPr>
                <w:rFonts w:ascii="宋体" w:hAnsi="宋体" w:eastAsia="宋体" w:cs="Times New Roman"/>
                <w:sz w:val="21"/>
                <w:szCs w:val="21"/>
              </w:rPr>
            </w:pPr>
            <w:r>
              <w:rPr>
                <w:rFonts w:hint="eastAsia" w:ascii="宋体" w:hAnsi="宋体" w:eastAsia="宋体" w:cs="Times New Roman"/>
                <w:color w:val="11110F"/>
                <w:sz w:val="21"/>
                <w:szCs w:val="21"/>
              </w:rPr>
              <w:t>每个粮食产后服务中心年服务能力应 不低于</w:t>
            </w:r>
            <w:r>
              <w:rPr>
                <w:rFonts w:hint="eastAsia" w:ascii="宋体" w:hAnsi="宋体" w:eastAsia="宋体"/>
                <w:color w:val="11110F"/>
                <w:sz w:val="21"/>
                <w:szCs w:val="21"/>
              </w:rPr>
              <w:t>1</w:t>
            </w:r>
            <w:r>
              <w:rPr>
                <w:rFonts w:hint="eastAsia" w:ascii="宋体" w:hAnsi="宋体" w:eastAsia="宋体" w:cs="Times New Roman"/>
                <w:color w:val="11110F"/>
                <w:sz w:val="21"/>
                <w:szCs w:val="21"/>
              </w:rPr>
              <w:t>万吨，符合要求的 得</w:t>
            </w:r>
            <w:r>
              <w:rPr>
                <w:rFonts w:ascii="宋体" w:hAnsi="宋体" w:eastAsia="宋体"/>
                <w:color w:val="11110F"/>
                <w:sz w:val="21"/>
                <w:szCs w:val="21"/>
              </w:rPr>
              <w:t>4</w:t>
            </w:r>
            <w:r>
              <w:rPr>
                <w:rFonts w:hint="eastAsia" w:ascii="宋体" w:hAnsi="宋体" w:eastAsia="宋体" w:cs="Times New Roman"/>
                <w:color w:val="11110F"/>
                <w:sz w:val="21"/>
                <w:szCs w:val="21"/>
              </w:rPr>
              <w:t>分，不符合要求的按实际未达标比例扣分，扣完为止。</w:t>
            </w:r>
          </w:p>
        </w:tc>
        <w:tc>
          <w:tcPr>
            <w:tcW w:w="1000" w:type="dxa"/>
            <w:tcBorders>
              <w:top w:val="single" w:color="0C0F0C"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4</w:t>
            </w:r>
          </w:p>
        </w:tc>
        <w:tc>
          <w:tcPr>
            <w:tcW w:w="881" w:type="dxa"/>
            <w:tcBorders>
              <w:top w:val="single" w:color="0C0F0C"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4</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940" w:hRule="atLeast"/>
        </w:trPr>
        <w:tc>
          <w:tcPr>
            <w:tcW w:w="650" w:type="dxa"/>
            <w:vMerge w:val="continue"/>
            <w:tcBorders>
              <w:top w:val="nil"/>
              <w:left w:val="single" w:color="auto" w:sz="4" w:space="0"/>
              <w:bottom w:val="nil"/>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restart"/>
            <w:tcBorders>
              <w:top w:val="single" w:color="030303" w:sz="8" w:space="0"/>
              <w:left w:val="single" w:color="auto" w:sz="4" w:space="0"/>
              <w:right w:val="single" w:color="auto" w:sz="4" w:space="0"/>
            </w:tcBorders>
            <w:vAlign w:val="center"/>
          </w:tcPr>
          <w:p>
            <w:pPr>
              <w:pStyle w:val="6"/>
              <w:spacing w:line="240" w:lineRule="auto"/>
              <w:ind w:left="283"/>
              <w:jc w:val="both"/>
              <w:rPr>
                <w:rFonts w:ascii="宋体" w:hAnsi="宋体" w:eastAsia="宋体" w:cs="Times New Roman"/>
                <w:sz w:val="21"/>
                <w:szCs w:val="21"/>
              </w:rPr>
            </w:pPr>
            <w:r>
              <w:rPr>
                <w:rFonts w:hint="eastAsia" w:ascii="宋体" w:hAnsi="宋体" w:eastAsia="宋体" w:cs="Times New Roman"/>
                <w:color w:val="11110F"/>
                <w:sz w:val="21"/>
                <w:szCs w:val="21"/>
              </w:rPr>
              <w:t>产出质量</w:t>
            </w:r>
          </w:p>
          <w:p>
            <w:pPr>
              <w:pStyle w:val="6"/>
              <w:spacing w:line="240" w:lineRule="auto"/>
              <w:ind w:left="373"/>
              <w:jc w:val="both"/>
              <w:rPr>
                <w:rFonts w:ascii="宋体" w:hAnsi="宋体" w:eastAsia="宋体" w:cs="Times New Roman"/>
                <w:sz w:val="21"/>
                <w:szCs w:val="21"/>
              </w:rPr>
            </w:pPr>
            <w:r>
              <w:rPr>
                <w:rFonts w:ascii="宋体" w:hAnsi="宋体" w:eastAsia="宋体"/>
                <w:color w:val="11110F"/>
                <w:sz w:val="21"/>
                <w:szCs w:val="21"/>
              </w:rPr>
              <w:t>( 20</w:t>
            </w:r>
            <w:r>
              <w:rPr>
                <w:rFonts w:hint="eastAsia" w:ascii="宋体" w:hAnsi="宋体" w:eastAsia="宋体" w:cs="Times New Roman"/>
                <w:color w:val="11110F"/>
                <w:sz w:val="21"/>
                <w:szCs w:val="21"/>
              </w:rPr>
              <w:t>分）</w:t>
            </w:r>
          </w:p>
        </w:tc>
        <w:tc>
          <w:tcPr>
            <w:tcW w:w="1699"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122" w:right="114"/>
              <w:jc w:val="center"/>
              <w:rPr>
                <w:rFonts w:ascii="宋体" w:hAnsi="宋体" w:eastAsia="宋体" w:cs="Times New Roman"/>
                <w:sz w:val="21"/>
                <w:szCs w:val="21"/>
              </w:rPr>
            </w:pPr>
            <w:r>
              <w:rPr>
                <w:rFonts w:hint="eastAsia" w:ascii="宋体" w:hAnsi="宋体" w:eastAsia="宋体" w:cs="Times New Roman"/>
                <w:color w:val="11110F"/>
                <w:sz w:val="21"/>
                <w:szCs w:val="21"/>
              </w:rPr>
              <w:t>设施设备利用率</w:t>
            </w:r>
          </w:p>
          <w:p>
            <w:pPr>
              <w:pStyle w:val="6"/>
              <w:spacing w:line="240" w:lineRule="auto"/>
              <w:ind w:left="238" w:right="114"/>
              <w:jc w:val="center"/>
              <w:rPr>
                <w:rFonts w:ascii="宋体" w:hAnsi="宋体" w:eastAsia="宋体" w:cs="Times New Roman"/>
                <w:sz w:val="21"/>
                <w:szCs w:val="21"/>
              </w:rPr>
            </w:pPr>
            <w:r>
              <w:rPr>
                <w:rFonts w:ascii="宋体" w:hAnsi="宋体" w:eastAsia="宋体"/>
                <w:color w:val="11110F"/>
                <w:sz w:val="21"/>
                <w:szCs w:val="21"/>
              </w:rPr>
              <w:t>( 8</w:t>
            </w:r>
            <w:r>
              <w:rPr>
                <w:rFonts w:hint="eastAsia" w:ascii="宋体" w:hAnsi="宋体" w:eastAsia="宋体" w:cs="Times New Roman"/>
                <w:color w:val="11110F"/>
                <w:sz w:val="21"/>
                <w:szCs w:val="21"/>
              </w:rPr>
              <w:t>分）</w:t>
            </w:r>
          </w:p>
        </w:tc>
        <w:tc>
          <w:tcPr>
            <w:tcW w:w="480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43"/>
              <w:jc w:val="both"/>
              <w:rPr>
                <w:rFonts w:ascii="宋体" w:hAnsi="宋体" w:eastAsia="宋体" w:cs="Times New Roman"/>
                <w:sz w:val="21"/>
                <w:szCs w:val="21"/>
              </w:rPr>
            </w:pPr>
            <w:r>
              <w:rPr>
                <w:rFonts w:hint="eastAsia" w:ascii="宋体" w:hAnsi="宋体" w:eastAsia="宋体" w:cs="Times New Roman"/>
                <w:color w:val="11110F"/>
                <w:sz w:val="21"/>
                <w:szCs w:val="21"/>
              </w:rPr>
              <w:t>清理设施利用率</w:t>
            </w:r>
            <w:r>
              <w:rPr>
                <w:rFonts w:ascii="宋体" w:hAnsi="宋体" w:eastAsia="宋体"/>
                <w:color w:val="11110F"/>
                <w:sz w:val="21"/>
                <w:szCs w:val="21"/>
              </w:rPr>
              <w:t xml:space="preserve">≥80%; </w:t>
            </w:r>
            <w:r>
              <w:rPr>
                <w:rFonts w:hint="eastAsia" w:ascii="宋体" w:hAnsi="宋体" w:eastAsia="宋体" w:cs="Times New Roman"/>
                <w:color w:val="11110F"/>
                <w:sz w:val="21"/>
                <w:szCs w:val="21"/>
              </w:rPr>
              <w:t>烘于设施利用率</w:t>
            </w:r>
            <w:r>
              <w:rPr>
                <w:rFonts w:ascii="宋体" w:hAnsi="宋体" w:eastAsia="宋体"/>
                <w:color w:val="11110F"/>
                <w:sz w:val="21"/>
                <w:szCs w:val="21"/>
              </w:rPr>
              <w:t>≥50%;</w:t>
            </w:r>
            <w:r>
              <w:rPr>
                <w:rFonts w:hint="eastAsia" w:ascii="宋体" w:hAnsi="宋体" w:eastAsia="宋体" w:cs="Times New Roman"/>
                <w:color w:val="11110F"/>
                <w:sz w:val="21"/>
                <w:szCs w:val="21"/>
              </w:rPr>
              <w:t>储存设施利用率</w:t>
            </w:r>
            <w:r>
              <w:rPr>
                <w:rFonts w:ascii="宋体" w:hAnsi="宋体" w:eastAsia="宋体"/>
                <w:color w:val="11110F"/>
                <w:sz w:val="21"/>
                <w:szCs w:val="21"/>
              </w:rPr>
              <w:t>≥30%</w:t>
            </w:r>
            <w:r>
              <w:rPr>
                <w:rFonts w:hint="eastAsia" w:ascii="宋体" w:hAnsi="宋体" w:eastAsia="宋体"/>
                <w:color w:val="11110F"/>
                <w:sz w:val="21"/>
                <w:szCs w:val="21"/>
              </w:rPr>
              <w:t>；</w:t>
            </w:r>
            <w:r>
              <w:rPr>
                <w:rFonts w:hint="eastAsia" w:ascii="宋体" w:hAnsi="宋体" w:eastAsia="宋体" w:cs="Times New Roman"/>
                <w:color w:val="11110F"/>
                <w:sz w:val="21"/>
                <w:szCs w:val="21"/>
              </w:rPr>
              <w:t>加工设施利用率</w:t>
            </w:r>
            <w:r>
              <w:rPr>
                <w:rFonts w:ascii="宋体" w:hAnsi="宋体" w:eastAsia="宋体"/>
                <w:color w:val="11110F"/>
                <w:sz w:val="21"/>
                <w:szCs w:val="21"/>
              </w:rPr>
              <w:t>≥50%:</w:t>
            </w:r>
            <w:r>
              <w:rPr>
                <w:rFonts w:hint="eastAsia" w:ascii="宋体" w:hAnsi="宋体" w:eastAsia="宋体" w:cs="Times New Roman"/>
                <w:color w:val="11110F"/>
                <w:sz w:val="21"/>
                <w:szCs w:val="21"/>
              </w:rPr>
              <w:t>每个产后服务中心符合以上四项中任何三项及以上的，得满分；符合其中二项的得分</w:t>
            </w:r>
            <w:r>
              <w:rPr>
                <w:rFonts w:ascii="宋体" w:hAnsi="宋体" w:eastAsia="宋体"/>
                <w:color w:val="11110F"/>
                <w:sz w:val="21"/>
                <w:szCs w:val="21"/>
              </w:rPr>
              <w:t>4</w:t>
            </w:r>
            <w:r>
              <w:rPr>
                <w:rFonts w:hint="eastAsia" w:ascii="宋体" w:hAnsi="宋体" w:eastAsia="宋体" w:cs="Times New Roman"/>
                <w:color w:val="11110F"/>
                <w:sz w:val="21"/>
                <w:szCs w:val="21"/>
              </w:rPr>
              <w:t>分；符合其中一项的得分</w:t>
            </w:r>
            <w:r>
              <w:rPr>
                <w:rFonts w:ascii="宋体" w:hAnsi="宋体" w:eastAsia="宋体"/>
                <w:color w:val="11110F"/>
                <w:sz w:val="21"/>
                <w:szCs w:val="21"/>
              </w:rPr>
              <w:t>2</w:t>
            </w:r>
            <w:r>
              <w:rPr>
                <w:rFonts w:hint="eastAsia" w:ascii="宋体" w:hAnsi="宋体" w:eastAsia="宋体" w:cs="Times New Roman"/>
                <w:color w:val="11110F"/>
                <w:sz w:val="21"/>
                <w:szCs w:val="21"/>
              </w:rPr>
              <w:t>分。</w:t>
            </w:r>
          </w:p>
        </w:tc>
        <w:tc>
          <w:tcPr>
            <w:tcW w:w="100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8</w:t>
            </w:r>
          </w:p>
        </w:tc>
        <w:tc>
          <w:tcPr>
            <w:tcW w:w="881"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8</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604" w:hRule="atLeast"/>
        </w:trPr>
        <w:tc>
          <w:tcPr>
            <w:tcW w:w="650" w:type="dxa"/>
            <w:tcBorders>
              <w:top w:val="nil"/>
              <w:left w:val="single" w:color="auto" w:sz="4" w:space="0"/>
              <w:bottom w:val="nil"/>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continue"/>
            <w:tcBorders>
              <w:left w:val="single" w:color="auto" w:sz="4" w:space="0"/>
              <w:right w:val="single" w:color="auto" w:sz="4" w:space="0"/>
            </w:tcBorders>
            <w:vAlign w:val="center"/>
          </w:tcPr>
          <w:p>
            <w:pPr>
              <w:pStyle w:val="6"/>
              <w:spacing w:line="240" w:lineRule="auto"/>
              <w:ind w:left="283"/>
              <w:jc w:val="both"/>
              <w:rPr>
                <w:rFonts w:ascii="宋体" w:hAnsi="宋体" w:eastAsia="宋体" w:cs="Times New Roman"/>
                <w:color w:val="11110F"/>
                <w:sz w:val="21"/>
                <w:szCs w:val="21"/>
              </w:rPr>
            </w:pPr>
          </w:p>
        </w:tc>
        <w:tc>
          <w:tcPr>
            <w:tcW w:w="1699"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244" w:right="102" w:hanging="146"/>
              <w:jc w:val="center"/>
              <w:rPr>
                <w:rFonts w:ascii="宋体" w:hAnsi="宋体" w:eastAsia="宋体" w:cs="Times New Roman"/>
                <w:sz w:val="21"/>
                <w:szCs w:val="21"/>
              </w:rPr>
            </w:pPr>
            <w:r>
              <w:rPr>
                <w:rFonts w:hint="eastAsia" w:ascii="宋体" w:hAnsi="宋体" w:eastAsia="宋体" w:cs="Times New Roman"/>
                <w:color w:val="111111"/>
                <w:sz w:val="21"/>
                <w:szCs w:val="21"/>
              </w:rPr>
              <w:t xml:space="preserve">建设用地标准合规性 </w:t>
            </w:r>
            <w:r>
              <w:rPr>
                <w:rFonts w:ascii="宋体" w:hAnsi="宋体" w:eastAsia="宋体"/>
                <w:color w:val="111111"/>
                <w:sz w:val="21"/>
                <w:szCs w:val="21"/>
              </w:rPr>
              <w:t>(3</w:t>
            </w:r>
            <w:r>
              <w:rPr>
                <w:rFonts w:hint="eastAsia" w:ascii="宋体" w:hAnsi="宋体" w:eastAsia="宋体" w:cs="Times New Roman"/>
                <w:color w:val="111111"/>
                <w:sz w:val="21"/>
                <w:szCs w:val="21"/>
              </w:rPr>
              <w:t>分）</w:t>
            </w:r>
          </w:p>
        </w:tc>
        <w:tc>
          <w:tcPr>
            <w:tcW w:w="480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14"/>
              <w:jc w:val="both"/>
              <w:rPr>
                <w:rFonts w:ascii="宋体" w:hAnsi="宋体" w:eastAsia="宋体" w:cs="Times New Roman"/>
                <w:sz w:val="21"/>
                <w:szCs w:val="21"/>
              </w:rPr>
            </w:pPr>
            <w:r>
              <w:rPr>
                <w:rFonts w:hint="eastAsia" w:ascii="宋体" w:hAnsi="宋体" w:eastAsia="宋体" w:cs="Times New Roman"/>
                <w:color w:val="111111"/>
                <w:sz w:val="21"/>
                <w:szCs w:val="21"/>
              </w:rPr>
              <w:t>粮食产后服务中心不使用新增建设用地；符合要求的得</w:t>
            </w:r>
            <w:r>
              <w:rPr>
                <w:rFonts w:ascii="宋体" w:hAnsi="宋体" w:eastAsia="宋体"/>
                <w:color w:val="111111"/>
                <w:sz w:val="21"/>
                <w:szCs w:val="21"/>
              </w:rPr>
              <w:t>3</w:t>
            </w:r>
            <w:r>
              <w:rPr>
                <w:rFonts w:hint="eastAsia" w:ascii="宋体" w:hAnsi="宋体" w:eastAsia="宋体" w:cs="Times New Roman"/>
                <w:color w:val="111111"/>
                <w:sz w:val="21"/>
                <w:szCs w:val="21"/>
              </w:rPr>
              <w:t>分，不符合要求的不得分 。</w:t>
            </w:r>
          </w:p>
        </w:tc>
        <w:tc>
          <w:tcPr>
            <w:tcW w:w="100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3</w:t>
            </w:r>
          </w:p>
        </w:tc>
        <w:tc>
          <w:tcPr>
            <w:tcW w:w="881"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3</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700" w:hRule="atLeast"/>
        </w:trPr>
        <w:tc>
          <w:tcPr>
            <w:tcW w:w="650" w:type="dxa"/>
            <w:tcBorders>
              <w:top w:val="nil"/>
              <w:left w:val="single" w:color="auto" w:sz="4" w:space="0"/>
              <w:bottom w:val="nil"/>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continue"/>
            <w:tcBorders>
              <w:left w:val="single" w:color="auto" w:sz="4" w:space="0"/>
              <w:right w:val="single" w:color="auto" w:sz="4" w:space="0"/>
            </w:tcBorders>
            <w:vAlign w:val="center"/>
          </w:tcPr>
          <w:p>
            <w:pPr>
              <w:pStyle w:val="6"/>
              <w:spacing w:line="240" w:lineRule="auto"/>
              <w:ind w:left="283"/>
              <w:jc w:val="both"/>
              <w:rPr>
                <w:rFonts w:ascii="宋体" w:hAnsi="宋体" w:eastAsia="宋体" w:cs="Times New Roman"/>
                <w:color w:val="11110F"/>
                <w:sz w:val="21"/>
                <w:szCs w:val="21"/>
              </w:rPr>
            </w:pPr>
          </w:p>
        </w:tc>
        <w:tc>
          <w:tcPr>
            <w:tcW w:w="1699"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85" w:right="88"/>
              <w:jc w:val="center"/>
              <w:rPr>
                <w:rFonts w:ascii="宋体" w:hAnsi="宋体" w:eastAsia="宋体" w:cs="Times New Roman"/>
                <w:sz w:val="21"/>
                <w:szCs w:val="21"/>
              </w:rPr>
            </w:pPr>
            <w:r>
              <w:rPr>
                <w:rFonts w:hint="eastAsia" w:ascii="宋体" w:hAnsi="宋体" w:eastAsia="宋体" w:cs="Times New Roman"/>
                <w:color w:val="111111"/>
                <w:sz w:val="21"/>
                <w:szCs w:val="21"/>
              </w:rPr>
              <w:t>建设主体合规性</w:t>
            </w:r>
          </w:p>
          <w:p>
            <w:pPr>
              <w:pStyle w:val="6"/>
              <w:spacing w:line="240" w:lineRule="auto"/>
              <w:ind w:left="178" w:right="88"/>
              <w:jc w:val="center"/>
              <w:rPr>
                <w:rFonts w:ascii="宋体" w:hAnsi="宋体" w:eastAsia="宋体" w:cs="Times New Roman"/>
                <w:sz w:val="21"/>
                <w:szCs w:val="21"/>
              </w:rPr>
            </w:pPr>
            <w:r>
              <w:rPr>
                <w:rFonts w:ascii="宋体" w:hAnsi="宋体" w:eastAsia="宋体"/>
                <w:color w:val="111111"/>
                <w:sz w:val="21"/>
                <w:szCs w:val="21"/>
              </w:rPr>
              <w:t>(6</w:t>
            </w:r>
            <w:r>
              <w:rPr>
                <w:rFonts w:hint="eastAsia" w:ascii="宋体" w:hAnsi="宋体" w:eastAsia="宋体" w:cs="Times New Roman"/>
                <w:color w:val="111111"/>
                <w:sz w:val="21"/>
                <w:szCs w:val="21"/>
              </w:rPr>
              <w:t>分）</w:t>
            </w:r>
          </w:p>
        </w:tc>
        <w:tc>
          <w:tcPr>
            <w:tcW w:w="480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8" w:right="226" w:firstLine="7"/>
              <w:jc w:val="both"/>
              <w:rPr>
                <w:rFonts w:ascii="宋体" w:hAnsi="宋体" w:eastAsia="宋体" w:cs="Times New Roman"/>
                <w:sz w:val="21"/>
                <w:szCs w:val="21"/>
              </w:rPr>
            </w:pPr>
            <w:r>
              <w:rPr>
                <w:rFonts w:hint="eastAsia" w:ascii="宋体" w:hAnsi="宋体" w:eastAsia="宋体" w:cs="Times New Roman"/>
                <w:color w:val="111111"/>
                <w:sz w:val="21"/>
                <w:szCs w:val="21"/>
              </w:rPr>
              <w:t>每个县（市、区）建设主体符合方案 要求的得</w:t>
            </w:r>
            <w:r>
              <w:rPr>
                <w:rFonts w:ascii="宋体" w:hAnsi="宋体" w:eastAsia="宋体"/>
                <w:color w:val="111111"/>
                <w:sz w:val="21"/>
                <w:szCs w:val="21"/>
              </w:rPr>
              <w:t>6</w:t>
            </w:r>
            <w:r>
              <w:rPr>
                <w:rFonts w:hint="eastAsia" w:ascii="宋体" w:hAnsi="宋体" w:eastAsia="宋体" w:cs="Times New Roman"/>
                <w:color w:val="111111"/>
                <w:sz w:val="21"/>
                <w:szCs w:val="21"/>
              </w:rPr>
              <w:t>分，每发现一处不符合要求扣</w:t>
            </w:r>
            <w:r>
              <w:rPr>
                <w:rFonts w:ascii="宋体" w:hAnsi="宋体" w:eastAsia="宋体"/>
                <w:color w:val="111111"/>
                <w:sz w:val="21"/>
                <w:szCs w:val="21"/>
              </w:rPr>
              <w:t>2</w:t>
            </w:r>
            <w:r>
              <w:rPr>
                <w:rFonts w:hint="eastAsia" w:ascii="宋体" w:hAnsi="宋体" w:eastAsia="宋体" w:cs="Times New Roman"/>
                <w:color w:val="111111"/>
                <w:sz w:val="21"/>
                <w:szCs w:val="21"/>
              </w:rPr>
              <w:t>分，扣完为止。</w:t>
            </w:r>
          </w:p>
        </w:tc>
        <w:tc>
          <w:tcPr>
            <w:tcW w:w="100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6</w:t>
            </w:r>
          </w:p>
        </w:tc>
        <w:tc>
          <w:tcPr>
            <w:tcW w:w="881"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6</w:t>
            </w:r>
          </w:p>
        </w:tc>
      </w:tr>
      <w:tr>
        <w:tblPrEx>
          <w:tblBorders>
            <w:top w:val="single" w:color="0F0F0F" w:sz="8" w:space="0"/>
            <w:left w:val="single" w:color="0F0F0F" w:sz="8" w:space="0"/>
            <w:bottom w:val="single" w:color="0F0F0F" w:sz="8" w:space="0"/>
            <w:right w:val="single" w:color="0F0F0F" w:sz="8" w:space="0"/>
            <w:insideH w:val="single" w:color="0F0F0F" w:sz="8" w:space="0"/>
            <w:insideV w:val="single" w:color="0F0F0F" w:sz="8" w:space="0"/>
          </w:tblBorders>
          <w:tblCellMar>
            <w:top w:w="0" w:type="dxa"/>
            <w:left w:w="0" w:type="dxa"/>
            <w:bottom w:w="0" w:type="dxa"/>
            <w:right w:w="0" w:type="dxa"/>
          </w:tblCellMar>
        </w:tblPrEx>
        <w:trPr>
          <w:trHeight w:val="700" w:hRule="atLeast"/>
        </w:trPr>
        <w:tc>
          <w:tcPr>
            <w:tcW w:w="650" w:type="dxa"/>
            <w:tcBorders>
              <w:top w:val="nil"/>
              <w:left w:val="single" w:color="auto" w:sz="4" w:space="0"/>
              <w:bottom w:val="single" w:color="0F0F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41" w:type="dxa"/>
            <w:vMerge w:val="continue"/>
            <w:tcBorders>
              <w:left w:val="single" w:color="auto" w:sz="4" w:space="0"/>
              <w:bottom w:val="single" w:color="0F0F0C" w:sz="8" w:space="0"/>
              <w:right w:val="single" w:color="auto" w:sz="4" w:space="0"/>
            </w:tcBorders>
            <w:vAlign w:val="center"/>
          </w:tcPr>
          <w:p>
            <w:pPr>
              <w:pStyle w:val="6"/>
              <w:spacing w:line="240" w:lineRule="auto"/>
              <w:ind w:left="283"/>
              <w:jc w:val="both"/>
              <w:rPr>
                <w:rFonts w:ascii="宋体" w:hAnsi="宋体" w:eastAsia="宋体" w:cs="Times New Roman"/>
                <w:color w:val="11110F"/>
                <w:sz w:val="21"/>
                <w:szCs w:val="21"/>
              </w:rPr>
            </w:pPr>
          </w:p>
        </w:tc>
        <w:tc>
          <w:tcPr>
            <w:tcW w:w="1699" w:type="dxa"/>
            <w:tcBorders>
              <w:top w:val="single" w:color="030303" w:sz="8" w:space="0"/>
              <w:left w:val="single" w:color="auto" w:sz="4" w:space="0"/>
              <w:bottom w:val="single" w:color="0F0F0C" w:sz="8" w:space="0"/>
              <w:right w:val="single" w:color="auto" w:sz="4" w:space="0"/>
            </w:tcBorders>
            <w:vAlign w:val="center"/>
          </w:tcPr>
          <w:p>
            <w:pPr>
              <w:pStyle w:val="6"/>
              <w:spacing w:line="240" w:lineRule="auto"/>
              <w:ind w:left="87" w:right="96"/>
              <w:jc w:val="center"/>
              <w:rPr>
                <w:rFonts w:ascii="宋体" w:hAnsi="宋体" w:eastAsia="宋体" w:cs="Times New Roman"/>
                <w:sz w:val="21"/>
                <w:szCs w:val="21"/>
              </w:rPr>
            </w:pPr>
            <w:r>
              <w:rPr>
                <w:rFonts w:hint="eastAsia" w:ascii="宋体" w:hAnsi="宋体" w:eastAsia="宋体" w:cs="Times New Roman"/>
                <w:color w:val="111111"/>
                <w:sz w:val="21"/>
                <w:szCs w:val="21"/>
              </w:rPr>
              <w:t>仓容达标率</w:t>
            </w:r>
          </w:p>
          <w:p>
            <w:pPr>
              <w:pStyle w:val="6"/>
              <w:spacing w:line="240" w:lineRule="auto"/>
              <w:ind w:left="88" w:right="1"/>
              <w:jc w:val="center"/>
              <w:rPr>
                <w:rFonts w:ascii="宋体" w:hAnsi="宋体" w:eastAsia="宋体" w:cs="Times New Roman"/>
                <w:sz w:val="21"/>
                <w:szCs w:val="21"/>
              </w:rPr>
            </w:pPr>
            <w:r>
              <w:rPr>
                <w:rFonts w:ascii="宋体" w:hAnsi="宋体" w:eastAsia="宋体"/>
                <w:color w:val="111111"/>
                <w:sz w:val="21"/>
                <w:szCs w:val="21"/>
              </w:rPr>
              <w:t>(3</w:t>
            </w:r>
            <w:r>
              <w:rPr>
                <w:rFonts w:hint="eastAsia" w:ascii="宋体" w:hAnsi="宋体" w:eastAsia="宋体" w:cs="Times New Roman"/>
                <w:color w:val="111111"/>
                <w:sz w:val="21"/>
                <w:szCs w:val="21"/>
              </w:rPr>
              <w:t>分）</w:t>
            </w:r>
          </w:p>
        </w:tc>
        <w:tc>
          <w:tcPr>
            <w:tcW w:w="4800" w:type="dxa"/>
            <w:tcBorders>
              <w:top w:val="single" w:color="030303" w:sz="8" w:space="0"/>
              <w:left w:val="single" w:color="auto" w:sz="4" w:space="0"/>
              <w:bottom w:val="single" w:color="0F0F0C" w:sz="8" w:space="0"/>
              <w:right w:val="single" w:color="auto" w:sz="4" w:space="0"/>
            </w:tcBorders>
            <w:vAlign w:val="center"/>
          </w:tcPr>
          <w:p>
            <w:pPr>
              <w:pStyle w:val="6"/>
              <w:spacing w:line="240" w:lineRule="auto"/>
              <w:ind w:left="22" w:right="200" w:firstLine="3"/>
              <w:jc w:val="both"/>
              <w:rPr>
                <w:rFonts w:ascii="宋体" w:hAnsi="宋体" w:eastAsia="宋体" w:cs="Times New Roman"/>
                <w:sz w:val="21"/>
                <w:szCs w:val="21"/>
              </w:rPr>
            </w:pPr>
            <w:r>
              <w:rPr>
                <w:rFonts w:hint="eastAsia" w:ascii="宋体" w:hAnsi="宋体" w:eastAsia="宋体" w:cs="Times New Roman"/>
                <w:color w:val="111111"/>
                <w:sz w:val="21"/>
                <w:szCs w:val="21"/>
              </w:rPr>
              <w:t>国</w:t>
            </w:r>
            <w:r>
              <w:rPr>
                <w:rFonts w:hint="eastAsia" w:ascii="宋体" w:hAnsi="宋体" w:eastAsia="宋体" w:cs="Times New Roman"/>
                <w:color w:val="111111"/>
                <w:spacing w:val="27"/>
                <w:sz w:val="21"/>
                <w:szCs w:val="21"/>
              </w:rPr>
              <w:t>有</w:t>
            </w:r>
            <w:r>
              <w:rPr>
                <w:rFonts w:hint="eastAsia" w:ascii="宋体" w:hAnsi="宋体" w:eastAsia="宋体" w:cs="Times New Roman"/>
                <w:color w:val="111111"/>
                <w:sz w:val="21"/>
                <w:szCs w:val="21"/>
              </w:rPr>
              <w:t>（</w:t>
            </w:r>
            <w:r>
              <w:rPr>
                <w:rFonts w:hint="eastAsia" w:ascii="宋体" w:hAnsi="宋体" w:eastAsia="宋体" w:cs="Times New Roman"/>
                <w:color w:val="111111"/>
                <w:spacing w:val="25"/>
                <w:sz w:val="21"/>
                <w:szCs w:val="21"/>
              </w:rPr>
              <w:t>含</w:t>
            </w:r>
            <w:r>
              <w:rPr>
                <w:rFonts w:hint="eastAsia" w:ascii="宋体" w:hAnsi="宋体" w:eastAsia="宋体" w:cs="Times New Roman"/>
                <w:color w:val="111111"/>
                <w:sz w:val="21"/>
                <w:szCs w:val="21"/>
              </w:rPr>
              <w:t>国</w:t>
            </w:r>
            <w:r>
              <w:rPr>
                <w:rFonts w:hint="eastAsia" w:ascii="宋体" w:hAnsi="宋体" w:eastAsia="宋体" w:cs="Times New Roman"/>
                <w:color w:val="111111"/>
                <w:spacing w:val="27"/>
                <w:sz w:val="21"/>
                <w:szCs w:val="21"/>
              </w:rPr>
              <w:t>有</w:t>
            </w:r>
            <w:r>
              <w:rPr>
                <w:rFonts w:hint="eastAsia" w:ascii="宋体" w:hAnsi="宋体" w:eastAsia="宋体" w:cs="Times New Roman"/>
                <w:color w:val="111111"/>
                <w:sz w:val="21"/>
                <w:szCs w:val="21"/>
              </w:rPr>
              <w:t>控股）粮食企业（仓容</w:t>
            </w:r>
            <w:r>
              <w:rPr>
                <w:rFonts w:ascii="宋体" w:hAnsi="宋体" w:eastAsia="宋体"/>
                <w:color w:val="11110F"/>
                <w:sz w:val="21"/>
                <w:szCs w:val="21"/>
              </w:rPr>
              <w:t>≥</w:t>
            </w:r>
            <w:r>
              <w:rPr>
                <w:rFonts w:ascii="宋体" w:hAnsi="宋体" w:eastAsia="宋体"/>
                <w:color w:val="111111"/>
                <w:sz w:val="21"/>
                <w:szCs w:val="21"/>
              </w:rPr>
              <w:t>l</w:t>
            </w:r>
            <w:r>
              <w:rPr>
                <w:rFonts w:hint="eastAsia" w:ascii="宋体" w:hAnsi="宋体" w:eastAsia="宋体" w:cs="Times New Roman"/>
                <w:color w:val="111111"/>
                <w:spacing w:val="20"/>
                <w:sz w:val="21"/>
                <w:szCs w:val="21"/>
              </w:rPr>
              <w:t>万吨</w:t>
            </w:r>
            <w:r>
              <w:rPr>
                <w:rFonts w:hint="eastAsia" w:ascii="宋体" w:hAnsi="宋体" w:eastAsia="宋体" w:cs="Times New Roman"/>
                <w:color w:val="111111"/>
                <w:sz w:val="21"/>
                <w:szCs w:val="21"/>
              </w:rPr>
              <w:t>），</w:t>
            </w:r>
            <w:r>
              <w:rPr>
                <w:rFonts w:hint="eastAsia" w:ascii="宋体" w:hAnsi="宋体" w:eastAsia="宋体" w:cs="Times New Roman"/>
                <w:color w:val="111111"/>
                <w:spacing w:val="15"/>
                <w:sz w:val="21"/>
                <w:szCs w:val="21"/>
              </w:rPr>
              <w:t>农</w:t>
            </w:r>
            <w:r>
              <w:rPr>
                <w:rFonts w:hint="eastAsia" w:ascii="宋体" w:hAnsi="宋体" w:eastAsia="宋体" w:cs="Times New Roman"/>
                <w:color w:val="111111"/>
                <w:sz w:val="21"/>
                <w:szCs w:val="21"/>
              </w:rPr>
              <w:t>民合作</w:t>
            </w:r>
            <w:r>
              <w:rPr>
                <w:rFonts w:hint="eastAsia" w:ascii="宋体" w:hAnsi="宋体" w:eastAsia="宋体" w:cs="Times New Roman"/>
                <w:color w:val="111111"/>
                <w:spacing w:val="10"/>
                <w:sz w:val="21"/>
                <w:szCs w:val="21"/>
              </w:rPr>
              <w:t>社（</w:t>
            </w:r>
            <w:r>
              <w:rPr>
                <w:rFonts w:hint="eastAsia" w:ascii="宋体" w:hAnsi="宋体" w:eastAsia="宋体" w:cs="Times New Roman"/>
                <w:color w:val="111111"/>
                <w:sz w:val="21"/>
                <w:szCs w:val="21"/>
              </w:rPr>
              <w:t>仓容</w:t>
            </w:r>
            <w:r>
              <w:rPr>
                <w:rFonts w:ascii="宋体" w:hAnsi="宋体" w:eastAsia="宋体"/>
                <w:color w:val="11110F"/>
                <w:sz w:val="21"/>
                <w:szCs w:val="21"/>
              </w:rPr>
              <w:t>≥</w:t>
            </w:r>
            <w:r>
              <w:rPr>
                <w:rFonts w:ascii="宋体" w:hAnsi="宋体" w:eastAsia="宋体"/>
                <w:color w:val="111111"/>
                <w:sz w:val="21"/>
                <w:szCs w:val="21"/>
              </w:rPr>
              <w:t>l</w:t>
            </w:r>
            <w:r>
              <w:rPr>
                <w:rFonts w:hint="eastAsia" w:ascii="宋体" w:hAnsi="宋体" w:eastAsia="宋体" w:cs="Times New Roman"/>
                <w:color w:val="111111"/>
                <w:spacing w:val="7"/>
                <w:sz w:val="21"/>
                <w:szCs w:val="21"/>
              </w:rPr>
              <w:t>万</w:t>
            </w:r>
            <w:r>
              <w:rPr>
                <w:rFonts w:hint="eastAsia" w:ascii="宋体" w:hAnsi="宋体" w:eastAsia="宋体" w:cs="Times New Roman"/>
                <w:color w:val="111111"/>
                <w:sz w:val="21"/>
                <w:szCs w:val="21"/>
              </w:rPr>
              <w:t>吨），</w:t>
            </w:r>
            <w:r>
              <w:rPr>
                <w:rFonts w:hint="eastAsia" w:ascii="宋体" w:hAnsi="宋体" w:eastAsia="宋体" w:cs="Times New Roman"/>
                <w:color w:val="111111"/>
                <w:spacing w:val="15"/>
                <w:sz w:val="21"/>
                <w:szCs w:val="21"/>
              </w:rPr>
              <w:t>粮</w:t>
            </w:r>
            <w:r>
              <w:rPr>
                <w:rFonts w:hint="eastAsia" w:ascii="宋体" w:hAnsi="宋体" w:eastAsia="宋体" w:cs="Times New Roman"/>
                <w:color w:val="111111"/>
                <w:sz w:val="21"/>
                <w:szCs w:val="21"/>
              </w:rPr>
              <w:t>油</w:t>
            </w:r>
            <w:r>
              <w:rPr>
                <w:rFonts w:hint="eastAsia" w:ascii="宋体" w:hAnsi="宋体" w:eastAsia="宋体" w:cs="Times New Roman"/>
                <w:color w:val="111111"/>
                <w:spacing w:val="12"/>
                <w:sz w:val="21"/>
                <w:szCs w:val="21"/>
              </w:rPr>
              <w:t>加</w:t>
            </w:r>
            <w:r>
              <w:rPr>
                <w:rFonts w:hint="eastAsia" w:ascii="宋体" w:hAnsi="宋体" w:eastAsia="宋体" w:cs="Times New Roman"/>
                <w:color w:val="111111"/>
                <w:sz w:val="21"/>
                <w:szCs w:val="21"/>
              </w:rPr>
              <w:t>工</w:t>
            </w:r>
            <w:r>
              <w:rPr>
                <w:rFonts w:hint="eastAsia" w:ascii="宋体" w:hAnsi="宋体" w:eastAsia="宋体" w:cs="Times New Roman"/>
                <w:color w:val="111111"/>
                <w:spacing w:val="27"/>
                <w:sz w:val="21"/>
                <w:szCs w:val="21"/>
              </w:rPr>
              <w:t>企</w:t>
            </w:r>
            <w:r>
              <w:rPr>
                <w:rFonts w:hint="eastAsia" w:ascii="宋体" w:hAnsi="宋体" w:eastAsia="宋体" w:cs="Times New Roman"/>
                <w:color w:val="111111"/>
                <w:spacing w:val="21"/>
                <w:sz w:val="21"/>
                <w:szCs w:val="21"/>
              </w:rPr>
              <w:t>业</w:t>
            </w:r>
            <w:r>
              <w:rPr>
                <w:rFonts w:hint="eastAsia" w:ascii="宋体" w:hAnsi="宋体" w:eastAsia="宋体" w:cs="Times New Roman"/>
                <w:color w:val="111111"/>
                <w:sz w:val="21"/>
                <w:szCs w:val="21"/>
              </w:rPr>
              <w:t>等其他主体（</w:t>
            </w:r>
            <w:r>
              <w:rPr>
                <w:rFonts w:hint="eastAsia" w:ascii="宋体" w:hAnsi="宋体" w:eastAsia="宋体" w:cs="Times New Roman"/>
                <w:color w:val="111111"/>
                <w:spacing w:val="11"/>
                <w:sz w:val="21"/>
                <w:szCs w:val="21"/>
              </w:rPr>
              <w:t>大</w:t>
            </w:r>
            <w:r>
              <w:rPr>
                <w:rFonts w:hint="eastAsia" w:ascii="宋体" w:hAnsi="宋体" w:eastAsia="宋体" w:cs="Times New Roman"/>
                <w:color w:val="111111"/>
                <w:spacing w:val="15"/>
                <w:sz w:val="21"/>
                <w:szCs w:val="21"/>
              </w:rPr>
              <w:t>米</w:t>
            </w:r>
            <w:r>
              <w:rPr>
                <w:rFonts w:hint="eastAsia" w:ascii="宋体" w:hAnsi="宋体" w:eastAsia="宋体" w:cs="Times New Roman"/>
                <w:color w:val="111111"/>
                <w:sz w:val="21"/>
                <w:szCs w:val="21"/>
              </w:rPr>
              <w:t>仓容</w:t>
            </w:r>
            <w:r>
              <w:rPr>
                <w:rFonts w:ascii="宋体" w:hAnsi="宋体" w:eastAsia="宋体"/>
                <w:color w:val="11110F"/>
                <w:sz w:val="21"/>
                <w:szCs w:val="21"/>
              </w:rPr>
              <w:t>≥</w:t>
            </w:r>
            <w:r>
              <w:rPr>
                <w:rFonts w:ascii="宋体" w:hAnsi="宋体" w:eastAsia="宋体"/>
                <w:color w:val="111111"/>
                <w:sz w:val="21"/>
                <w:szCs w:val="21"/>
              </w:rPr>
              <w:t>l</w:t>
            </w:r>
            <w:r>
              <w:rPr>
                <w:rFonts w:hint="eastAsia" w:ascii="宋体" w:hAnsi="宋体" w:eastAsia="宋体" w:cs="Times New Roman"/>
                <w:color w:val="111111"/>
                <w:spacing w:val="20"/>
                <w:sz w:val="21"/>
                <w:szCs w:val="21"/>
              </w:rPr>
              <w:t>万</w:t>
            </w:r>
            <w:r>
              <w:rPr>
                <w:rFonts w:hint="eastAsia" w:ascii="宋体" w:hAnsi="宋体" w:eastAsia="宋体" w:cs="Times New Roman"/>
                <w:color w:val="111111"/>
                <w:spacing w:val="22"/>
                <w:sz w:val="21"/>
                <w:szCs w:val="21"/>
              </w:rPr>
              <w:t>吨</w:t>
            </w:r>
            <w:r>
              <w:rPr>
                <w:rFonts w:hint="eastAsia" w:ascii="宋体" w:hAnsi="宋体" w:eastAsia="宋体" w:cs="Times New Roman"/>
                <w:color w:val="111111"/>
                <w:spacing w:val="20"/>
                <w:sz w:val="21"/>
                <w:szCs w:val="21"/>
              </w:rPr>
              <w:t>、</w:t>
            </w:r>
            <w:r>
              <w:rPr>
                <w:rFonts w:hint="eastAsia" w:ascii="宋体" w:hAnsi="宋体" w:eastAsia="宋体" w:cs="Times New Roman"/>
                <w:color w:val="111111"/>
                <w:sz w:val="21"/>
                <w:szCs w:val="21"/>
              </w:rPr>
              <w:t>油</w:t>
            </w:r>
            <w:r>
              <w:rPr>
                <w:rFonts w:hint="eastAsia" w:ascii="宋体" w:hAnsi="宋体" w:eastAsia="宋体" w:cs="Times New Roman"/>
                <w:color w:val="111111"/>
                <w:spacing w:val="12"/>
                <w:sz w:val="21"/>
                <w:szCs w:val="21"/>
              </w:rPr>
              <w:t>脂</w:t>
            </w:r>
            <w:r>
              <w:rPr>
                <w:rFonts w:hint="eastAsia" w:ascii="宋体" w:hAnsi="宋体" w:eastAsia="宋体" w:cs="Times New Roman"/>
                <w:color w:val="111111"/>
                <w:sz w:val="21"/>
                <w:szCs w:val="21"/>
              </w:rPr>
              <w:t>罐容</w:t>
            </w:r>
            <w:r>
              <w:rPr>
                <w:rFonts w:ascii="宋体" w:hAnsi="宋体" w:eastAsia="宋体"/>
                <w:color w:val="11110F"/>
                <w:sz w:val="21"/>
                <w:szCs w:val="21"/>
              </w:rPr>
              <w:t>≥</w:t>
            </w:r>
            <w:r>
              <w:rPr>
                <w:rFonts w:hint="eastAsia" w:ascii="宋体" w:hAnsi="宋体" w:eastAsia="宋体"/>
                <w:color w:val="111111"/>
                <w:sz w:val="21"/>
                <w:szCs w:val="21"/>
              </w:rPr>
              <w:t>0.5</w:t>
            </w:r>
            <w:r>
              <w:rPr>
                <w:rFonts w:hint="eastAsia" w:ascii="宋体" w:hAnsi="宋体" w:eastAsia="宋体" w:cs="Times New Roman"/>
                <w:color w:val="111111"/>
                <w:sz w:val="21"/>
                <w:szCs w:val="21"/>
              </w:rPr>
              <w:t>万吨），</w:t>
            </w:r>
            <w:r>
              <w:rPr>
                <w:rFonts w:hint="eastAsia" w:ascii="宋体" w:hAnsi="宋体" w:eastAsia="宋体" w:cs="Times New Roman"/>
                <w:color w:val="111111"/>
                <w:spacing w:val="10"/>
                <w:sz w:val="21"/>
                <w:szCs w:val="21"/>
              </w:rPr>
              <w:t>可</w:t>
            </w:r>
            <w:r>
              <w:rPr>
                <w:rFonts w:hint="eastAsia" w:ascii="宋体" w:hAnsi="宋体" w:eastAsia="宋体" w:cs="Times New Roman"/>
                <w:color w:val="111111"/>
                <w:sz w:val="21"/>
                <w:szCs w:val="21"/>
              </w:rPr>
              <w:t>采取租</w:t>
            </w:r>
            <w:r>
              <w:rPr>
                <w:rFonts w:hint="eastAsia" w:ascii="宋体" w:hAnsi="宋体" w:eastAsia="宋体" w:cs="Times New Roman"/>
                <w:color w:val="111111"/>
                <w:spacing w:val="12"/>
                <w:sz w:val="21"/>
                <w:szCs w:val="21"/>
              </w:rPr>
              <w:t>赁</w:t>
            </w:r>
            <w:r>
              <w:rPr>
                <w:rFonts w:hint="eastAsia" w:ascii="宋体" w:hAnsi="宋体" w:eastAsia="宋体" w:cs="Times New Roman"/>
                <w:color w:val="111111"/>
                <w:sz w:val="21"/>
                <w:szCs w:val="21"/>
              </w:rPr>
              <w:t>、合作等方式获得（烘于点与仓库须在同一乡镇），符合要求的得满分，每发现</w:t>
            </w:r>
            <w:r>
              <w:rPr>
                <w:rFonts w:hint="eastAsia" w:ascii="宋体" w:hAnsi="宋体" w:eastAsia="宋体" w:cs="Times New Roman"/>
                <w:color w:val="111111"/>
                <w:spacing w:val="-69"/>
                <w:sz w:val="21"/>
                <w:szCs w:val="21"/>
              </w:rPr>
              <w:t> </w:t>
            </w:r>
            <w:r>
              <w:rPr>
                <w:rFonts w:hint="eastAsia" w:ascii="宋体" w:hAnsi="宋体" w:eastAsia="宋体" w:cs="Times New Roman"/>
                <w:color w:val="111111"/>
                <w:sz w:val="21"/>
                <w:szCs w:val="21"/>
              </w:rPr>
              <w:t>一</w:t>
            </w:r>
            <w:r>
              <w:rPr>
                <w:rFonts w:hint="eastAsia" w:ascii="宋体" w:hAnsi="宋体" w:eastAsia="宋体" w:cs="Times New Roman"/>
                <w:color w:val="111111"/>
                <w:spacing w:val="26"/>
                <w:sz w:val="21"/>
                <w:szCs w:val="21"/>
              </w:rPr>
              <w:t>处</w:t>
            </w:r>
            <w:r>
              <w:rPr>
                <w:rFonts w:hint="eastAsia" w:ascii="宋体" w:hAnsi="宋体" w:eastAsia="宋体" w:cs="Times New Roman"/>
                <w:color w:val="111111"/>
                <w:spacing w:val="16"/>
                <w:sz w:val="21"/>
                <w:szCs w:val="21"/>
              </w:rPr>
              <w:t>不</w:t>
            </w:r>
            <w:r>
              <w:rPr>
                <w:rFonts w:hint="eastAsia" w:ascii="宋体" w:hAnsi="宋体" w:eastAsia="宋体" w:cs="Times New Roman"/>
                <w:color w:val="111111"/>
                <w:sz w:val="21"/>
                <w:szCs w:val="21"/>
              </w:rPr>
              <w:t>符合要求扣</w:t>
            </w:r>
            <w:r>
              <w:rPr>
                <w:rFonts w:hint="eastAsia" w:ascii="宋体" w:hAnsi="宋体" w:eastAsia="宋体" w:cs="Times New Roman"/>
                <w:color w:val="111111"/>
                <w:spacing w:val="-75"/>
                <w:sz w:val="21"/>
                <w:szCs w:val="21"/>
              </w:rPr>
              <w:t> </w:t>
            </w:r>
            <w:r>
              <w:rPr>
                <w:rFonts w:ascii="宋体" w:hAnsi="宋体" w:eastAsia="宋体"/>
                <w:color w:val="111111"/>
                <w:sz w:val="21"/>
                <w:szCs w:val="21"/>
              </w:rPr>
              <w:t>1</w:t>
            </w:r>
            <w:r>
              <w:rPr>
                <w:rFonts w:hint="eastAsia" w:ascii="宋体" w:hAnsi="宋体" w:eastAsia="宋体" w:cs="Times New Roman"/>
                <w:color w:val="111111"/>
                <w:sz w:val="21"/>
                <w:szCs w:val="21"/>
              </w:rPr>
              <w:t>分，</w:t>
            </w:r>
            <w:r>
              <w:rPr>
                <w:rFonts w:hint="eastAsia" w:ascii="宋体" w:hAnsi="宋体" w:eastAsia="宋体" w:cs="Times New Roman"/>
                <w:color w:val="111111"/>
                <w:spacing w:val="-74"/>
                <w:sz w:val="21"/>
                <w:szCs w:val="21"/>
              </w:rPr>
              <w:t> </w:t>
            </w:r>
            <w:r>
              <w:rPr>
                <w:rFonts w:hint="eastAsia" w:ascii="宋体" w:hAnsi="宋体" w:eastAsia="宋体" w:cs="Times New Roman"/>
                <w:color w:val="111111"/>
                <w:spacing w:val="11"/>
                <w:sz w:val="21"/>
                <w:szCs w:val="21"/>
              </w:rPr>
              <w:t>扣</w:t>
            </w:r>
            <w:r>
              <w:rPr>
                <w:rFonts w:hint="eastAsia" w:ascii="宋体" w:hAnsi="宋体" w:eastAsia="宋体" w:cs="Times New Roman"/>
                <w:color w:val="111111"/>
                <w:sz w:val="21"/>
                <w:szCs w:val="21"/>
              </w:rPr>
              <w:t>完为止。</w:t>
            </w:r>
          </w:p>
        </w:tc>
        <w:tc>
          <w:tcPr>
            <w:tcW w:w="1000" w:type="dxa"/>
            <w:tcBorders>
              <w:top w:val="single" w:color="030303" w:sz="8" w:space="0"/>
              <w:left w:val="single" w:color="auto" w:sz="4" w:space="0"/>
              <w:bottom w:val="single" w:color="0F0F0C"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3</w:t>
            </w:r>
          </w:p>
        </w:tc>
        <w:tc>
          <w:tcPr>
            <w:tcW w:w="881" w:type="dxa"/>
            <w:tcBorders>
              <w:top w:val="single" w:color="030303" w:sz="8" w:space="0"/>
              <w:left w:val="single" w:color="auto" w:sz="4" w:space="0"/>
              <w:bottom w:val="single" w:color="0F0F0C"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3</w:t>
            </w:r>
          </w:p>
        </w:tc>
      </w:tr>
    </w:tbl>
    <w:p>
      <w:pPr>
        <w:widowControl/>
        <w:rPr>
          <w:rFonts w:ascii="黑体" w:hAnsi="黑体" w:eastAsia="黑体"/>
          <w:sz w:val="21"/>
          <w:szCs w:val="21"/>
        </w:rPr>
        <w:sectPr>
          <w:pgSz w:w="11920" w:h="16840"/>
          <w:pgMar w:top="1480" w:right="800" w:bottom="1560" w:left="840" w:header="720" w:footer="720" w:gutter="0"/>
          <w:cols w:space="720" w:num="1"/>
        </w:sectPr>
      </w:pPr>
    </w:p>
    <w:tbl>
      <w:tblPr>
        <w:tblStyle w:val="4"/>
        <w:tblW w:w="10212" w:type="dxa"/>
        <w:tblInd w:w="31" w:type="dxa"/>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Layout w:type="fixed"/>
        <w:tblCellMar>
          <w:top w:w="0" w:type="dxa"/>
          <w:left w:w="0" w:type="dxa"/>
          <w:bottom w:w="0" w:type="dxa"/>
          <w:right w:w="0" w:type="dxa"/>
        </w:tblCellMar>
      </w:tblPr>
      <w:tblGrid>
        <w:gridCol w:w="680"/>
        <w:gridCol w:w="1160"/>
        <w:gridCol w:w="1620"/>
        <w:gridCol w:w="4860"/>
        <w:gridCol w:w="980"/>
        <w:gridCol w:w="912"/>
      </w:tblGrid>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618" w:hRule="atLeast"/>
        </w:trPr>
        <w:tc>
          <w:tcPr>
            <w:tcW w:w="680" w:type="dxa"/>
            <w:vMerge w:val="restart"/>
            <w:tcBorders>
              <w:top w:val="single" w:color="auto" w:sz="4" w:space="0"/>
              <w:left w:val="single" w:color="auto" w:sz="4" w:space="0"/>
              <w:bottom w:val="single" w:color="0C0F0C" w:sz="8" w:space="0"/>
              <w:right w:val="single" w:color="auto" w:sz="4" w:space="0"/>
            </w:tcBorders>
            <w:vAlign w:val="center"/>
          </w:tcPr>
          <w:p>
            <w:pPr>
              <w:pStyle w:val="6"/>
              <w:spacing w:line="240" w:lineRule="auto"/>
              <w:ind w:left="157"/>
              <w:jc w:val="center"/>
              <w:rPr>
                <w:rFonts w:ascii="宋体" w:hAnsi="宋体" w:eastAsia="宋体" w:cs="Times New Roman"/>
                <w:sz w:val="21"/>
                <w:szCs w:val="21"/>
              </w:rPr>
            </w:pPr>
            <w:r>
              <w:rPr>
                <w:rFonts w:hint="eastAsia" w:ascii="宋体" w:hAnsi="宋体" w:eastAsia="宋体" w:cs="Times New Roman"/>
                <w:color w:val="111111"/>
                <w:sz w:val="21"/>
                <w:szCs w:val="21"/>
              </w:rPr>
              <w:t>项目产出</w:t>
            </w:r>
          </w:p>
          <w:p>
            <w:pPr>
              <w:spacing w:line="240" w:lineRule="auto"/>
              <w:jc w:val="center"/>
              <w:rPr>
                <w:rFonts w:ascii="宋体" w:hAnsi="宋体" w:cs="Times New Roman"/>
                <w:sz w:val="21"/>
                <w:szCs w:val="21"/>
              </w:rPr>
            </w:pPr>
            <w:r>
              <w:rPr>
                <w:rFonts w:ascii="宋体" w:hAnsi="宋体"/>
                <w:color w:val="111111"/>
                <w:sz w:val="21"/>
                <w:szCs w:val="21"/>
              </w:rPr>
              <w:t>( 50</w:t>
            </w:r>
            <w:r>
              <w:rPr>
                <w:rFonts w:hint="eastAsia" w:ascii="宋体" w:hAnsi="宋体" w:cs="Times New Roman"/>
                <w:color w:val="111111"/>
                <w:sz w:val="21"/>
                <w:szCs w:val="21"/>
              </w:rPr>
              <w:t>分）</w:t>
            </w:r>
          </w:p>
        </w:tc>
        <w:tc>
          <w:tcPr>
            <w:tcW w:w="1160" w:type="dxa"/>
            <w:vMerge w:val="restart"/>
            <w:tcBorders>
              <w:top w:val="nil"/>
              <w:left w:val="single" w:color="auto" w:sz="4" w:space="0"/>
              <w:bottom w:val="single" w:color="0C0C0C" w:sz="8" w:space="0"/>
              <w:right w:val="single" w:color="auto" w:sz="4" w:space="0"/>
            </w:tcBorders>
            <w:vAlign w:val="center"/>
          </w:tcPr>
          <w:p>
            <w:pPr>
              <w:pStyle w:val="6"/>
              <w:spacing w:line="240" w:lineRule="auto"/>
              <w:ind w:left="230" w:right="237"/>
              <w:jc w:val="center"/>
              <w:rPr>
                <w:rFonts w:ascii="宋体" w:hAnsi="宋体" w:eastAsia="宋体" w:cs="Times New Roman"/>
                <w:sz w:val="21"/>
                <w:szCs w:val="21"/>
              </w:rPr>
            </w:pPr>
            <w:r>
              <w:rPr>
                <w:rFonts w:hint="eastAsia" w:ascii="宋体" w:hAnsi="宋体" w:eastAsia="宋体" w:cs="Times New Roman"/>
                <w:color w:val="111111"/>
                <w:sz w:val="21"/>
                <w:szCs w:val="21"/>
              </w:rPr>
              <w:t>产出时效</w:t>
            </w:r>
          </w:p>
          <w:p>
            <w:pPr>
              <w:pStyle w:val="6"/>
              <w:spacing w:line="240" w:lineRule="auto"/>
              <w:ind w:left="230" w:right="123"/>
              <w:jc w:val="center"/>
              <w:rPr>
                <w:rFonts w:ascii="宋体" w:hAnsi="宋体" w:eastAsia="宋体" w:cs="Times New Roman"/>
                <w:sz w:val="21"/>
                <w:szCs w:val="21"/>
              </w:rPr>
            </w:pPr>
            <w:r>
              <w:rPr>
                <w:rFonts w:ascii="宋体" w:hAnsi="宋体" w:eastAsia="宋体"/>
                <w:color w:val="111111"/>
                <w:sz w:val="21"/>
                <w:szCs w:val="21"/>
              </w:rPr>
              <w:t>(6</w:t>
            </w:r>
            <w:r>
              <w:rPr>
                <w:rFonts w:hint="eastAsia" w:ascii="宋体" w:hAnsi="宋体" w:eastAsia="宋体" w:cs="Times New Roman"/>
                <w:color w:val="111111"/>
                <w:sz w:val="21"/>
                <w:szCs w:val="21"/>
              </w:rPr>
              <w:t>分）</w:t>
            </w:r>
          </w:p>
        </w:tc>
        <w:tc>
          <w:tcPr>
            <w:tcW w:w="1620" w:type="dxa"/>
            <w:tcBorders>
              <w:top w:val="single" w:color="0C0C0C" w:sz="8" w:space="0"/>
              <w:left w:val="single" w:color="auto" w:sz="4" w:space="0"/>
              <w:bottom w:val="single" w:color="auto" w:sz="4" w:space="0"/>
              <w:right w:val="single" w:color="auto" w:sz="4" w:space="0"/>
            </w:tcBorders>
            <w:vAlign w:val="center"/>
          </w:tcPr>
          <w:p>
            <w:pPr>
              <w:pStyle w:val="6"/>
              <w:spacing w:line="240" w:lineRule="auto"/>
              <w:ind w:left="88" w:right="96"/>
              <w:jc w:val="center"/>
              <w:rPr>
                <w:rFonts w:ascii="宋体" w:hAnsi="宋体" w:eastAsia="宋体" w:cs="Times New Roman"/>
                <w:sz w:val="21"/>
                <w:szCs w:val="21"/>
              </w:rPr>
            </w:pPr>
            <w:r>
              <w:rPr>
                <w:rFonts w:hint="eastAsia" w:ascii="宋体" w:hAnsi="宋体" w:eastAsia="宋体" w:cs="Times New Roman"/>
                <w:color w:val="111111"/>
                <w:sz w:val="21"/>
                <w:szCs w:val="21"/>
              </w:rPr>
              <w:t>项目验收及时性</w:t>
            </w:r>
          </w:p>
          <w:p>
            <w:pPr>
              <w:pStyle w:val="6"/>
              <w:spacing w:line="240" w:lineRule="auto"/>
              <w:ind w:left="189" w:right="96"/>
              <w:jc w:val="center"/>
              <w:rPr>
                <w:rFonts w:ascii="宋体" w:hAnsi="宋体" w:eastAsia="宋体" w:cs="Times New Roman"/>
                <w:sz w:val="21"/>
                <w:szCs w:val="21"/>
              </w:rPr>
            </w:pPr>
            <w:r>
              <w:rPr>
                <w:rFonts w:ascii="宋体" w:hAnsi="宋体" w:eastAsia="宋体"/>
                <w:color w:val="111111"/>
                <w:sz w:val="21"/>
                <w:szCs w:val="21"/>
              </w:rPr>
              <w:t>( 3</w:t>
            </w:r>
            <w:r>
              <w:rPr>
                <w:rFonts w:hint="eastAsia" w:ascii="宋体" w:hAnsi="宋体" w:eastAsia="宋体" w:cs="Times New Roman"/>
                <w:color w:val="111111"/>
                <w:sz w:val="21"/>
                <w:szCs w:val="21"/>
              </w:rPr>
              <w:t>分）</w:t>
            </w:r>
          </w:p>
        </w:tc>
        <w:tc>
          <w:tcPr>
            <w:tcW w:w="4860" w:type="dxa"/>
            <w:tcBorders>
              <w:top w:val="single" w:color="auto" w:sz="4" w:space="0"/>
              <w:left w:val="single" w:color="auto" w:sz="4" w:space="0"/>
              <w:bottom w:val="single" w:color="auto" w:sz="4" w:space="0"/>
              <w:right w:val="single" w:color="auto" w:sz="4" w:space="0"/>
            </w:tcBorders>
            <w:vAlign w:val="center"/>
          </w:tcPr>
          <w:p>
            <w:pPr>
              <w:pStyle w:val="6"/>
              <w:spacing w:line="240" w:lineRule="auto"/>
              <w:ind w:left="24" w:right="200" w:firstLine="2"/>
              <w:jc w:val="both"/>
              <w:rPr>
                <w:rFonts w:ascii="宋体" w:hAnsi="宋体" w:eastAsia="宋体" w:cs="Times New Roman"/>
                <w:sz w:val="21"/>
                <w:szCs w:val="21"/>
              </w:rPr>
            </w:pPr>
            <w:r>
              <w:rPr>
                <w:rFonts w:hint="eastAsia" w:ascii="宋体" w:hAnsi="宋体" w:eastAsia="宋体" w:cs="Times New Roman"/>
                <w:color w:val="111111"/>
                <w:sz w:val="21"/>
                <w:szCs w:val="21"/>
              </w:rPr>
              <w:t>参与验收的项目全部及 时验收得</w:t>
            </w:r>
            <w:r>
              <w:rPr>
                <w:rFonts w:ascii="宋体" w:hAnsi="宋体" w:eastAsia="宋体" w:cs="Times New Roman"/>
                <w:color w:val="111111"/>
                <w:sz w:val="21"/>
                <w:szCs w:val="21"/>
              </w:rPr>
              <w:t>3</w:t>
            </w:r>
            <w:r>
              <w:rPr>
                <w:rFonts w:hint="eastAsia" w:ascii="宋体" w:hAnsi="宋体" w:eastAsia="宋体" w:cs="Times New Roman"/>
                <w:color w:val="111111"/>
                <w:sz w:val="21"/>
                <w:szCs w:val="21"/>
              </w:rPr>
              <w:t>分，未达到</w:t>
            </w:r>
            <w:r>
              <w:rPr>
                <w:rFonts w:ascii="宋体" w:hAnsi="宋体" w:eastAsia="宋体" w:cs="Times New Roman"/>
                <w:color w:val="111111"/>
                <w:sz w:val="21"/>
                <w:szCs w:val="21"/>
              </w:rPr>
              <w:t>100%</w:t>
            </w:r>
            <w:r>
              <w:rPr>
                <w:rFonts w:hint="eastAsia" w:ascii="宋体" w:hAnsi="宋体" w:eastAsia="宋体" w:cs="Times New Roman"/>
                <w:color w:val="111111"/>
                <w:sz w:val="21"/>
                <w:szCs w:val="21"/>
              </w:rPr>
              <w:t>按实际 工程验收时间达标率＊指标权重得分。</w:t>
            </w:r>
          </w:p>
        </w:tc>
        <w:tc>
          <w:tcPr>
            <w:tcW w:w="980" w:type="dxa"/>
            <w:tcBorders>
              <w:top w:val="single" w:color="auto" w:sz="4" w:space="0"/>
              <w:left w:val="single" w:color="auto" w:sz="4" w:space="0"/>
              <w:bottom w:val="single" w:color="auto" w:sz="4"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3</w:t>
            </w:r>
          </w:p>
        </w:tc>
        <w:tc>
          <w:tcPr>
            <w:tcW w:w="912" w:type="dxa"/>
            <w:tcBorders>
              <w:top w:val="single" w:color="auto" w:sz="4" w:space="0"/>
              <w:left w:val="single" w:color="auto" w:sz="4" w:space="0"/>
              <w:bottom w:val="single" w:color="auto" w:sz="4"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3</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543" w:hRule="atLeast"/>
        </w:trPr>
        <w:tc>
          <w:tcPr>
            <w:tcW w:w="680" w:type="dxa"/>
            <w:vMerge w:val="continue"/>
            <w:tcBorders>
              <w:top w:val="nil"/>
              <w:left w:val="single" w:color="auto" w:sz="4" w:space="0"/>
              <w:bottom w:val="single" w:color="0C0F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Times New Roman"/>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pStyle w:val="6"/>
              <w:spacing w:line="240" w:lineRule="auto"/>
              <w:ind w:left="256" w:right="99" w:hanging="150"/>
              <w:jc w:val="center"/>
              <w:rPr>
                <w:rFonts w:ascii="宋体" w:hAnsi="宋体" w:eastAsia="宋体" w:cs="Times New Roman"/>
                <w:sz w:val="21"/>
                <w:szCs w:val="21"/>
              </w:rPr>
            </w:pPr>
            <w:r>
              <w:rPr>
                <w:rFonts w:hint="eastAsia" w:ascii="宋体" w:hAnsi="宋体" w:eastAsia="宋体" w:cs="Times New Roman"/>
                <w:color w:val="111111"/>
                <w:sz w:val="21"/>
                <w:szCs w:val="21"/>
              </w:rPr>
              <w:t xml:space="preserve">实际施工完成及时率 </w:t>
            </w:r>
            <w:r>
              <w:rPr>
                <w:rFonts w:ascii="宋体" w:hAnsi="宋体" w:eastAsia="宋体"/>
                <w:color w:val="111111"/>
                <w:sz w:val="21"/>
                <w:szCs w:val="21"/>
              </w:rPr>
              <w:t>(3</w:t>
            </w:r>
            <w:r>
              <w:rPr>
                <w:rFonts w:hint="eastAsia" w:ascii="宋体" w:hAnsi="宋体" w:eastAsia="宋体" w:cs="Times New Roman"/>
                <w:color w:val="111111"/>
                <w:sz w:val="21"/>
                <w:szCs w:val="21"/>
              </w:rPr>
              <w:t>分）</w:t>
            </w:r>
          </w:p>
        </w:tc>
        <w:tc>
          <w:tcPr>
            <w:tcW w:w="4860" w:type="dxa"/>
            <w:tcBorders>
              <w:top w:val="single" w:color="auto" w:sz="4" w:space="0"/>
              <w:left w:val="single" w:color="auto" w:sz="4" w:space="0"/>
              <w:bottom w:val="single" w:color="auto" w:sz="4" w:space="0"/>
              <w:right w:val="single" w:color="auto" w:sz="4" w:space="0"/>
            </w:tcBorders>
            <w:vAlign w:val="center"/>
          </w:tcPr>
          <w:p>
            <w:pPr>
              <w:pStyle w:val="6"/>
              <w:spacing w:line="240" w:lineRule="auto"/>
              <w:ind w:left="22" w:right="262" w:hanging="1"/>
              <w:jc w:val="both"/>
              <w:rPr>
                <w:rFonts w:ascii="宋体" w:hAnsi="宋体" w:eastAsia="宋体" w:cs="Times New Roman"/>
                <w:sz w:val="21"/>
                <w:szCs w:val="21"/>
              </w:rPr>
            </w:pPr>
            <w:r>
              <w:rPr>
                <w:rFonts w:hint="eastAsia" w:ascii="宋体" w:hAnsi="宋体" w:eastAsia="宋体" w:cs="Times New Roman"/>
                <w:color w:val="111111"/>
                <w:sz w:val="21"/>
                <w:szCs w:val="21"/>
              </w:rPr>
              <w:t>项目建设实际开工、竣工时间与计划时间一 致得</w:t>
            </w:r>
            <w:r>
              <w:rPr>
                <w:rFonts w:ascii="宋体" w:hAnsi="宋体" w:eastAsia="宋体"/>
                <w:color w:val="111111"/>
                <w:sz w:val="21"/>
                <w:szCs w:val="21"/>
              </w:rPr>
              <w:t>3</w:t>
            </w:r>
            <w:r>
              <w:rPr>
                <w:rFonts w:hint="eastAsia" w:ascii="宋体" w:hAnsi="宋体" w:eastAsia="宋体" w:cs="Times New Roman"/>
                <w:color w:val="111111"/>
                <w:sz w:val="21"/>
                <w:szCs w:val="21"/>
              </w:rPr>
              <w:t>分，每逾期一周扣</w:t>
            </w:r>
            <w:r>
              <w:rPr>
                <w:rFonts w:ascii="宋体" w:hAnsi="宋体" w:eastAsia="宋体"/>
                <w:color w:val="111111"/>
                <w:sz w:val="21"/>
                <w:szCs w:val="21"/>
              </w:rPr>
              <w:t>0. 5</w:t>
            </w:r>
            <w:r>
              <w:rPr>
                <w:rFonts w:hint="eastAsia" w:ascii="宋体" w:hAnsi="宋体" w:eastAsia="宋体" w:cs="Times New Roman"/>
                <w:color w:val="111111"/>
                <w:sz w:val="21"/>
                <w:szCs w:val="21"/>
              </w:rPr>
              <w:t>分，扣完为止。</w:t>
            </w:r>
          </w:p>
        </w:tc>
        <w:tc>
          <w:tcPr>
            <w:tcW w:w="980" w:type="dxa"/>
            <w:tcBorders>
              <w:top w:val="single" w:color="auto" w:sz="4" w:space="0"/>
              <w:left w:val="single" w:color="auto" w:sz="4" w:space="0"/>
              <w:bottom w:val="single" w:color="auto" w:sz="4"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3</w:t>
            </w:r>
          </w:p>
        </w:tc>
        <w:tc>
          <w:tcPr>
            <w:tcW w:w="912" w:type="dxa"/>
            <w:tcBorders>
              <w:top w:val="single" w:color="auto" w:sz="4" w:space="0"/>
              <w:left w:val="single" w:color="auto" w:sz="4" w:space="0"/>
              <w:bottom w:val="single" w:color="auto" w:sz="4"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3</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728" w:hRule="atLeast"/>
        </w:trPr>
        <w:tc>
          <w:tcPr>
            <w:tcW w:w="680" w:type="dxa"/>
            <w:vMerge w:val="continue"/>
            <w:tcBorders>
              <w:top w:val="nil"/>
              <w:left w:val="single" w:color="auto" w:sz="4" w:space="0"/>
              <w:bottom w:val="single" w:color="0C0F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tcBorders>
              <w:top w:val="single" w:color="0C0C0C" w:sz="8" w:space="0"/>
              <w:left w:val="single" w:color="auto" w:sz="4" w:space="0"/>
              <w:bottom w:val="single" w:color="auto" w:sz="4" w:space="0"/>
              <w:right w:val="single" w:color="auto" w:sz="4" w:space="0"/>
            </w:tcBorders>
            <w:vAlign w:val="center"/>
          </w:tcPr>
          <w:p>
            <w:pPr>
              <w:pStyle w:val="6"/>
              <w:spacing w:line="240" w:lineRule="auto"/>
              <w:ind w:left="241" w:right="239"/>
              <w:jc w:val="center"/>
              <w:rPr>
                <w:rFonts w:ascii="宋体" w:hAnsi="宋体" w:eastAsia="宋体" w:cs="Times New Roman"/>
                <w:sz w:val="21"/>
                <w:szCs w:val="21"/>
              </w:rPr>
            </w:pPr>
            <w:r>
              <w:rPr>
                <w:rFonts w:hint="eastAsia" w:ascii="宋体" w:hAnsi="宋体" w:eastAsia="宋体" w:cs="Times New Roman"/>
                <w:color w:val="111111"/>
                <w:sz w:val="21"/>
                <w:szCs w:val="21"/>
              </w:rPr>
              <w:t>产出成本</w:t>
            </w:r>
          </w:p>
          <w:p>
            <w:pPr>
              <w:pStyle w:val="6"/>
              <w:spacing w:line="240" w:lineRule="auto"/>
              <w:ind w:left="241" w:right="150"/>
              <w:jc w:val="center"/>
              <w:rPr>
                <w:rFonts w:ascii="宋体" w:hAnsi="宋体" w:eastAsia="宋体" w:cs="Times New Roman"/>
                <w:sz w:val="21"/>
                <w:szCs w:val="21"/>
              </w:rPr>
            </w:pPr>
            <w:r>
              <w:rPr>
                <w:rFonts w:ascii="宋体" w:hAnsi="宋体" w:eastAsia="宋体"/>
                <w:color w:val="111111"/>
                <w:sz w:val="21"/>
                <w:szCs w:val="21"/>
              </w:rPr>
              <w:t>( 4</w:t>
            </w:r>
            <w:r>
              <w:rPr>
                <w:rFonts w:hint="eastAsia" w:ascii="宋体" w:hAnsi="宋体" w:eastAsia="宋体" w:cs="Times New Roman"/>
                <w:color w:val="111111"/>
                <w:sz w:val="21"/>
                <w:szCs w:val="21"/>
              </w:rPr>
              <w:t>分）</w:t>
            </w:r>
          </w:p>
        </w:tc>
        <w:tc>
          <w:tcPr>
            <w:tcW w:w="1620" w:type="dxa"/>
            <w:tcBorders>
              <w:top w:val="single" w:color="auto" w:sz="4" w:space="0"/>
              <w:left w:val="single" w:color="auto" w:sz="4" w:space="0"/>
              <w:bottom w:val="single" w:color="auto" w:sz="4" w:space="0"/>
              <w:right w:val="single" w:color="auto" w:sz="4" w:space="0"/>
            </w:tcBorders>
            <w:vAlign w:val="center"/>
          </w:tcPr>
          <w:p>
            <w:pPr>
              <w:pStyle w:val="6"/>
              <w:spacing w:line="240" w:lineRule="auto"/>
              <w:ind w:left="253" w:right="99" w:hanging="146"/>
              <w:jc w:val="center"/>
              <w:rPr>
                <w:rFonts w:ascii="宋体" w:hAnsi="宋体" w:eastAsia="宋体" w:cs="Times New Roman"/>
                <w:sz w:val="21"/>
                <w:szCs w:val="21"/>
              </w:rPr>
            </w:pPr>
            <w:r>
              <w:rPr>
                <w:rFonts w:hint="eastAsia" w:ascii="宋体" w:hAnsi="宋体" w:eastAsia="宋体" w:cs="Times New Roman"/>
                <w:color w:val="111111"/>
                <w:sz w:val="21"/>
                <w:szCs w:val="21"/>
              </w:rPr>
              <w:t xml:space="preserve">项目建设成本控制率 </w:t>
            </w:r>
            <w:r>
              <w:rPr>
                <w:rFonts w:ascii="宋体" w:hAnsi="宋体" w:eastAsia="宋体"/>
                <w:color w:val="111111"/>
                <w:sz w:val="21"/>
                <w:szCs w:val="21"/>
              </w:rPr>
              <w:t>(4</w:t>
            </w:r>
            <w:r>
              <w:rPr>
                <w:rFonts w:hint="eastAsia" w:ascii="宋体" w:hAnsi="宋体" w:eastAsia="宋体" w:cs="Times New Roman"/>
                <w:color w:val="111111"/>
                <w:sz w:val="21"/>
                <w:szCs w:val="21"/>
              </w:rPr>
              <w:t>分）</w:t>
            </w:r>
          </w:p>
        </w:tc>
        <w:tc>
          <w:tcPr>
            <w:tcW w:w="4860" w:type="dxa"/>
            <w:tcBorders>
              <w:top w:val="single" w:color="auto" w:sz="4" w:space="0"/>
              <w:left w:val="single" w:color="auto" w:sz="4" w:space="0"/>
              <w:bottom w:val="single" w:color="auto" w:sz="4" w:space="0"/>
              <w:right w:val="single" w:color="auto" w:sz="4" w:space="0"/>
            </w:tcBorders>
            <w:vAlign w:val="center"/>
          </w:tcPr>
          <w:p>
            <w:pPr>
              <w:pStyle w:val="6"/>
              <w:spacing w:line="240" w:lineRule="auto"/>
              <w:ind w:left="24" w:right="97" w:firstLine="1"/>
              <w:jc w:val="both"/>
              <w:rPr>
                <w:rFonts w:ascii="宋体" w:hAnsi="宋体" w:eastAsia="宋体" w:cs="Times New Roman"/>
                <w:sz w:val="21"/>
                <w:szCs w:val="21"/>
              </w:rPr>
            </w:pPr>
            <w:r>
              <w:rPr>
                <w:rFonts w:hint="eastAsia" w:ascii="宋体" w:hAnsi="宋体" w:eastAsia="宋体" w:cs="Times New Roman"/>
                <w:color w:val="111111"/>
                <w:sz w:val="21"/>
                <w:szCs w:val="21"/>
              </w:rPr>
              <w:t>项目建设成控制在预算范围土</w:t>
            </w:r>
            <w:r>
              <w:rPr>
                <w:rFonts w:ascii="宋体" w:hAnsi="宋体" w:eastAsia="宋体"/>
                <w:color w:val="111111"/>
                <w:sz w:val="21"/>
                <w:szCs w:val="21"/>
              </w:rPr>
              <w:t>5%</w:t>
            </w:r>
            <w:r>
              <w:rPr>
                <w:rFonts w:hint="eastAsia" w:ascii="宋体" w:hAnsi="宋体" w:eastAsia="宋体" w:cs="Times New Roman"/>
                <w:color w:val="111111"/>
                <w:sz w:val="21"/>
                <w:szCs w:val="21"/>
              </w:rPr>
              <w:t>扣</w:t>
            </w:r>
            <w:r>
              <w:rPr>
                <w:rFonts w:ascii="宋体" w:hAnsi="宋体" w:eastAsia="宋体"/>
                <w:color w:val="111111"/>
                <w:sz w:val="21"/>
                <w:szCs w:val="21"/>
              </w:rPr>
              <w:t>1</w:t>
            </w:r>
            <w:r>
              <w:rPr>
                <w:rFonts w:hint="eastAsia" w:ascii="宋体" w:hAnsi="宋体" w:eastAsia="宋体" w:cs="Times New Roman"/>
                <w:color w:val="111111"/>
                <w:sz w:val="21"/>
                <w:szCs w:val="21"/>
              </w:rPr>
              <w:t xml:space="preserve">分，扣完为止。重要投入设备采购每发现 一件高于市场平均成交价 </w:t>
            </w:r>
            <w:r>
              <w:rPr>
                <w:rFonts w:ascii="宋体" w:hAnsi="宋体" w:eastAsia="宋体"/>
                <w:color w:val="111111"/>
                <w:sz w:val="21"/>
                <w:szCs w:val="21"/>
              </w:rPr>
              <w:t>10%</w:t>
            </w:r>
            <w:r>
              <w:rPr>
                <w:rFonts w:hint="eastAsia" w:ascii="宋体" w:hAnsi="宋体" w:eastAsia="宋体" w:cs="Times New Roman"/>
                <w:color w:val="111111"/>
                <w:sz w:val="21"/>
                <w:szCs w:val="21"/>
              </w:rPr>
              <w:t>扣</w:t>
            </w:r>
            <w:r>
              <w:rPr>
                <w:rFonts w:ascii="宋体" w:hAnsi="宋体" w:eastAsia="宋体"/>
                <w:color w:val="111111"/>
                <w:sz w:val="21"/>
                <w:szCs w:val="21"/>
              </w:rPr>
              <w:t>1</w:t>
            </w:r>
            <w:r>
              <w:rPr>
                <w:rFonts w:hint="eastAsia" w:ascii="宋体" w:hAnsi="宋体" w:eastAsia="宋体" w:cs="Times New Roman"/>
                <w:color w:val="111111"/>
                <w:sz w:val="21"/>
                <w:szCs w:val="21"/>
              </w:rPr>
              <w:t>分，扣完为止。</w:t>
            </w:r>
          </w:p>
        </w:tc>
        <w:tc>
          <w:tcPr>
            <w:tcW w:w="980" w:type="dxa"/>
            <w:tcBorders>
              <w:top w:val="single" w:color="0C0C0C" w:sz="8" w:space="0"/>
              <w:left w:val="single" w:color="auto" w:sz="4" w:space="0"/>
              <w:bottom w:val="single" w:color="0F0F0C"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4</w:t>
            </w:r>
          </w:p>
        </w:tc>
        <w:tc>
          <w:tcPr>
            <w:tcW w:w="912" w:type="dxa"/>
            <w:tcBorders>
              <w:top w:val="single" w:color="0C0C0C" w:sz="8" w:space="0"/>
              <w:left w:val="single" w:color="auto" w:sz="4" w:space="0"/>
              <w:bottom w:val="single" w:color="0F0F0C"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4</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502" w:hRule="atLeast"/>
        </w:trPr>
        <w:tc>
          <w:tcPr>
            <w:tcW w:w="680" w:type="dxa"/>
            <w:vMerge w:val="restart"/>
            <w:tcBorders>
              <w:top w:val="nil"/>
              <w:left w:val="single" w:color="auto" w:sz="4" w:space="0"/>
              <w:bottom w:val="single" w:color="0C0C0C" w:sz="8" w:space="0"/>
              <w:right w:val="single" w:color="auto" w:sz="4" w:space="0"/>
            </w:tcBorders>
            <w:vAlign w:val="center"/>
          </w:tcPr>
          <w:p>
            <w:pPr>
              <w:pStyle w:val="6"/>
              <w:spacing w:line="240" w:lineRule="auto"/>
              <w:ind w:left="170"/>
              <w:jc w:val="center"/>
              <w:rPr>
                <w:rFonts w:ascii="宋体" w:hAnsi="宋体" w:eastAsia="宋体" w:cs="Times New Roman"/>
                <w:sz w:val="21"/>
                <w:szCs w:val="21"/>
              </w:rPr>
            </w:pPr>
            <w:r>
              <w:rPr>
                <w:rFonts w:hint="eastAsia" w:ascii="宋体" w:hAnsi="宋体" w:eastAsia="宋体" w:cs="Times New Roman"/>
                <w:color w:val="111111"/>
                <w:sz w:val="21"/>
                <w:szCs w:val="21"/>
              </w:rPr>
              <w:t>项目效果</w:t>
            </w:r>
          </w:p>
          <w:p>
            <w:pPr>
              <w:pStyle w:val="6"/>
              <w:spacing w:line="240" w:lineRule="auto"/>
              <w:ind w:left="267"/>
              <w:jc w:val="center"/>
              <w:rPr>
                <w:rFonts w:ascii="宋体" w:hAnsi="宋体" w:eastAsia="宋体" w:cs="Times New Roman"/>
                <w:sz w:val="21"/>
                <w:szCs w:val="21"/>
              </w:rPr>
            </w:pPr>
            <w:r>
              <w:rPr>
                <w:rFonts w:ascii="宋体" w:hAnsi="宋体" w:eastAsia="宋体"/>
                <w:color w:val="111111"/>
                <w:sz w:val="21"/>
                <w:szCs w:val="21"/>
              </w:rPr>
              <w:t>( 20</w:t>
            </w:r>
            <w:r>
              <w:rPr>
                <w:rFonts w:hint="eastAsia" w:ascii="宋体" w:hAnsi="宋体" w:eastAsia="宋体" w:cs="Times New Roman"/>
                <w:color w:val="111111"/>
                <w:sz w:val="21"/>
                <w:szCs w:val="21"/>
              </w:rPr>
              <w:t>分）</w:t>
            </w:r>
          </w:p>
        </w:tc>
        <w:tc>
          <w:tcPr>
            <w:tcW w:w="1160" w:type="dxa"/>
            <w:vMerge w:val="restart"/>
            <w:tcBorders>
              <w:top w:val="nil"/>
              <w:left w:val="single" w:color="auto" w:sz="4" w:space="0"/>
              <w:bottom w:val="single" w:color="0C0F0C" w:sz="8" w:space="0"/>
              <w:right w:val="single" w:color="auto" w:sz="4" w:space="0"/>
            </w:tcBorders>
            <w:vAlign w:val="center"/>
          </w:tcPr>
          <w:p>
            <w:pPr>
              <w:pStyle w:val="6"/>
              <w:spacing w:line="240" w:lineRule="auto"/>
              <w:ind w:left="230" w:right="225"/>
              <w:jc w:val="center"/>
              <w:rPr>
                <w:rFonts w:ascii="宋体" w:hAnsi="宋体" w:eastAsia="宋体" w:cs="Times New Roman"/>
                <w:sz w:val="21"/>
                <w:szCs w:val="21"/>
              </w:rPr>
            </w:pPr>
            <w:r>
              <w:rPr>
                <w:rFonts w:hint="eastAsia" w:ascii="宋体" w:hAnsi="宋体" w:eastAsia="宋体" w:cs="Times New Roman"/>
                <w:color w:val="111111"/>
                <w:sz w:val="21"/>
                <w:szCs w:val="21"/>
              </w:rPr>
              <w:t>经济效益</w:t>
            </w:r>
          </w:p>
          <w:p>
            <w:pPr>
              <w:pStyle w:val="6"/>
              <w:spacing w:line="240" w:lineRule="auto"/>
              <w:ind w:left="230" w:right="116"/>
              <w:jc w:val="center"/>
              <w:rPr>
                <w:rFonts w:ascii="宋体" w:hAnsi="宋体" w:eastAsia="宋体" w:cs="Times New Roman"/>
                <w:sz w:val="21"/>
                <w:szCs w:val="21"/>
              </w:rPr>
            </w:pPr>
            <w:r>
              <w:rPr>
                <w:rFonts w:ascii="宋体" w:hAnsi="宋体" w:eastAsia="宋体"/>
                <w:color w:val="111111"/>
                <w:sz w:val="21"/>
                <w:szCs w:val="21"/>
              </w:rPr>
              <w:t>( 4</w:t>
            </w:r>
            <w:r>
              <w:rPr>
                <w:rFonts w:hint="eastAsia" w:ascii="宋体" w:hAnsi="宋体" w:eastAsia="宋体" w:cs="Times New Roman"/>
                <w:color w:val="111111"/>
                <w:sz w:val="21"/>
                <w:szCs w:val="21"/>
              </w:rPr>
              <w:t>分）</w:t>
            </w:r>
          </w:p>
        </w:tc>
        <w:tc>
          <w:tcPr>
            <w:tcW w:w="1620" w:type="dxa"/>
            <w:tcBorders>
              <w:top w:val="single" w:color="auto" w:sz="4" w:space="0"/>
              <w:left w:val="single" w:color="auto" w:sz="4" w:space="0"/>
              <w:right w:val="single" w:color="auto" w:sz="4" w:space="0"/>
            </w:tcBorders>
            <w:vAlign w:val="center"/>
          </w:tcPr>
          <w:p>
            <w:pPr>
              <w:pStyle w:val="6"/>
              <w:spacing w:line="240" w:lineRule="auto"/>
              <w:ind w:left="253" w:right="99" w:hanging="136"/>
              <w:jc w:val="center"/>
              <w:rPr>
                <w:rFonts w:ascii="宋体" w:hAnsi="宋体" w:eastAsia="宋体" w:cs="Times New Roman"/>
                <w:sz w:val="21"/>
                <w:szCs w:val="21"/>
              </w:rPr>
            </w:pPr>
            <w:r>
              <w:rPr>
                <w:rFonts w:hint="eastAsia" w:ascii="宋体" w:hAnsi="宋体" w:eastAsia="宋体" w:cs="Times New Roman"/>
                <w:color w:val="111111"/>
                <w:sz w:val="21"/>
                <w:szCs w:val="21"/>
              </w:rPr>
              <w:t xml:space="preserve">中心营业收入增长率 </w:t>
            </w:r>
            <w:r>
              <w:rPr>
                <w:rFonts w:ascii="宋体" w:hAnsi="宋体" w:eastAsia="宋体"/>
                <w:color w:val="111111"/>
                <w:sz w:val="21"/>
                <w:szCs w:val="21"/>
              </w:rPr>
              <w:t>( 2</w:t>
            </w:r>
            <w:r>
              <w:rPr>
                <w:rFonts w:hint="eastAsia" w:ascii="宋体" w:hAnsi="宋体" w:eastAsia="宋体" w:cs="Times New Roman"/>
                <w:color w:val="111111"/>
                <w:sz w:val="21"/>
                <w:szCs w:val="21"/>
              </w:rPr>
              <w:t>分）</w:t>
            </w:r>
          </w:p>
        </w:tc>
        <w:tc>
          <w:tcPr>
            <w:tcW w:w="4860" w:type="dxa"/>
            <w:tcBorders>
              <w:top w:val="single" w:color="auto" w:sz="4" w:space="0"/>
              <w:left w:val="single" w:color="auto" w:sz="4" w:space="0"/>
              <w:bottom w:val="single" w:color="auto" w:sz="4" w:space="0"/>
              <w:right w:val="single" w:color="auto" w:sz="4" w:space="0"/>
            </w:tcBorders>
            <w:vAlign w:val="center"/>
          </w:tcPr>
          <w:p>
            <w:pPr>
              <w:pStyle w:val="6"/>
              <w:spacing w:line="240" w:lineRule="auto"/>
              <w:ind w:left="28" w:right="200" w:hanging="5"/>
              <w:jc w:val="both"/>
              <w:rPr>
                <w:rFonts w:ascii="宋体" w:hAnsi="宋体" w:eastAsia="宋体" w:cs="Times New Roman"/>
                <w:sz w:val="21"/>
                <w:szCs w:val="21"/>
              </w:rPr>
            </w:pPr>
            <w:r>
              <w:rPr>
                <w:rFonts w:hint="eastAsia" w:ascii="宋体" w:hAnsi="宋体" w:eastAsia="宋体" w:cs="Times New Roman"/>
                <w:color w:val="111111"/>
                <w:sz w:val="21"/>
                <w:szCs w:val="21"/>
              </w:rPr>
              <w:t>粮食产后服务中心</w:t>
            </w:r>
            <w:r>
              <w:rPr>
                <w:rFonts w:ascii="宋体" w:hAnsi="宋体" w:eastAsia="宋体"/>
                <w:color w:val="111111"/>
                <w:sz w:val="21"/>
                <w:szCs w:val="21"/>
              </w:rPr>
              <w:t>2019</w:t>
            </w:r>
            <w:r>
              <w:rPr>
                <w:rFonts w:hint="eastAsia" w:ascii="宋体" w:hAnsi="宋体" w:eastAsia="宋体" w:cs="Times New Roman"/>
                <w:color w:val="111111"/>
                <w:sz w:val="21"/>
                <w:szCs w:val="21"/>
              </w:rPr>
              <w:t>年营业收入较上年增长得</w:t>
            </w:r>
            <w:r>
              <w:rPr>
                <w:rFonts w:ascii="宋体" w:hAnsi="宋体" w:eastAsia="宋体"/>
                <w:color w:val="111111"/>
                <w:sz w:val="21"/>
                <w:szCs w:val="21"/>
              </w:rPr>
              <w:t>2</w:t>
            </w:r>
            <w:r>
              <w:rPr>
                <w:rFonts w:hint="eastAsia" w:ascii="宋体" w:hAnsi="宋体" w:eastAsia="宋体" w:cs="Times New Roman"/>
                <w:color w:val="111111"/>
                <w:sz w:val="21"/>
                <w:szCs w:val="21"/>
              </w:rPr>
              <w:t>分，持平得</w:t>
            </w:r>
            <w:r>
              <w:rPr>
                <w:rFonts w:ascii="宋体" w:hAnsi="宋体" w:eastAsia="宋体"/>
                <w:color w:val="111111"/>
                <w:sz w:val="21"/>
                <w:szCs w:val="21"/>
              </w:rPr>
              <w:t>1</w:t>
            </w:r>
            <w:r>
              <w:rPr>
                <w:rFonts w:hint="eastAsia" w:ascii="宋体" w:hAnsi="宋体" w:eastAsia="宋体" w:cs="Times New Roman"/>
                <w:color w:val="111111"/>
                <w:sz w:val="21"/>
                <w:szCs w:val="21"/>
              </w:rPr>
              <w:t>分，下降不得分。</w:t>
            </w:r>
          </w:p>
        </w:tc>
        <w:tc>
          <w:tcPr>
            <w:tcW w:w="980" w:type="dxa"/>
            <w:tcBorders>
              <w:top w:val="single" w:color="0F0F0C" w:sz="8" w:space="0"/>
              <w:left w:val="single" w:color="auto" w:sz="4" w:space="0"/>
              <w:bottom w:val="single" w:color="auto" w:sz="4"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912" w:type="dxa"/>
            <w:tcBorders>
              <w:top w:val="single" w:color="0F0F0C" w:sz="8" w:space="0"/>
              <w:left w:val="single" w:color="auto" w:sz="4" w:space="0"/>
              <w:bottom w:val="single" w:color="auto" w:sz="4"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459" w:hRule="atLeast"/>
        </w:trPr>
        <w:tc>
          <w:tcPr>
            <w:tcW w:w="680" w:type="dxa"/>
            <w:vMerge w:val="continue"/>
            <w:tcBorders>
              <w:top w:val="nil"/>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vMerge w:val="continue"/>
            <w:tcBorders>
              <w:top w:val="nil"/>
              <w:left w:val="single" w:color="auto" w:sz="4" w:space="0"/>
              <w:bottom w:val="single" w:color="0C0F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620" w:type="dxa"/>
            <w:tcBorders>
              <w:top w:val="single" w:color="0F0F0F" w:sz="8" w:space="0"/>
              <w:left w:val="single" w:color="auto" w:sz="4" w:space="0"/>
              <w:bottom w:val="single" w:color="0C0F0C" w:sz="8" w:space="0"/>
              <w:right w:val="single" w:color="auto" w:sz="4" w:space="0"/>
            </w:tcBorders>
            <w:vAlign w:val="center"/>
          </w:tcPr>
          <w:p>
            <w:pPr>
              <w:pStyle w:val="6"/>
              <w:spacing w:line="240" w:lineRule="auto"/>
              <w:ind w:left="61" w:right="88"/>
              <w:jc w:val="center"/>
              <w:rPr>
                <w:rFonts w:ascii="宋体" w:hAnsi="宋体" w:eastAsia="宋体" w:cs="Times New Roman"/>
                <w:sz w:val="21"/>
                <w:szCs w:val="21"/>
              </w:rPr>
            </w:pPr>
            <w:r>
              <w:rPr>
                <w:rFonts w:hint="eastAsia" w:ascii="宋体" w:hAnsi="宋体" w:eastAsia="宋体" w:cs="Times New Roman"/>
                <w:color w:val="111111"/>
                <w:sz w:val="21"/>
                <w:szCs w:val="21"/>
              </w:rPr>
              <w:t>农户收入增长率</w:t>
            </w:r>
          </w:p>
          <w:p>
            <w:pPr>
              <w:pStyle w:val="6"/>
              <w:spacing w:line="240" w:lineRule="auto"/>
              <w:ind w:left="85" w:right="5"/>
              <w:jc w:val="center"/>
              <w:rPr>
                <w:rFonts w:ascii="宋体" w:hAnsi="宋体" w:eastAsia="宋体" w:cs="Times New Roman"/>
                <w:sz w:val="21"/>
                <w:szCs w:val="21"/>
              </w:rPr>
            </w:pPr>
            <w:r>
              <w:rPr>
                <w:rFonts w:ascii="宋体" w:hAnsi="宋体" w:eastAsia="宋体"/>
                <w:color w:val="111111"/>
                <w:sz w:val="21"/>
                <w:szCs w:val="21"/>
              </w:rPr>
              <w:t>( 2</w:t>
            </w:r>
            <w:r>
              <w:rPr>
                <w:rFonts w:hint="eastAsia" w:ascii="宋体" w:hAnsi="宋体" w:eastAsia="宋体" w:cs="Times New Roman"/>
                <w:color w:val="111111"/>
                <w:sz w:val="21"/>
                <w:szCs w:val="21"/>
              </w:rPr>
              <w:t>分）</w:t>
            </w:r>
          </w:p>
        </w:tc>
        <w:tc>
          <w:tcPr>
            <w:tcW w:w="4860" w:type="dxa"/>
            <w:tcBorders>
              <w:top w:val="single" w:color="auto" w:sz="4" w:space="0"/>
              <w:left w:val="single" w:color="auto" w:sz="4" w:space="0"/>
              <w:bottom w:val="single" w:color="0C0F0C" w:sz="8" w:space="0"/>
              <w:right w:val="single" w:color="auto" w:sz="4" w:space="0"/>
            </w:tcBorders>
            <w:vAlign w:val="center"/>
          </w:tcPr>
          <w:p>
            <w:pPr>
              <w:pStyle w:val="6"/>
              <w:spacing w:line="240" w:lineRule="auto"/>
              <w:ind w:left="23" w:right="97" w:firstLine="6"/>
              <w:jc w:val="both"/>
              <w:rPr>
                <w:rFonts w:ascii="宋体" w:hAnsi="宋体" w:eastAsia="宋体" w:cs="Times New Roman"/>
                <w:sz w:val="21"/>
                <w:szCs w:val="21"/>
              </w:rPr>
            </w:pPr>
            <w:r>
              <w:rPr>
                <w:rFonts w:hint="eastAsia" w:ascii="宋体" w:hAnsi="宋体" w:eastAsia="宋体" w:cs="Times New Roman"/>
                <w:color w:val="111111"/>
                <w:spacing w:val="-5"/>
                <w:sz w:val="21"/>
                <w:szCs w:val="21"/>
              </w:rPr>
              <w:t>接</w:t>
            </w:r>
            <w:r>
              <w:rPr>
                <w:rFonts w:hint="eastAsia" w:ascii="宋体" w:hAnsi="宋体" w:eastAsia="宋体" w:cs="Times New Roman"/>
                <w:color w:val="111111"/>
                <w:sz w:val="21"/>
                <w:szCs w:val="21"/>
              </w:rPr>
              <w:t xml:space="preserve">受服务的农户收入较上年增长得 </w:t>
            </w:r>
            <w:r>
              <w:rPr>
                <w:rFonts w:ascii="宋体" w:hAnsi="宋体" w:eastAsia="宋体"/>
                <w:color w:val="111111"/>
                <w:sz w:val="21"/>
                <w:szCs w:val="21"/>
              </w:rPr>
              <w:t>2</w:t>
            </w:r>
            <w:r>
              <w:rPr>
                <w:rFonts w:hint="eastAsia" w:ascii="宋体" w:hAnsi="宋体" w:eastAsia="宋体" w:cs="Times New Roman"/>
                <w:color w:val="111111"/>
                <w:sz w:val="21"/>
                <w:szCs w:val="21"/>
              </w:rPr>
              <w:t>分，持平得</w:t>
            </w:r>
            <w:r>
              <w:rPr>
                <w:rFonts w:ascii="宋体" w:hAnsi="宋体" w:eastAsia="宋体"/>
                <w:color w:val="111111"/>
                <w:sz w:val="21"/>
                <w:szCs w:val="21"/>
              </w:rPr>
              <w:t>1</w:t>
            </w:r>
            <w:r>
              <w:rPr>
                <w:rFonts w:hint="eastAsia" w:ascii="宋体" w:hAnsi="宋体" w:eastAsia="宋体" w:cs="Times New Roman"/>
                <w:color w:val="111111"/>
                <w:sz w:val="21"/>
                <w:szCs w:val="21"/>
              </w:rPr>
              <w:t>分，下降不得分。</w:t>
            </w:r>
          </w:p>
        </w:tc>
        <w:tc>
          <w:tcPr>
            <w:tcW w:w="980" w:type="dxa"/>
            <w:tcBorders>
              <w:top w:val="single" w:color="auto" w:sz="4" w:space="0"/>
              <w:left w:val="single" w:color="auto" w:sz="4" w:space="0"/>
              <w:bottom w:val="single" w:color="0C0F0C"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912" w:type="dxa"/>
            <w:tcBorders>
              <w:top w:val="single" w:color="auto" w:sz="4" w:space="0"/>
              <w:left w:val="single" w:color="auto" w:sz="4" w:space="0"/>
              <w:bottom w:val="single" w:color="0C0F0C"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1064" w:hRule="atLeast"/>
        </w:trPr>
        <w:tc>
          <w:tcPr>
            <w:tcW w:w="680" w:type="dxa"/>
            <w:vMerge w:val="continue"/>
            <w:tcBorders>
              <w:top w:val="nil"/>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vMerge w:val="restart"/>
            <w:tcBorders>
              <w:top w:val="nil"/>
              <w:left w:val="single" w:color="auto" w:sz="4" w:space="0"/>
              <w:bottom w:val="single" w:color="0C0C0C" w:sz="8" w:space="0"/>
              <w:right w:val="single" w:color="auto" w:sz="4" w:space="0"/>
            </w:tcBorders>
            <w:vAlign w:val="center"/>
          </w:tcPr>
          <w:p>
            <w:pPr>
              <w:pStyle w:val="6"/>
              <w:spacing w:line="240" w:lineRule="auto"/>
              <w:jc w:val="center"/>
              <w:rPr>
                <w:rFonts w:ascii="宋体" w:hAnsi="宋体" w:eastAsia="宋体" w:cs="Times New Roman"/>
                <w:color w:val="111111"/>
                <w:sz w:val="21"/>
                <w:szCs w:val="21"/>
              </w:rPr>
            </w:pPr>
            <w:r>
              <w:rPr>
                <w:rFonts w:hint="eastAsia" w:ascii="宋体" w:hAnsi="宋体" w:eastAsia="宋体" w:cs="Times New Roman"/>
                <w:color w:val="111111"/>
                <w:sz w:val="21"/>
                <w:szCs w:val="21"/>
              </w:rPr>
              <w:t>社会效益</w:t>
            </w:r>
          </w:p>
          <w:p>
            <w:pPr>
              <w:pStyle w:val="6"/>
              <w:spacing w:line="240" w:lineRule="auto"/>
              <w:jc w:val="center"/>
              <w:rPr>
                <w:rFonts w:ascii="宋体" w:hAnsi="宋体" w:eastAsia="宋体" w:cs="Times New Roman"/>
                <w:sz w:val="21"/>
                <w:szCs w:val="21"/>
              </w:rPr>
            </w:pPr>
            <w:r>
              <w:rPr>
                <w:rFonts w:ascii="宋体" w:hAnsi="宋体" w:eastAsia="宋体"/>
                <w:color w:val="111111"/>
                <w:sz w:val="21"/>
                <w:szCs w:val="21"/>
              </w:rPr>
              <w:t>( 10</w:t>
            </w:r>
            <w:r>
              <w:rPr>
                <w:rFonts w:hint="eastAsia" w:ascii="宋体" w:hAnsi="宋体" w:eastAsia="宋体" w:cs="Times New Roman"/>
                <w:color w:val="111111"/>
                <w:sz w:val="21"/>
                <w:szCs w:val="21"/>
              </w:rPr>
              <w:t>分）</w:t>
            </w:r>
          </w:p>
        </w:tc>
        <w:tc>
          <w:tcPr>
            <w:tcW w:w="1620" w:type="dxa"/>
            <w:tcBorders>
              <w:top w:val="single" w:color="0C0F0C" w:sz="8" w:space="0"/>
              <w:left w:val="single" w:color="auto" w:sz="4" w:space="0"/>
              <w:bottom w:val="single" w:color="080808" w:sz="8" w:space="0"/>
              <w:right w:val="single" w:color="auto" w:sz="4" w:space="0"/>
            </w:tcBorders>
            <w:vAlign w:val="center"/>
          </w:tcPr>
          <w:p>
            <w:pPr>
              <w:pStyle w:val="6"/>
              <w:spacing w:line="240" w:lineRule="auto"/>
              <w:ind w:left="77" w:right="88"/>
              <w:jc w:val="center"/>
              <w:rPr>
                <w:rFonts w:ascii="宋体" w:hAnsi="宋体" w:eastAsia="宋体" w:cs="Times New Roman"/>
                <w:sz w:val="21"/>
                <w:szCs w:val="21"/>
              </w:rPr>
            </w:pPr>
            <w:r>
              <w:rPr>
                <w:rFonts w:hint="eastAsia" w:ascii="宋体" w:hAnsi="宋体" w:eastAsia="宋体" w:cs="Times New Roman"/>
                <w:color w:val="111111"/>
                <w:sz w:val="21"/>
                <w:szCs w:val="21"/>
              </w:rPr>
              <w:t>中心服务辐射范围</w:t>
            </w:r>
          </w:p>
          <w:p>
            <w:pPr>
              <w:pStyle w:val="6"/>
              <w:spacing w:line="240" w:lineRule="auto"/>
              <w:ind w:left="178" w:right="88"/>
              <w:jc w:val="center"/>
              <w:rPr>
                <w:rFonts w:ascii="宋体" w:hAnsi="宋体" w:eastAsia="宋体" w:cs="Times New Roman"/>
                <w:sz w:val="21"/>
                <w:szCs w:val="21"/>
              </w:rPr>
            </w:pPr>
            <w:r>
              <w:rPr>
                <w:rFonts w:ascii="宋体" w:hAnsi="宋体" w:eastAsia="宋体"/>
                <w:color w:val="111111"/>
                <w:sz w:val="21"/>
                <w:szCs w:val="21"/>
              </w:rPr>
              <w:t>( 2</w:t>
            </w:r>
            <w:r>
              <w:rPr>
                <w:rFonts w:hint="eastAsia" w:ascii="宋体" w:hAnsi="宋体" w:eastAsia="宋体" w:cs="Times New Roman"/>
                <w:color w:val="111111"/>
                <w:sz w:val="21"/>
                <w:szCs w:val="21"/>
              </w:rPr>
              <w:t>分）</w:t>
            </w:r>
          </w:p>
        </w:tc>
        <w:tc>
          <w:tcPr>
            <w:tcW w:w="4860" w:type="dxa"/>
            <w:tcBorders>
              <w:top w:val="single" w:color="0C0F0C" w:sz="8" w:space="0"/>
              <w:left w:val="single" w:color="auto" w:sz="4" w:space="0"/>
              <w:bottom w:val="single" w:color="080808" w:sz="8" w:space="0"/>
              <w:right w:val="single" w:color="auto" w:sz="4" w:space="0"/>
            </w:tcBorders>
            <w:vAlign w:val="center"/>
          </w:tcPr>
          <w:p>
            <w:pPr>
              <w:pStyle w:val="6"/>
              <w:spacing w:line="240" w:lineRule="auto"/>
              <w:ind w:left="25" w:right="200" w:firstLine="5"/>
              <w:jc w:val="both"/>
              <w:rPr>
                <w:rFonts w:ascii="宋体" w:hAnsi="宋体" w:eastAsia="宋体" w:cs="Times New Roman"/>
                <w:sz w:val="21"/>
                <w:szCs w:val="21"/>
              </w:rPr>
            </w:pPr>
            <w:r>
              <w:rPr>
                <w:rFonts w:hint="eastAsia" w:ascii="宋体" w:hAnsi="宋体" w:eastAsia="宋体" w:cs="Times New Roman"/>
                <w:color w:val="111111"/>
                <w:sz w:val="21"/>
                <w:szCs w:val="21"/>
              </w:rPr>
              <w:t>国有（含国有控股）粮食企业（粮食产量辐射范围</w:t>
            </w:r>
            <w:r>
              <w:rPr>
                <w:rFonts w:ascii="宋体" w:hAnsi="宋体" w:eastAsia="宋体"/>
                <w:color w:val="111111"/>
                <w:sz w:val="21"/>
                <w:szCs w:val="21"/>
              </w:rPr>
              <w:t>3</w:t>
            </w:r>
            <w:r>
              <w:rPr>
                <w:rFonts w:hint="eastAsia" w:ascii="宋体" w:hAnsi="宋体" w:eastAsia="宋体" w:cs="Times New Roman"/>
                <w:color w:val="111111"/>
                <w:sz w:val="21"/>
                <w:szCs w:val="21"/>
              </w:rPr>
              <w:t>万吨），农民合作社（</w:t>
            </w:r>
            <w:r>
              <w:rPr>
                <w:rFonts w:hint="eastAsia" w:ascii="宋体" w:hAnsi="宋体" w:eastAsia="宋体" w:cs="Times New Roman"/>
                <w:color w:val="111111"/>
                <w:spacing w:val="20"/>
                <w:sz w:val="21"/>
                <w:szCs w:val="21"/>
              </w:rPr>
              <w:t>成</w:t>
            </w:r>
            <w:r>
              <w:rPr>
                <w:rFonts w:hint="eastAsia" w:ascii="宋体" w:hAnsi="宋体" w:eastAsia="宋体" w:cs="Times New Roman"/>
                <w:color w:val="111111"/>
                <w:sz w:val="21"/>
                <w:szCs w:val="21"/>
              </w:rPr>
              <w:t>员</w:t>
            </w:r>
            <w:r>
              <w:rPr>
                <w:rFonts w:ascii="宋体" w:hAnsi="宋体" w:eastAsia="宋体"/>
                <w:color w:val="111111"/>
                <w:spacing w:val="1"/>
                <w:sz w:val="21"/>
                <w:szCs w:val="21"/>
              </w:rPr>
              <w:t>100</w:t>
            </w:r>
            <w:r>
              <w:rPr>
                <w:rFonts w:hint="eastAsia" w:ascii="宋体" w:hAnsi="宋体" w:eastAsia="宋体" w:cs="Times New Roman"/>
                <w:color w:val="111111"/>
                <w:spacing w:val="20"/>
                <w:sz w:val="21"/>
                <w:szCs w:val="21"/>
              </w:rPr>
              <w:t>户</w:t>
            </w:r>
            <w:r>
              <w:rPr>
                <w:rFonts w:hint="eastAsia" w:ascii="宋体" w:hAnsi="宋体" w:eastAsia="宋体" w:cs="Times New Roman"/>
                <w:color w:val="111111"/>
                <w:sz w:val="21"/>
                <w:szCs w:val="21"/>
              </w:rPr>
              <w:t>，土地流转</w:t>
            </w:r>
            <w:r>
              <w:rPr>
                <w:rFonts w:ascii="宋体" w:hAnsi="宋体" w:eastAsia="宋体"/>
                <w:color w:val="111111"/>
                <w:sz w:val="21"/>
                <w:szCs w:val="21"/>
              </w:rPr>
              <w:t>1000</w:t>
            </w:r>
            <w:r>
              <w:rPr>
                <w:rFonts w:hint="eastAsia" w:ascii="宋体" w:hAnsi="宋体" w:eastAsia="宋体" w:cs="Times New Roman"/>
                <w:color w:val="111111"/>
                <w:spacing w:val="12"/>
                <w:sz w:val="21"/>
                <w:szCs w:val="21"/>
              </w:rPr>
              <w:t>亩</w:t>
            </w:r>
            <w:r>
              <w:rPr>
                <w:rFonts w:hint="eastAsia" w:ascii="宋体" w:hAnsi="宋体" w:eastAsia="宋体" w:cs="Times New Roman"/>
                <w:color w:val="111111"/>
                <w:sz w:val="21"/>
                <w:szCs w:val="21"/>
              </w:rPr>
              <w:t>，粮食产量</w:t>
            </w:r>
            <w:r>
              <w:rPr>
                <w:rFonts w:ascii="宋体" w:hAnsi="宋体" w:eastAsia="宋体"/>
                <w:color w:val="111111"/>
                <w:spacing w:val="-7"/>
                <w:sz w:val="21"/>
                <w:szCs w:val="21"/>
              </w:rPr>
              <w:t>500</w:t>
            </w:r>
            <w:r>
              <w:rPr>
                <w:rFonts w:hint="eastAsia" w:ascii="宋体" w:hAnsi="宋体" w:eastAsia="宋体" w:cs="Times New Roman"/>
                <w:color w:val="111111"/>
                <w:spacing w:val="5"/>
                <w:sz w:val="21"/>
                <w:szCs w:val="21"/>
              </w:rPr>
              <w:t>吨</w:t>
            </w:r>
            <w:r>
              <w:rPr>
                <w:rFonts w:hint="eastAsia" w:ascii="宋体" w:hAnsi="宋体" w:eastAsia="宋体" w:cs="Times New Roman"/>
                <w:color w:val="111111"/>
                <w:sz w:val="21"/>
                <w:szCs w:val="21"/>
              </w:rPr>
              <w:t>），</w:t>
            </w:r>
            <w:r>
              <w:rPr>
                <w:rFonts w:hint="eastAsia" w:ascii="宋体" w:hAnsi="宋体" w:eastAsia="宋体" w:cs="Times New Roman"/>
                <w:color w:val="111111"/>
                <w:spacing w:val="17"/>
                <w:sz w:val="21"/>
                <w:szCs w:val="21"/>
              </w:rPr>
              <w:t>粮</w:t>
            </w:r>
            <w:r>
              <w:rPr>
                <w:rFonts w:hint="eastAsia" w:ascii="宋体" w:hAnsi="宋体" w:eastAsia="宋体" w:cs="Times New Roman"/>
                <w:color w:val="111111"/>
                <w:sz w:val="21"/>
                <w:szCs w:val="21"/>
              </w:rPr>
              <w:t>油</w:t>
            </w:r>
            <w:r>
              <w:rPr>
                <w:rFonts w:hint="eastAsia" w:ascii="宋体" w:hAnsi="宋体" w:eastAsia="宋体" w:cs="Times New Roman"/>
                <w:color w:val="111111"/>
                <w:spacing w:val="17"/>
                <w:sz w:val="21"/>
                <w:szCs w:val="21"/>
              </w:rPr>
              <w:t>加</w:t>
            </w:r>
            <w:r>
              <w:rPr>
                <w:rFonts w:hint="eastAsia" w:ascii="宋体" w:hAnsi="宋体" w:eastAsia="宋体" w:cs="Times New Roman"/>
                <w:color w:val="111111"/>
                <w:sz w:val="21"/>
                <w:szCs w:val="21"/>
              </w:rPr>
              <w:t>工</w:t>
            </w:r>
            <w:r>
              <w:rPr>
                <w:rFonts w:hint="eastAsia" w:ascii="宋体" w:hAnsi="宋体" w:eastAsia="宋体" w:cs="Times New Roman"/>
                <w:color w:val="111111"/>
                <w:spacing w:val="27"/>
                <w:sz w:val="21"/>
                <w:szCs w:val="21"/>
              </w:rPr>
              <w:t>企</w:t>
            </w:r>
            <w:r>
              <w:rPr>
                <w:rFonts w:hint="eastAsia" w:ascii="宋体" w:hAnsi="宋体" w:eastAsia="宋体" w:cs="Times New Roman"/>
                <w:color w:val="111111"/>
                <w:spacing w:val="21"/>
                <w:sz w:val="21"/>
                <w:szCs w:val="21"/>
              </w:rPr>
              <w:t>业</w:t>
            </w:r>
            <w:r>
              <w:rPr>
                <w:rFonts w:hint="eastAsia" w:ascii="宋体" w:hAnsi="宋体" w:eastAsia="宋体" w:cs="Times New Roman"/>
                <w:color w:val="111111"/>
                <w:sz w:val="21"/>
                <w:szCs w:val="21"/>
              </w:rPr>
              <w:t>等其他主体（大米加</w:t>
            </w:r>
            <w:r>
              <w:rPr>
                <w:rFonts w:hint="eastAsia" w:ascii="宋体" w:hAnsi="宋体" w:eastAsia="宋体" w:cs="Times New Roman"/>
                <w:color w:val="111111"/>
                <w:spacing w:val="-25"/>
                <w:sz w:val="21"/>
                <w:szCs w:val="21"/>
              </w:rPr>
              <w:t> </w:t>
            </w:r>
            <w:r>
              <w:rPr>
                <w:rFonts w:hint="eastAsia" w:ascii="宋体" w:hAnsi="宋体" w:eastAsia="宋体" w:cs="Times New Roman"/>
                <w:color w:val="111111"/>
                <w:spacing w:val="11"/>
                <w:sz w:val="21"/>
                <w:szCs w:val="21"/>
              </w:rPr>
              <w:t>工</w:t>
            </w:r>
            <w:r>
              <w:rPr>
                <w:rFonts w:hint="eastAsia" w:ascii="宋体" w:hAnsi="宋体" w:eastAsia="宋体" w:cs="Times New Roman"/>
                <w:color w:val="111111"/>
                <w:sz w:val="21"/>
                <w:szCs w:val="21"/>
              </w:rPr>
              <w:t>能力</w:t>
            </w:r>
            <w:r>
              <w:rPr>
                <w:rFonts w:ascii="宋体" w:hAnsi="宋体" w:eastAsia="宋体"/>
                <w:color w:val="111111"/>
                <w:spacing w:val="1"/>
                <w:sz w:val="21"/>
                <w:szCs w:val="21"/>
              </w:rPr>
              <w:t>3</w:t>
            </w:r>
            <w:r>
              <w:rPr>
                <w:rFonts w:hint="eastAsia" w:ascii="宋体" w:hAnsi="宋体" w:eastAsia="宋体" w:cs="Times New Roman"/>
                <w:color w:val="111111"/>
                <w:sz w:val="21"/>
                <w:szCs w:val="21"/>
              </w:rPr>
              <w:t>万</w:t>
            </w:r>
            <w:r>
              <w:rPr>
                <w:rFonts w:hint="eastAsia" w:ascii="宋体" w:hAnsi="宋体" w:eastAsia="宋体" w:cs="Times New Roman"/>
                <w:color w:val="111111"/>
                <w:spacing w:val="20"/>
                <w:sz w:val="21"/>
                <w:szCs w:val="21"/>
              </w:rPr>
              <w:t>吨</w:t>
            </w:r>
            <w:r>
              <w:rPr>
                <w:rFonts w:hint="eastAsia" w:ascii="宋体" w:hAnsi="宋体" w:eastAsia="宋体" w:cs="Times New Roman"/>
                <w:color w:val="111111"/>
                <w:spacing w:val="17"/>
                <w:sz w:val="21"/>
                <w:szCs w:val="21"/>
              </w:rPr>
              <w:t>、</w:t>
            </w:r>
            <w:r>
              <w:rPr>
                <w:rFonts w:hint="eastAsia" w:ascii="宋体" w:hAnsi="宋体" w:eastAsia="宋体" w:cs="Times New Roman"/>
                <w:color w:val="111111"/>
                <w:sz w:val="21"/>
                <w:szCs w:val="21"/>
              </w:rPr>
              <w:t>油</w:t>
            </w:r>
            <w:r>
              <w:rPr>
                <w:rFonts w:hint="eastAsia" w:ascii="宋体" w:hAnsi="宋体" w:eastAsia="宋体" w:cs="Times New Roman"/>
                <w:color w:val="111111"/>
                <w:spacing w:val="20"/>
                <w:sz w:val="21"/>
                <w:szCs w:val="21"/>
              </w:rPr>
              <w:t>脂</w:t>
            </w:r>
            <w:r>
              <w:rPr>
                <w:rFonts w:hint="eastAsia" w:ascii="宋体" w:hAnsi="宋体" w:eastAsia="宋体" w:cs="Times New Roman"/>
                <w:color w:val="111111"/>
                <w:spacing w:val="11"/>
                <w:sz w:val="21"/>
                <w:szCs w:val="21"/>
              </w:rPr>
              <w:t>加</w:t>
            </w:r>
            <w:r>
              <w:rPr>
                <w:rFonts w:hint="eastAsia" w:ascii="宋体" w:hAnsi="宋体" w:eastAsia="宋体" w:cs="Times New Roman"/>
                <w:color w:val="111111"/>
                <w:sz w:val="21"/>
                <w:szCs w:val="21"/>
              </w:rPr>
              <w:t>工</w:t>
            </w:r>
            <w:r>
              <w:rPr>
                <w:rFonts w:ascii="宋体" w:hAnsi="宋体" w:eastAsia="宋体"/>
                <w:color w:val="111111"/>
                <w:sz w:val="21"/>
                <w:szCs w:val="21"/>
              </w:rPr>
              <w:t>l</w:t>
            </w:r>
            <w:r>
              <w:rPr>
                <w:rFonts w:hint="eastAsia" w:ascii="宋体" w:hAnsi="宋体" w:eastAsia="宋体" w:cs="Times New Roman"/>
                <w:color w:val="111111"/>
                <w:sz w:val="21"/>
                <w:szCs w:val="21"/>
              </w:rPr>
              <w:t>万</w:t>
            </w:r>
            <w:r>
              <w:rPr>
                <w:rFonts w:hint="eastAsia" w:ascii="宋体" w:hAnsi="宋体" w:eastAsia="宋体" w:cs="Times New Roman"/>
                <w:color w:val="111111"/>
                <w:spacing w:val="12"/>
                <w:sz w:val="21"/>
                <w:szCs w:val="21"/>
              </w:rPr>
              <w:t>吨</w:t>
            </w:r>
            <w:r>
              <w:rPr>
                <w:rFonts w:hint="eastAsia" w:ascii="宋体" w:hAnsi="宋体" w:eastAsia="宋体" w:cs="Times New Roman"/>
                <w:color w:val="111111"/>
                <w:spacing w:val="8"/>
                <w:sz w:val="21"/>
                <w:szCs w:val="21"/>
              </w:rPr>
              <w:t>）</w:t>
            </w:r>
            <w:r>
              <w:rPr>
                <w:rFonts w:hint="eastAsia" w:ascii="宋体" w:hAnsi="宋体" w:eastAsia="宋体" w:cs="Times New Roman"/>
                <w:color w:val="111111"/>
                <w:sz w:val="21"/>
                <w:szCs w:val="21"/>
              </w:rPr>
              <w:t>；</w:t>
            </w:r>
            <w:r>
              <w:rPr>
                <w:rFonts w:hint="eastAsia" w:ascii="宋体" w:hAnsi="宋体" w:eastAsia="宋体" w:cs="Times New Roman"/>
                <w:color w:val="111111"/>
                <w:spacing w:val="12"/>
                <w:sz w:val="21"/>
                <w:szCs w:val="21"/>
              </w:rPr>
              <w:t>不</w:t>
            </w:r>
            <w:r>
              <w:rPr>
                <w:rFonts w:hint="eastAsia" w:ascii="宋体" w:hAnsi="宋体" w:eastAsia="宋体" w:cs="Times New Roman"/>
                <w:color w:val="111111"/>
                <w:sz w:val="21"/>
                <w:szCs w:val="21"/>
              </w:rPr>
              <w:t>符合要求的每发现一处</w:t>
            </w:r>
            <w:r>
              <w:rPr>
                <w:rFonts w:hint="eastAsia" w:ascii="宋体" w:hAnsi="宋体" w:eastAsia="宋体" w:cs="Times New Roman"/>
                <w:color w:val="111111"/>
                <w:spacing w:val="2"/>
                <w:sz w:val="21"/>
                <w:szCs w:val="21"/>
              </w:rPr>
              <w:t>扣</w:t>
            </w:r>
            <w:r>
              <w:rPr>
                <w:rFonts w:ascii="宋体" w:hAnsi="宋体" w:eastAsia="宋体"/>
                <w:color w:val="111111"/>
                <w:sz w:val="21"/>
                <w:szCs w:val="21"/>
              </w:rPr>
              <w:t>0.</w:t>
            </w:r>
            <w:r>
              <w:rPr>
                <w:rFonts w:ascii="宋体" w:hAnsi="宋体" w:eastAsia="宋体"/>
                <w:color w:val="111111"/>
                <w:spacing w:val="-3"/>
                <w:sz w:val="21"/>
                <w:szCs w:val="21"/>
              </w:rPr>
              <w:t>5</w:t>
            </w:r>
            <w:r>
              <w:rPr>
                <w:rFonts w:hint="eastAsia" w:ascii="宋体" w:hAnsi="宋体" w:eastAsia="宋体" w:cs="Times New Roman"/>
                <w:color w:val="111111"/>
                <w:spacing w:val="5"/>
                <w:sz w:val="21"/>
                <w:szCs w:val="21"/>
              </w:rPr>
              <w:t>分</w:t>
            </w:r>
            <w:r>
              <w:rPr>
                <w:rFonts w:hint="eastAsia" w:ascii="宋体" w:hAnsi="宋体" w:eastAsia="宋体" w:cs="Times New Roman"/>
                <w:color w:val="111111"/>
                <w:sz w:val="21"/>
                <w:szCs w:val="21"/>
              </w:rPr>
              <w:t>，</w:t>
            </w:r>
            <w:r>
              <w:rPr>
                <w:rFonts w:hint="eastAsia" w:ascii="宋体" w:hAnsi="宋体" w:eastAsia="宋体" w:cs="Times New Roman"/>
                <w:color w:val="111111"/>
                <w:spacing w:val="11"/>
                <w:sz w:val="21"/>
                <w:szCs w:val="21"/>
              </w:rPr>
              <w:t>扣</w:t>
            </w:r>
            <w:r>
              <w:rPr>
                <w:rFonts w:hint="eastAsia" w:ascii="宋体" w:hAnsi="宋体" w:eastAsia="宋体" w:cs="Times New Roman"/>
                <w:color w:val="111111"/>
                <w:sz w:val="21"/>
                <w:szCs w:val="21"/>
              </w:rPr>
              <w:t>完为止。</w:t>
            </w:r>
          </w:p>
        </w:tc>
        <w:tc>
          <w:tcPr>
            <w:tcW w:w="980" w:type="dxa"/>
            <w:tcBorders>
              <w:top w:val="single" w:color="0C0F0C" w:sz="8" w:space="0"/>
              <w:left w:val="single" w:color="auto" w:sz="4" w:space="0"/>
              <w:bottom w:val="single" w:color="080808"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912" w:type="dxa"/>
            <w:tcBorders>
              <w:top w:val="single" w:color="0C0F0C" w:sz="8" w:space="0"/>
              <w:left w:val="single" w:color="auto" w:sz="4" w:space="0"/>
              <w:bottom w:val="single" w:color="080808"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581" w:hRule="atLeast"/>
        </w:trPr>
        <w:tc>
          <w:tcPr>
            <w:tcW w:w="680" w:type="dxa"/>
            <w:vMerge w:val="continue"/>
            <w:tcBorders>
              <w:top w:val="nil"/>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vMerge w:val="continue"/>
            <w:tcBorders>
              <w:top w:val="nil"/>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620" w:type="dxa"/>
            <w:tcBorders>
              <w:top w:val="single" w:color="080808" w:sz="8" w:space="0"/>
              <w:left w:val="single" w:color="auto" w:sz="4" w:space="0"/>
              <w:bottom w:val="single" w:color="0C0C0C" w:sz="8" w:space="0"/>
              <w:right w:val="single" w:color="auto" w:sz="4" w:space="0"/>
            </w:tcBorders>
            <w:vAlign w:val="center"/>
          </w:tcPr>
          <w:p>
            <w:pPr>
              <w:pStyle w:val="6"/>
              <w:spacing w:line="240" w:lineRule="auto"/>
              <w:ind w:left="165" w:right="99" w:hanging="55"/>
              <w:jc w:val="center"/>
              <w:rPr>
                <w:rFonts w:ascii="宋体" w:hAnsi="宋体" w:eastAsia="宋体" w:cs="Times New Roman"/>
                <w:sz w:val="21"/>
                <w:szCs w:val="21"/>
              </w:rPr>
            </w:pPr>
            <w:r>
              <w:rPr>
                <w:rFonts w:hint="eastAsia" w:ascii="宋体" w:hAnsi="宋体" w:eastAsia="宋体" w:cs="Times New Roman"/>
                <w:color w:val="111111"/>
                <w:sz w:val="21"/>
                <w:szCs w:val="21"/>
              </w:rPr>
              <w:t xml:space="preserve">农民市场议价能力提升 </w:t>
            </w:r>
            <w:r>
              <w:rPr>
                <w:rFonts w:ascii="宋体" w:hAnsi="宋体" w:eastAsia="宋体"/>
                <w:color w:val="111111"/>
                <w:sz w:val="21"/>
                <w:szCs w:val="21"/>
              </w:rPr>
              <w:t>( 2</w:t>
            </w:r>
            <w:r>
              <w:rPr>
                <w:rFonts w:hint="eastAsia" w:ascii="宋体" w:hAnsi="宋体" w:eastAsia="宋体" w:cs="Times New Roman"/>
                <w:color w:val="111111"/>
                <w:sz w:val="21"/>
                <w:szCs w:val="21"/>
              </w:rPr>
              <w:t>分）</w:t>
            </w:r>
          </w:p>
        </w:tc>
        <w:tc>
          <w:tcPr>
            <w:tcW w:w="4860" w:type="dxa"/>
            <w:tcBorders>
              <w:top w:val="single" w:color="080808" w:sz="8" w:space="0"/>
              <w:left w:val="single" w:color="auto" w:sz="4" w:space="0"/>
              <w:bottom w:val="single" w:color="0C0C0C" w:sz="8" w:space="0"/>
              <w:right w:val="single" w:color="auto" w:sz="4" w:space="0"/>
            </w:tcBorders>
            <w:vAlign w:val="center"/>
          </w:tcPr>
          <w:p>
            <w:pPr>
              <w:pStyle w:val="6"/>
              <w:spacing w:line="240" w:lineRule="auto"/>
              <w:ind w:left="32" w:right="262"/>
              <w:jc w:val="both"/>
              <w:rPr>
                <w:rFonts w:ascii="宋体" w:hAnsi="宋体" w:eastAsia="宋体" w:cs="Times New Roman"/>
                <w:sz w:val="21"/>
                <w:szCs w:val="21"/>
              </w:rPr>
            </w:pPr>
            <w:r>
              <w:rPr>
                <w:rFonts w:hint="eastAsia" w:ascii="宋体" w:hAnsi="宋体" w:eastAsia="宋体" w:cs="Times New Roman"/>
                <w:color w:val="111111"/>
                <w:sz w:val="21"/>
                <w:szCs w:val="21"/>
              </w:rPr>
              <w:t>提供保管服务，传递市场信息，疏通交易渠道，以提高农户收入。 不符合要求的 每发现一处扣</w:t>
            </w:r>
            <w:r>
              <w:rPr>
                <w:rFonts w:hint="eastAsia" w:ascii="宋体" w:hAnsi="宋体" w:eastAsia="宋体"/>
                <w:color w:val="111111"/>
                <w:sz w:val="21"/>
                <w:szCs w:val="21"/>
              </w:rPr>
              <w:t>0.5</w:t>
            </w:r>
            <w:r>
              <w:rPr>
                <w:rFonts w:hint="eastAsia" w:ascii="宋体" w:hAnsi="宋体" w:eastAsia="宋体" w:cs="Times New Roman"/>
                <w:color w:val="111111"/>
                <w:sz w:val="21"/>
                <w:szCs w:val="21"/>
              </w:rPr>
              <w:t>分，扣完为止。</w:t>
            </w:r>
          </w:p>
        </w:tc>
        <w:tc>
          <w:tcPr>
            <w:tcW w:w="980" w:type="dxa"/>
            <w:tcBorders>
              <w:top w:val="single" w:color="080808" w:sz="8" w:space="0"/>
              <w:left w:val="single" w:color="auto" w:sz="4" w:space="0"/>
              <w:bottom w:val="single" w:color="0C0C0C"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912" w:type="dxa"/>
            <w:tcBorders>
              <w:top w:val="single" w:color="080808" w:sz="8" w:space="0"/>
              <w:left w:val="single" w:color="auto" w:sz="4" w:space="0"/>
              <w:bottom w:val="single" w:color="0C0C0C"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640" w:hRule="atLeast"/>
        </w:trPr>
        <w:tc>
          <w:tcPr>
            <w:tcW w:w="680" w:type="dxa"/>
            <w:vMerge w:val="continue"/>
            <w:tcBorders>
              <w:top w:val="nil"/>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vMerge w:val="continue"/>
            <w:tcBorders>
              <w:top w:val="nil"/>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620" w:type="dxa"/>
            <w:tcBorders>
              <w:top w:val="single" w:color="0C0C0C" w:sz="8" w:space="0"/>
              <w:left w:val="single" w:color="auto" w:sz="4" w:space="0"/>
              <w:bottom w:val="single" w:color="181818" w:sz="8" w:space="0"/>
              <w:right w:val="single" w:color="auto" w:sz="4" w:space="0"/>
            </w:tcBorders>
            <w:vAlign w:val="center"/>
          </w:tcPr>
          <w:p>
            <w:pPr>
              <w:pStyle w:val="6"/>
              <w:spacing w:line="240" w:lineRule="auto"/>
              <w:ind w:left="158" w:right="7" w:hanging="49"/>
              <w:jc w:val="center"/>
              <w:rPr>
                <w:rFonts w:ascii="宋体" w:hAnsi="宋体" w:eastAsia="宋体" w:cs="Times New Roman"/>
                <w:sz w:val="21"/>
                <w:szCs w:val="21"/>
              </w:rPr>
            </w:pPr>
            <w:r>
              <w:rPr>
                <w:rFonts w:hint="eastAsia" w:ascii="宋体" w:hAnsi="宋体" w:eastAsia="宋体" w:cs="Times New Roman"/>
                <w:color w:val="111111"/>
                <w:sz w:val="21"/>
                <w:szCs w:val="21"/>
              </w:rPr>
              <w:t xml:space="preserve">粮食提质进档得到保障 </w:t>
            </w:r>
            <w:r>
              <w:rPr>
                <w:rFonts w:ascii="宋体" w:hAnsi="宋体" w:eastAsia="宋体"/>
                <w:color w:val="111111"/>
                <w:sz w:val="21"/>
                <w:szCs w:val="21"/>
              </w:rPr>
              <w:t>( 2</w:t>
            </w:r>
            <w:r>
              <w:rPr>
                <w:rFonts w:hint="eastAsia" w:ascii="宋体" w:hAnsi="宋体" w:eastAsia="宋体" w:cs="Times New Roman"/>
                <w:color w:val="111111"/>
                <w:sz w:val="21"/>
                <w:szCs w:val="21"/>
              </w:rPr>
              <w:t>分）</w:t>
            </w:r>
          </w:p>
        </w:tc>
        <w:tc>
          <w:tcPr>
            <w:tcW w:w="4860" w:type="dxa"/>
            <w:tcBorders>
              <w:top w:val="single" w:color="0C0C0C" w:sz="8" w:space="0"/>
              <w:left w:val="single" w:color="auto" w:sz="4" w:space="0"/>
              <w:bottom w:val="single" w:color="181818" w:sz="8" w:space="0"/>
              <w:right w:val="single" w:color="auto" w:sz="4" w:space="0"/>
            </w:tcBorders>
            <w:vAlign w:val="center"/>
          </w:tcPr>
          <w:p>
            <w:pPr>
              <w:pStyle w:val="6"/>
              <w:spacing w:line="240" w:lineRule="auto"/>
              <w:ind w:left="24" w:right="66" w:firstLine="3"/>
              <w:jc w:val="both"/>
              <w:rPr>
                <w:rFonts w:ascii="宋体" w:hAnsi="宋体" w:eastAsia="宋体" w:cs="Times New Roman"/>
                <w:sz w:val="21"/>
                <w:szCs w:val="21"/>
              </w:rPr>
            </w:pPr>
            <w:r>
              <w:rPr>
                <w:rFonts w:hint="eastAsia" w:ascii="宋体" w:hAnsi="宋体" w:eastAsia="宋体" w:cs="Times New Roman"/>
                <w:color w:val="111111"/>
                <w:sz w:val="21"/>
                <w:szCs w:val="21"/>
              </w:rPr>
              <w:t>提供专业化的清理、干燥、分类等服务，按市场需求分等定级、分仓储存、分类加工，有效保障粮食质量；不符合要求的每发现一处扣</w:t>
            </w:r>
            <w:r>
              <w:rPr>
                <w:rFonts w:hint="eastAsia" w:ascii="宋体" w:hAnsi="宋体" w:eastAsia="宋体"/>
                <w:color w:val="111111"/>
                <w:sz w:val="21"/>
                <w:szCs w:val="21"/>
              </w:rPr>
              <w:t>0.5</w:t>
            </w:r>
            <w:r>
              <w:rPr>
                <w:rFonts w:hint="eastAsia" w:ascii="宋体" w:hAnsi="宋体" w:eastAsia="宋体" w:cs="Times New Roman"/>
                <w:color w:val="111111"/>
                <w:sz w:val="21"/>
                <w:szCs w:val="21"/>
              </w:rPr>
              <w:t>分，扣完为止。</w:t>
            </w:r>
          </w:p>
        </w:tc>
        <w:tc>
          <w:tcPr>
            <w:tcW w:w="980" w:type="dxa"/>
            <w:tcBorders>
              <w:top w:val="single" w:color="0C0C0C" w:sz="8" w:space="0"/>
              <w:left w:val="single" w:color="auto" w:sz="4" w:space="0"/>
              <w:bottom w:val="single" w:color="181818"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912" w:type="dxa"/>
            <w:tcBorders>
              <w:top w:val="single" w:color="0C0C0C" w:sz="8" w:space="0"/>
              <w:left w:val="single" w:color="auto" w:sz="4" w:space="0"/>
              <w:bottom w:val="single" w:color="181818"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650" w:hRule="atLeast"/>
        </w:trPr>
        <w:tc>
          <w:tcPr>
            <w:tcW w:w="680" w:type="dxa"/>
            <w:vMerge w:val="continue"/>
            <w:tcBorders>
              <w:top w:val="nil"/>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vMerge w:val="continue"/>
            <w:tcBorders>
              <w:top w:val="nil"/>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620" w:type="dxa"/>
            <w:tcBorders>
              <w:top w:val="single" w:color="181818" w:sz="8" w:space="0"/>
              <w:left w:val="single" w:color="auto" w:sz="4" w:space="0"/>
              <w:bottom w:val="single" w:color="030303" w:sz="8" w:space="0"/>
              <w:right w:val="single" w:color="auto" w:sz="4" w:space="0"/>
            </w:tcBorders>
            <w:vAlign w:val="center"/>
          </w:tcPr>
          <w:p>
            <w:pPr>
              <w:pStyle w:val="6"/>
              <w:spacing w:line="240" w:lineRule="auto"/>
              <w:ind w:left="255" w:right="99" w:hanging="136"/>
              <w:jc w:val="center"/>
              <w:rPr>
                <w:rFonts w:ascii="宋体" w:hAnsi="宋体" w:eastAsia="宋体" w:cs="Times New Roman"/>
                <w:sz w:val="21"/>
                <w:szCs w:val="21"/>
              </w:rPr>
            </w:pPr>
            <w:r>
              <w:rPr>
                <w:rFonts w:hint="eastAsia" w:ascii="宋体" w:hAnsi="宋体" w:eastAsia="宋体" w:cs="Times New Roman"/>
                <w:color w:val="111111"/>
                <w:sz w:val="21"/>
                <w:szCs w:val="21"/>
              </w:rPr>
              <w:t xml:space="preserve">农户储粮损失率降低 </w:t>
            </w:r>
            <w:r>
              <w:rPr>
                <w:rFonts w:ascii="宋体" w:hAnsi="宋体" w:eastAsia="宋体"/>
                <w:color w:val="111111"/>
                <w:sz w:val="21"/>
                <w:szCs w:val="21"/>
              </w:rPr>
              <w:t>( 2</w:t>
            </w:r>
            <w:r>
              <w:rPr>
                <w:rFonts w:hint="eastAsia" w:ascii="宋体" w:hAnsi="宋体" w:eastAsia="宋体" w:cs="Times New Roman"/>
                <w:color w:val="111111"/>
                <w:sz w:val="21"/>
                <w:szCs w:val="21"/>
              </w:rPr>
              <w:t>分）</w:t>
            </w:r>
          </w:p>
        </w:tc>
        <w:tc>
          <w:tcPr>
            <w:tcW w:w="4860" w:type="dxa"/>
            <w:tcBorders>
              <w:top w:val="single" w:color="181818" w:sz="8" w:space="0"/>
              <w:left w:val="single" w:color="auto" w:sz="4" w:space="0"/>
              <w:bottom w:val="single" w:color="030303" w:sz="8" w:space="0"/>
              <w:right w:val="single" w:color="auto" w:sz="4" w:space="0"/>
            </w:tcBorders>
            <w:vAlign w:val="center"/>
          </w:tcPr>
          <w:p>
            <w:pPr>
              <w:pStyle w:val="6"/>
              <w:spacing w:line="240" w:lineRule="auto"/>
              <w:ind w:left="43" w:right="262" w:hanging="9"/>
              <w:jc w:val="both"/>
              <w:rPr>
                <w:rFonts w:ascii="宋体" w:hAnsi="宋体" w:eastAsia="宋体" w:cs="Times New Roman"/>
                <w:sz w:val="21"/>
                <w:szCs w:val="21"/>
              </w:rPr>
            </w:pPr>
            <w:r>
              <w:rPr>
                <w:rFonts w:hint="eastAsia" w:ascii="宋体" w:hAnsi="宋体" w:eastAsia="宋体" w:cs="Times New Roman"/>
                <w:color w:val="111111"/>
                <w:sz w:val="21"/>
                <w:szCs w:val="21"/>
              </w:rPr>
              <w:t>及时处理农民手中收获的粮食，大幅减少农户储粮损失率；每发现一起未及时处理和妥善保管的扣</w:t>
            </w:r>
            <w:r>
              <w:rPr>
                <w:rFonts w:ascii="宋体" w:hAnsi="宋体" w:eastAsia="宋体"/>
                <w:color w:val="111111"/>
                <w:sz w:val="21"/>
                <w:szCs w:val="21"/>
              </w:rPr>
              <w:t>0</w:t>
            </w:r>
            <w:r>
              <w:rPr>
                <w:rFonts w:hint="eastAsia" w:ascii="宋体" w:hAnsi="宋体" w:eastAsia="宋体"/>
                <w:color w:val="2F2F2D"/>
                <w:sz w:val="21"/>
                <w:szCs w:val="21"/>
              </w:rPr>
              <w:t>.</w:t>
            </w:r>
            <w:r>
              <w:rPr>
                <w:rFonts w:ascii="宋体" w:hAnsi="宋体" w:eastAsia="宋体"/>
                <w:color w:val="111111"/>
                <w:sz w:val="21"/>
                <w:szCs w:val="21"/>
              </w:rPr>
              <w:t>5</w:t>
            </w:r>
            <w:r>
              <w:rPr>
                <w:rFonts w:hint="eastAsia" w:ascii="宋体" w:hAnsi="宋体" w:eastAsia="宋体" w:cs="Times New Roman"/>
                <w:color w:val="111111"/>
                <w:sz w:val="21"/>
                <w:szCs w:val="21"/>
              </w:rPr>
              <w:t>分，扣完为止。</w:t>
            </w:r>
          </w:p>
        </w:tc>
        <w:tc>
          <w:tcPr>
            <w:tcW w:w="980" w:type="dxa"/>
            <w:tcBorders>
              <w:top w:val="single" w:color="181818"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912" w:type="dxa"/>
            <w:tcBorders>
              <w:top w:val="single" w:color="181818"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505" w:hRule="atLeast"/>
        </w:trPr>
        <w:tc>
          <w:tcPr>
            <w:tcW w:w="680" w:type="dxa"/>
            <w:vMerge w:val="continue"/>
            <w:tcBorders>
              <w:top w:val="nil"/>
              <w:left w:val="single" w:color="auto" w:sz="4" w:space="0"/>
              <w:bottom w:val="nil"/>
              <w:right w:val="single" w:color="auto" w:sz="4" w:space="0"/>
            </w:tcBorders>
            <w:vAlign w:val="center"/>
          </w:tcPr>
          <w:p>
            <w:pPr>
              <w:widowControl/>
              <w:spacing w:line="240" w:lineRule="auto"/>
              <w:jc w:val="center"/>
              <w:rPr>
                <w:rFonts w:ascii="宋体" w:hAnsi="宋体" w:cs="Times New Roman"/>
                <w:sz w:val="21"/>
                <w:szCs w:val="21"/>
              </w:rPr>
            </w:pPr>
          </w:p>
        </w:tc>
        <w:tc>
          <w:tcPr>
            <w:tcW w:w="116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Times New Roman"/>
                <w:sz w:val="21"/>
                <w:szCs w:val="21"/>
              </w:rPr>
            </w:pPr>
          </w:p>
        </w:tc>
        <w:tc>
          <w:tcPr>
            <w:tcW w:w="162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263" w:right="102" w:hanging="144"/>
              <w:jc w:val="center"/>
              <w:rPr>
                <w:rFonts w:ascii="宋体" w:hAnsi="宋体" w:eastAsia="宋体" w:cs="Times New Roman"/>
                <w:sz w:val="21"/>
                <w:szCs w:val="21"/>
              </w:rPr>
            </w:pPr>
            <w:r>
              <w:rPr>
                <w:rFonts w:hint="eastAsia" w:ascii="宋体" w:hAnsi="宋体" w:eastAsia="宋体" w:cs="Times New Roman"/>
                <w:color w:val="111111"/>
                <w:sz w:val="21"/>
                <w:szCs w:val="21"/>
              </w:rPr>
              <w:t xml:space="preserve">专业化服务水平提升 </w:t>
            </w:r>
            <w:r>
              <w:rPr>
                <w:rFonts w:ascii="宋体" w:hAnsi="宋体" w:eastAsia="宋体"/>
                <w:color w:val="111111"/>
                <w:sz w:val="21"/>
                <w:szCs w:val="21"/>
              </w:rPr>
              <w:t>( 2</w:t>
            </w:r>
            <w:r>
              <w:rPr>
                <w:rFonts w:hint="eastAsia" w:ascii="宋体" w:hAnsi="宋体" w:eastAsia="宋体" w:cs="Times New Roman"/>
                <w:color w:val="111111"/>
                <w:sz w:val="21"/>
                <w:szCs w:val="21"/>
              </w:rPr>
              <w:t>分）</w:t>
            </w:r>
          </w:p>
        </w:tc>
        <w:tc>
          <w:tcPr>
            <w:tcW w:w="486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32" w:right="35" w:hanging="5"/>
              <w:jc w:val="both"/>
              <w:rPr>
                <w:rFonts w:ascii="宋体" w:hAnsi="宋体" w:eastAsia="宋体" w:cs="Times New Roman"/>
                <w:sz w:val="21"/>
                <w:szCs w:val="21"/>
              </w:rPr>
            </w:pPr>
            <w:r>
              <w:rPr>
                <w:rFonts w:hint="eastAsia" w:ascii="宋体" w:hAnsi="宋体" w:eastAsia="宋体" w:cs="Times New Roman"/>
                <w:color w:val="111111"/>
                <w:sz w:val="21"/>
                <w:szCs w:val="21"/>
              </w:rPr>
              <w:t>产后服务中心标识明显、安全生产规范作业制度健全、有让利于民的优惠举措等公开承诺的得满分，一项不符扣</w:t>
            </w:r>
            <w:r>
              <w:rPr>
                <w:rFonts w:hint="eastAsia" w:ascii="宋体" w:hAnsi="宋体" w:eastAsia="宋体"/>
                <w:color w:val="111111"/>
                <w:sz w:val="21"/>
                <w:szCs w:val="21"/>
              </w:rPr>
              <w:t>0.7</w:t>
            </w:r>
            <w:r>
              <w:rPr>
                <w:rFonts w:hint="eastAsia" w:ascii="宋体" w:hAnsi="宋体" w:eastAsia="宋体" w:cs="Times New Roman"/>
                <w:color w:val="2F2F2D"/>
                <w:sz w:val="21"/>
                <w:szCs w:val="21"/>
              </w:rPr>
              <w:t>分</w:t>
            </w:r>
            <w:r>
              <w:rPr>
                <w:rFonts w:hint="eastAsia" w:ascii="宋体" w:hAnsi="宋体" w:eastAsia="宋体" w:cs="Times New Roman"/>
                <w:color w:val="111111"/>
                <w:sz w:val="21"/>
                <w:szCs w:val="21"/>
              </w:rPr>
              <w:t>，扣完为止。</w:t>
            </w:r>
          </w:p>
        </w:tc>
        <w:tc>
          <w:tcPr>
            <w:tcW w:w="98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912"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866" w:hRule="atLeast"/>
        </w:trPr>
        <w:tc>
          <w:tcPr>
            <w:tcW w:w="680" w:type="dxa"/>
            <w:tcBorders>
              <w:top w:val="nil"/>
              <w:left w:val="single" w:color="auto" w:sz="4" w:space="0"/>
              <w:bottom w:val="nil"/>
              <w:right w:val="single" w:color="auto" w:sz="4" w:space="0"/>
            </w:tcBorders>
            <w:vAlign w:val="center"/>
          </w:tcPr>
          <w:p>
            <w:pPr>
              <w:widowControl/>
              <w:spacing w:line="240" w:lineRule="auto"/>
              <w:jc w:val="center"/>
              <w:rPr>
                <w:rFonts w:ascii="宋体" w:hAnsi="宋体" w:cs="Times New Roman"/>
                <w:sz w:val="21"/>
                <w:szCs w:val="21"/>
              </w:rPr>
            </w:pPr>
          </w:p>
        </w:tc>
        <w:tc>
          <w:tcPr>
            <w:tcW w:w="1160" w:type="dxa"/>
            <w:tcBorders>
              <w:top w:val="single" w:color="auto" w:sz="4" w:space="0"/>
              <w:left w:val="single" w:color="auto" w:sz="4" w:space="0"/>
              <w:bottom w:val="nil"/>
              <w:right w:val="single" w:color="auto" w:sz="4" w:space="0"/>
            </w:tcBorders>
            <w:vAlign w:val="center"/>
          </w:tcPr>
          <w:p>
            <w:pPr>
              <w:pStyle w:val="6"/>
              <w:spacing w:line="240" w:lineRule="auto"/>
              <w:ind w:left="131" w:right="126"/>
              <w:jc w:val="center"/>
              <w:rPr>
                <w:rFonts w:ascii="宋体" w:hAnsi="宋体" w:eastAsia="宋体" w:cs="Times New Roman"/>
                <w:color w:val="030503"/>
                <w:sz w:val="21"/>
                <w:szCs w:val="21"/>
              </w:rPr>
            </w:pPr>
          </w:p>
          <w:p>
            <w:pPr>
              <w:pStyle w:val="6"/>
              <w:spacing w:line="240" w:lineRule="auto"/>
              <w:ind w:left="131" w:right="126"/>
              <w:jc w:val="center"/>
              <w:rPr>
                <w:rFonts w:ascii="宋体" w:hAnsi="宋体" w:eastAsia="宋体" w:cs="Times New Roman"/>
                <w:color w:val="030503"/>
                <w:sz w:val="21"/>
                <w:szCs w:val="21"/>
              </w:rPr>
            </w:pPr>
          </w:p>
          <w:p>
            <w:pPr>
              <w:pStyle w:val="6"/>
              <w:spacing w:line="240" w:lineRule="auto"/>
              <w:ind w:left="131" w:right="126"/>
              <w:jc w:val="center"/>
              <w:rPr>
                <w:rFonts w:ascii="宋体" w:hAnsi="宋体" w:eastAsia="宋体" w:cs="Times New Roman"/>
                <w:color w:val="030503"/>
                <w:sz w:val="21"/>
                <w:szCs w:val="21"/>
              </w:rPr>
            </w:pPr>
            <w:r>
              <w:rPr>
                <w:rFonts w:hint="eastAsia" w:ascii="宋体" w:hAnsi="宋体" w:eastAsia="宋体" w:cs="Times New Roman"/>
                <w:color w:val="030503"/>
                <w:sz w:val="21"/>
                <w:szCs w:val="21"/>
              </w:rPr>
              <w:t>生态效益</w:t>
            </w:r>
          </w:p>
          <w:p>
            <w:pPr>
              <w:pStyle w:val="6"/>
              <w:spacing w:line="240" w:lineRule="auto"/>
              <w:ind w:left="131" w:right="126"/>
              <w:jc w:val="center"/>
              <w:rPr>
                <w:rFonts w:ascii="宋体" w:hAnsi="宋体" w:cs="Times New Roman"/>
                <w:sz w:val="21"/>
                <w:szCs w:val="21"/>
              </w:rPr>
            </w:pPr>
            <w:r>
              <w:rPr>
                <w:rFonts w:hint="eastAsia" w:ascii="宋体" w:hAnsi="宋体" w:eastAsia="宋体" w:cs="Times New Roman"/>
                <w:color w:val="030503"/>
                <w:sz w:val="21"/>
                <w:szCs w:val="21"/>
              </w:rPr>
              <w:t>（</w:t>
            </w:r>
            <w:r>
              <w:rPr>
                <w:rFonts w:ascii="宋体" w:hAnsi="宋体" w:eastAsia="宋体"/>
                <w:color w:val="1A1C18"/>
                <w:sz w:val="21"/>
                <w:szCs w:val="21"/>
              </w:rPr>
              <w:t>3</w:t>
            </w:r>
            <w:r>
              <w:rPr>
                <w:rFonts w:hint="eastAsia" w:ascii="宋体" w:hAnsi="宋体" w:eastAsia="宋体" w:cs="Times New Roman"/>
                <w:color w:val="1A1C18"/>
                <w:sz w:val="21"/>
                <w:szCs w:val="21"/>
              </w:rPr>
              <w:t>分）</w:t>
            </w:r>
          </w:p>
        </w:tc>
        <w:tc>
          <w:tcPr>
            <w:tcW w:w="162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50" w:right="16" w:firstLine="45"/>
              <w:jc w:val="center"/>
              <w:rPr>
                <w:rFonts w:ascii="宋体" w:hAnsi="宋体" w:eastAsia="宋体" w:cs="Times New Roman"/>
                <w:sz w:val="21"/>
                <w:szCs w:val="21"/>
              </w:rPr>
            </w:pPr>
            <w:r>
              <w:rPr>
                <w:rFonts w:hint="eastAsia" w:ascii="宋体" w:hAnsi="宋体" w:eastAsia="宋体" w:cs="Times New Roman"/>
                <w:color w:val="1A1C18"/>
                <w:sz w:val="21"/>
                <w:szCs w:val="21"/>
              </w:rPr>
              <w:t xml:space="preserve">无污染粮食等事件及风险 </w:t>
            </w:r>
            <w:r>
              <w:rPr>
                <w:rFonts w:ascii="宋体" w:hAnsi="宋体" w:eastAsia="宋体"/>
                <w:color w:val="1A1C18"/>
                <w:sz w:val="21"/>
                <w:szCs w:val="21"/>
              </w:rPr>
              <w:t>( 1</w:t>
            </w:r>
            <w:r>
              <w:rPr>
                <w:rFonts w:hint="eastAsia" w:ascii="宋体" w:hAnsi="宋体" w:eastAsia="宋体" w:cs="Times New Roman"/>
                <w:color w:val="1A1C18"/>
                <w:sz w:val="21"/>
                <w:szCs w:val="21"/>
              </w:rPr>
              <w:t>分）</w:t>
            </w:r>
          </w:p>
        </w:tc>
        <w:tc>
          <w:tcPr>
            <w:tcW w:w="4860" w:type="dxa"/>
            <w:tcBorders>
              <w:top w:val="single" w:color="030303" w:sz="8" w:space="0"/>
              <w:left w:val="single" w:color="auto" w:sz="4" w:space="0"/>
              <w:bottom w:val="single" w:color="030303" w:sz="8" w:space="0"/>
              <w:right w:val="single" w:color="auto" w:sz="4" w:space="0"/>
            </w:tcBorders>
          </w:tcPr>
          <w:p>
            <w:pPr>
              <w:pStyle w:val="6"/>
              <w:spacing w:line="240" w:lineRule="auto"/>
              <w:ind w:left="22" w:right="88" w:hanging="3"/>
              <w:jc w:val="both"/>
              <w:rPr>
                <w:rFonts w:ascii="宋体" w:hAnsi="宋体" w:eastAsia="宋体" w:cs="Times New Roman"/>
                <w:sz w:val="21"/>
                <w:szCs w:val="21"/>
              </w:rPr>
            </w:pPr>
            <w:r>
              <w:rPr>
                <w:rFonts w:hint="eastAsia" w:ascii="宋体" w:hAnsi="宋体" w:eastAsia="宋体" w:cs="Times New Roman"/>
                <w:color w:val="1A1C18"/>
                <w:sz w:val="21"/>
                <w:szCs w:val="21"/>
              </w:rPr>
              <w:t>设备设施整洁、美观，无杂物堆放等粮食安全风险因素的得满分， 不符合要求的每发现一处扣</w:t>
            </w:r>
            <w:r>
              <w:rPr>
                <w:rFonts w:hint="eastAsia" w:ascii="宋体" w:hAnsi="宋体" w:eastAsia="宋体"/>
                <w:color w:val="1A1C18"/>
                <w:sz w:val="21"/>
                <w:szCs w:val="21"/>
              </w:rPr>
              <w:t>0.25</w:t>
            </w:r>
            <w:r>
              <w:rPr>
                <w:rFonts w:hint="eastAsia" w:ascii="宋体" w:hAnsi="宋体" w:eastAsia="宋体" w:cs="Times New Roman"/>
                <w:color w:val="1A1C18"/>
                <w:sz w:val="21"/>
                <w:szCs w:val="21"/>
              </w:rPr>
              <w:t>分，扣完为止。如发</w:t>
            </w:r>
            <w:r>
              <w:rPr>
                <w:rFonts w:hint="eastAsia" w:ascii="宋体" w:hAnsi="宋体" w:eastAsia="宋体" w:cs="Times New Roman"/>
                <w:color w:val="030503"/>
                <w:sz w:val="21"/>
                <w:szCs w:val="21"/>
              </w:rPr>
              <w:t>生因粮食水分高导致霉变损失的，该项不得分。</w:t>
            </w:r>
          </w:p>
        </w:tc>
        <w:tc>
          <w:tcPr>
            <w:tcW w:w="98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1</w:t>
            </w:r>
          </w:p>
        </w:tc>
        <w:tc>
          <w:tcPr>
            <w:tcW w:w="912"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default" w:ascii="宋体" w:hAnsi="宋体" w:eastAsia="宋体"/>
                <w:sz w:val="21"/>
                <w:szCs w:val="21"/>
                <w:lang w:val="en-US" w:eastAsia="zh-CN"/>
              </w:rPr>
            </w:pPr>
            <w:r>
              <w:rPr>
                <w:rFonts w:hint="eastAsia"/>
                <w:sz w:val="21"/>
                <w:szCs w:val="21"/>
                <w:lang w:val="en-US" w:eastAsia="zh-CN"/>
              </w:rPr>
              <w:t>1</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850" w:hRule="atLeast"/>
        </w:trPr>
        <w:tc>
          <w:tcPr>
            <w:tcW w:w="680" w:type="dxa"/>
            <w:tcBorders>
              <w:top w:val="nil"/>
              <w:left w:val="single" w:color="auto" w:sz="4" w:space="0"/>
              <w:bottom w:val="nil"/>
              <w:right w:val="single" w:color="auto" w:sz="4" w:space="0"/>
            </w:tcBorders>
            <w:vAlign w:val="center"/>
          </w:tcPr>
          <w:p>
            <w:pPr>
              <w:widowControl/>
              <w:spacing w:line="240" w:lineRule="auto"/>
              <w:jc w:val="center"/>
              <w:rPr>
                <w:rFonts w:ascii="宋体" w:hAnsi="宋体" w:cs="Times New Roman"/>
                <w:sz w:val="21"/>
                <w:szCs w:val="21"/>
              </w:rPr>
            </w:pPr>
          </w:p>
        </w:tc>
        <w:tc>
          <w:tcPr>
            <w:tcW w:w="1160"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Times New Roman"/>
                <w:sz w:val="21"/>
                <w:szCs w:val="21"/>
              </w:rPr>
            </w:pPr>
          </w:p>
        </w:tc>
        <w:tc>
          <w:tcPr>
            <w:tcW w:w="162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94" w:right="97" w:hanging="9"/>
              <w:jc w:val="center"/>
              <w:rPr>
                <w:rFonts w:ascii="宋体" w:hAnsi="宋体" w:eastAsia="宋体" w:cs="Times New Roman"/>
                <w:sz w:val="21"/>
                <w:szCs w:val="21"/>
              </w:rPr>
            </w:pPr>
            <w:r>
              <w:rPr>
                <w:rFonts w:hint="eastAsia" w:ascii="宋体" w:hAnsi="宋体" w:eastAsia="宋体" w:cs="Times New Roman"/>
                <w:color w:val="1A1C18"/>
                <w:sz w:val="21"/>
                <w:szCs w:val="21"/>
              </w:rPr>
              <w:t xml:space="preserve">使用符合环保要求的设备，无噪音污染等扰民现象 </w:t>
            </w:r>
            <w:r>
              <w:rPr>
                <w:rFonts w:ascii="宋体" w:hAnsi="宋体" w:eastAsia="宋体"/>
                <w:color w:val="1A1C18"/>
                <w:sz w:val="21"/>
                <w:szCs w:val="21"/>
              </w:rPr>
              <w:t>( 2</w:t>
            </w:r>
            <w:r>
              <w:rPr>
                <w:rFonts w:hint="eastAsia" w:ascii="宋体" w:hAnsi="宋体" w:eastAsia="宋体" w:cs="Times New Roman"/>
                <w:color w:val="1A1C18"/>
                <w:sz w:val="21"/>
                <w:szCs w:val="21"/>
              </w:rPr>
              <w:t>分）</w:t>
            </w:r>
          </w:p>
        </w:tc>
        <w:tc>
          <w:tcPr>
            <w:tcW w:w="4860" w:type="dxa"/>
            <w:tcBorders>
              <w:top w:val="single" w:color="030303" w:sz="8" w:space="0"/>
              <w:left w:val="single" w:color="auto" w:sz="4" w:space="0"/>
              <w:bottom w:val="single" w:color="030303" w:sz="8" w:space="0"/>
              <w:right w:val="single" w:color="auto" w:sz="4" w:space="0"/>
            </w:tcBorders>
          </w:tcPr>
          <w:p>
            <w:pPr>
              <w:pStyle w:val="6"/>
              <w:spacing w:line="240" w:lineRule="auto"/>
              <w:ind w:left="24" w:right="216" w:firstLine="5"/>
              <w:jc w:val="both"/>
              <w:rPr>
                <w:rFonts w:ascii="宋体" w:hAnsi="宋体" w:eastAsia="宋体" w:cs="Times New Roman"/>
                <w:sz w:val="21"/>
                <w:szCs w:val="21"/>
              </w:rPr>
            </w:pPr>
            <w:r>
              <w:rPr>
                <w:rFonts w:hint="eastAsia" w:ascii="宋体" w:hAnsi="宋体" w:eastAsia="宋体" w:cs="Times New Roman"/>
                <w:color w:val="030503"/>
                <w:sz w:val="21"/>
                <w:szCs w:val="21"/>
              </w:rPr>
              <w:t>中心使用符合环保要求的设施设备得</w:t>
            </w:r>
            <w:r>
              <w:rPr>
                <w:rFonts w:hint="eastAsia" w:ascii="宋体" w:hAnsi="宋体" w:eastAsia="宋体"/>
                <w:color w:val="030503"/>
                <w:sz w:val="21"/>
                <w:szCs w:val="21"/>
              </w:rPr>
              <w:t>0.5</w:t>
            </w:r>
            <w:r>
              <w:rPr>
                <w:rFonts w:hint="eastAsia" w:ascii="宋体" w:hAnsi="宋体" w:eastAsia="宋体" w:cs="Times New Roman"/>
                <w:color w:val="1A1C18"/>
                <w:sz w:val="21"/>
                <w:szCs w:val="21"/>
              </w:rPr>
              <w:t>分，设备及场地安装除尘设施得</w:t>
            </w:r>
            <w:r>
              <w:rPr>
                <w:rFonts w:hint="eastAsia" w:ascii="宋体" w:hAnsi="宋体" w:eastAsia="宋体"/>
                <w:color w:val="1A1C18"/>
                <w:sz w:val="21"/>
                <w:szCs w:val="21"/>
              </w:rPr>
              <w:t>0.5</w:t>
            </w:r>
            <w:r>
              <w:rPr>
                <w:rFonts w:hint="eastAsia" w:ascii="宋体" w:hAnsi="宋体" w:eastAsia="宋体" w:cs="Times New Roman"/>
                <w:color w:val="030503"/>
                <w:sz w:val="21"/>
                <w:szCs w:val="21"/>
              </w:rPr>
              <w:t>分，无噪音污染等扰民现象发生，每发现一处（一起） 不合规的扣</w:t>
            </w:r>
            <w:r>
              <w:rPr>
                <w:rFonts w:hint="eastAsia" w:ascii="宋体" w:hAnsi="宋体" w:eastAsia="宋体"/>
                <w:color w:val="030503"/>
                <w:sz w:val="21"/>
                <w:szCs w:val="21"/>
              </w:rPr>
              <w:t>0.5</w:t>
            </w:r>
            <w:r>
              <w:rPr>
                <w:rFonts w:hint="eastAsia" w:ascii="宋体" w:hAnsi="宋体" w:eastAsia="宋体" w:cs="Times New Roman"/>
                <w:color w:val="030503"/>
                <w:sz w:val="21"/>
                <w:szCs w:val="21"/>
              </w:rPr>
              <w:t>分，扣完为止。</w:t>
            </w:r>
          </w:p>
        </w:tc>
        <w:tc>
          <w:tcPr>
            <w:tcW w:w="98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912"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940" w:hRule="atLeast"/>
        </w:trPr>
        <w:tc>
          <w:tcPr>
            <w:tcW w:w="680" w:type="dxa"/>
            <w:tcBorders>
              <w:top w:val="nil"/>
              <w:left w:val="single" w:color="auto" w:sz="4" w:space="0"/>
              <w:bottom w:val="nil"/>
              <w:right w:val="single" w:color="auto" w:sz="4" w:space="0"/>
            </w:tcBorders>
            <w:vAlign w:val="center"/>
          </w:tcPr>
          <w:p>
            <w:pPr>
              <w:widowControl/>
              <w:spacing w:line="240" w:lineRule="auto"/>
              <w:jc w:val="center"/>
              <w:rPr>
                <w:rFonts w:ascii="宋体" w:hAnsi="宋体" w:cs="Times New Roman"/>
                <w:sz w:val="21"/>
                <w:szCs w:val="21"/>
              </w:rPr>
            </w:pPr>
          </w:p>
        </w:tc>
        <w:tc>
          <w:tcPr>
            <w:tcW w:w="1160" w:type="dxa"/>
            <w:tcBorders>
              <w:top w:val="single" w:color="auto" w:sz="4" w:space="0"/>
              <w:left w:val="single" w:color="auto" w:sz="4" w:space="0"/>
              <w:bottom w:val="nil"/>
              <w:right w:val="single" w:color="auto" w:sz="4" w:space="0"/>
            </w:tcBorders>
            <w:vAlign w:val="center"/>
          </w:tcPr>
          <w:p>
            <w:pPr>
              <w:pStyle w:val="6"/>
              <w:spacing w:line="240" w:lineRule="auto"/>
              <w:ind w:left="140" w:right="126"/>
              <w:jc w:val="center"/>
              <w:rPr>
                <w:rFonts w:ascii="宋体" w:hAnsi="宋体" w:eastAsia="宋体" w:cs="Times New Roman"/>
                <w:sz w:val="21"/>
                <w:szCs w:val="21"/>
              </w:rPr>
            </w:pPr>
            <w:r>
              <w:rPr>
                <w:rFonts w:hint="eastAsia" w:ascii="宋体" w:hAnsi="宋体" w:eastAsia="宋体" w:cs="Times New Roman"/>
                <w:color w:val="030503"/>
                <w:sz w:val="21"/>
                <w:szCs w:val="21"/>
              </w:rPr>
              <w:t>可持续影响</w:t>
            </w:r>
          </w:p>
          <w:p>
            <w:pPr>
              <w:pStyle w:val="6"/>
              <w:spacing w:line="240" w:lineRule="auto"/>
              <w:ind w:left="140" w:right="31"/>
              <w:jc w:val="center"/>
              <w:rPr>
                <w:rFonts w:ascii="宋体" w:hAnsi="宋体" w:eastAsia="宋体" w:cs="Times New Roman"/>
                <w:sz w:val="21"/>
                <w:szCs w:val="21"/>
              </w:rPr>
            </w:pPr>
            <w:r>
              <w:rPr>
                <w:rFonts w:ascii="宋体" w:hAnsi="宋体" w:eastAsia="宋体"/>
                <w:color w:val="1A1C18"/>
                <w:sz w:val="21"/>
                <w:szCs w:val="21"/>
              </w:rPr>
              <w:t xml:space="preserve">( 3 </w:t>
            </w:r>
            <w:r>
              <w:rPr>
                <w:rFonts w:hint="eastAsia" w:ascii="宋体" w:hAnsi="宋体" w:eastAsia="宋体" w:cs="Times New Roman"/>
                <w:color w:val="1A1C18"/>
                <w:sz w:val="21"/>
                <w:szCs w:val="21"/>
              </w:rPr>
              <w:t>分）</w:t>
            </w:r>
          </w:p>
        </w:tc>
        <w:tc>
          <w:tcPr>
            <w:tcW w:w="162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97" w:right="96"/>
              <w:jc w:val="center"/>
              <w:rPr>
                <w:rFonts w:ascii="宋体" w:hAnsi="宋体" w:eastAsia="宋体" w:cs="Times New Roman"/>
                <w:sz w:val="21"/>
                <w:szCs w:val="21"/>
              </w:rPr>
            </w:pPr>
            <w:r>
              <w:rPr>
                <w:rFonts w:hint="eastAsia" w:ascii="宋体" w:hAnsi="宋体" w:eastAsia="宋体" w:cs="Times New Roman"/>
                <w:color w:val="1A1C18"/>
                <w:sz w:val="21"/>
                <w:szCs w:val="21"/>
              </w:rPr>
              <w:t>项目产权归属明确</w:t>
            </w:r>
            <w:r>
              <w:rPr>
                <w:rFonts w:ascii="宋体" w:hAnsi="宋体" w:eastAsia="宋体"/>
                <w:color w:val="1A1C18"/>
                <w:sz w:val="21"/>
                <w:szCs w:val="21"/>
              </w:rPr>
              <w:t>( 1</w:t>
            </w:r>
            <w:r>
              <w:rPr>
                <w:rFonts w:hint="eastAsia" w:ascii="宋体" w:hAnsi="宋体" w:eastAsia="宋体" w:cs="Times New Roman"/>
                <w:color w:val="1A1C18"/>
                <w:sz w:val="21"/>
                <w:szCs w:val="21"/>
              </w:rPr>
              <w:t>分）</w:t>
            </w:r>
          </w:p>
        </w:tc>
        <w:tc>
          <w:tcPr>
            <w:tcW w:w="4860" w:type="dxa"/>
            <w:tcBorders>
              <w:top w:val="single" w:color="030303" w:sz="8" w:space="0"/>
              <w:left w:val="single" w:color="auto" w:sz="4" w:space="0"/>
              <w:bottom w:val="single" w:color="030303" w:sz="8" w:space="0"/>
              <w:right w:val="single" w:color="auto" w:sz="4" w:space="0"/>
            </w:tcBorders>
          </w:tcPr>
          <w:p>
            <w:pPr>
              <w:pStyle w:val="6"/>
              <w:spacing w:line="240" w:lineRule="auto"/>
              <w:ind w:left="24" w:right="25" w:hanging="7"/>
              <w:rPr>
                <w:rFonts w:ascii="宋体" w:hAnsi="宋体" w:eastAsia="宋体" w:cs="Times New Roman"/>
                <w:sz w:val="21"/>
                <w:szCs w:val="21"/>
              </w:rPr>
            </w:pPr>
            <w:r>
              <w:rPr>
                <w:rFonts w:hint="eastAsia" w:ascii="宋体" w:hAnsi="宋体" w:eastAsia="宋体" w:cs="Times New Roman"/>
                <w:color w:val="1A1C18"/>
                <w:sz w:val="21"/>
                <w:szCs w:val="21"/>
              </w:rPr>
              <w:t>建立健全“产权清晰、权贵明确、管理科学、诚信高效”的运行机制，每发现一处产权界定不清，权贵不明的扣</w:t>
            </w:r>
            <w:r>
              <w:rPr>
                <w:rFonts w:ascii="宋体" w:hAnsi="宋体" w:eastAsia="宋体"/>
                <w:color w:val="1A1C18"/>
                <w:sz w:val="21"/>
                <w:szCs w:val="21"/>
              </w:rPr>
              <w:t>2. 5</w:t>
            </w:r>
            <w:r>
              <w:rPr>
                <w:rFonts w:hint="eastAsia" w:ascii="宋体" w:hAnsi="宋体" w:eastAsia="宋体" w:cs="Times New Roman"/>
                <w:color w:val="1A1C18"/>
                <w:sz w:val="21"/>
                <w:szCs w:val="21"/>
              </w:rPr>
              <w:t>分，扣完为止。</w:t>
            </w:r>
          </w:p>
        </w:tc>
        <w:tc>
          <w:tcPr>
            <w:tcW w:w="98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1</w:t>
            </w:r>
          </w:p>
        </w:tc>
        <w:tc>
          <w:tcPr>
            <w:tcW w:w="912"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1</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732" w:hRule="atLeast"/>
        </w:trPr>
        <w:tc>
          <w:tcPr>
            <w:tcW w:w="680"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tcBorders>
              <w:top w:val="nil"/>
              <w:left w:val="single" w:color="auto" w:sz="4" w:space="0"/>
              <w:bottom w:val="single" w:color="auto" w:sz="4" w:space="0"/>
              <w:right w:val="single" w:color="auto" w:sz="4" w:space="0"/>
            </w:tcBorders>
            <w:vAlign w:val="center"/>
          </w:tcPr>
          <w:p>
            <w:pPr>
              <w:widowControl/>
              <w:spacing w:line="240" w:lineRule="auto"/>
              <w:rPr>
                <w:rFonts w:ascii="宋体" w:hAnsi="宋体" w:cs="Times New Roman"/>
                <w:sz w:val="21"/>
                <w:szCs w:val="21"/>
              </w:rPr>
            </w:pPr>
          </w:p>
        </w:tc>
        <w:tc>
          <w:tcPr>
            <w:tcW w:w="162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246" w:right="3" w:hanging="145"/>
              <w:jc w:val="center"/>
              <w:rPr>
                <w:rFonts w:ascii="宋体" w:hAnsi="宋体" w:eastAsia="宋体" w:cs="Times New Roman"/>
                <w:sz w:val="21"/>
                <w:szCs w:val="21"/>
              </w:rPr>
            </w:pPr>
            <w:r>
              <w:rPr>
                <w:rFonts w:hint="eastAsia" w:ascii="宋体" w:hAnsi="宋体" w:eastAsia="宋体" w:cs="Times New Roman"/>
                <w:color w:val="1A1C18"/>
                <w:sz w:val="21"/>
                <w:szCs w:val="21"/>
              </w:rPr>
              <w:t>项目建设布局合</w:t>
            </w:r>
            <w:r>
              <w:rPr>
                <w:rFonts w:hint="eastAsia" w:ascii="宋体" w:hAnsi="宋体" w:eastAsia="宋体" w:cs="Times New Roman"/>
                <w:color w:val="030503"/>
                <w:sz w:val="21"/>
                <w:szCs w:val="21"/>
              </w:rPr>
              <w:t xml:space="preserve">理性 </w:t>
            </w:r>
            <w:r>
              <w:rPr>
                <w:rFonts w:ascii="宋体" w:hAnsi="宋体" w:eastAsia="宋体"/>
                <w:color w:val="030503"/>
                <w:sz w:val="21"/>
                <w:szCs w:val="21"/>
              </w:rPr>
              <w:t>( 2</w:t>
            </w:r>
            <w:r>
              <w:rPr>
                <w:rFonts w:hint="eastAsia" w:ascii="宋体" w:hAnsi="宋体" w:eastAsia="宋体" w:cs="Times New Roman"/>
                <w:color w:val="030503"/>
                <w:sz w:val="21"/>
                <w:szCs w:val="21"/>
              </w:rPr>
              <w:t>分）</w:t>
            </w:r>
          </w:p>
        </w:tc>
        <w:tc>
          <w:tcPr>
            <w:tcW w:w="4860" w:type="dxa"/>
            <w:tcBorders>
              <w:top w:val="single" w:color="030303" w:sz="8" w:space="0"/>
              <w:left w:val="single" w:color="auto" w:sz="4" w:space="0"/>
              <w:bottom w:val="single" w:color="030303" w:sz="8" w:space="0"/>
              <w:right w:val="single" w:color="auto" w:sz="4" w:space="0"/>
            </w:tcBorders>
          </w:tcPr>
          <w:p>
            <w:pPr>
              <w:pStyle w:val="6"/>
              <w:spacing w:line="240" w:lineRule="auto"/>
              <w:ind w:left="30" w:right="94" w:firstLine="1"/>
              <w:rPr>
                <w:rFonts w:ascii="宋体" w:hAnsi="宋体" w:eastAsia="宋体" w:cs="Times New Roman"/>
                <w:sz w:val="21"/>
                <w:szCs w:val="21"/>
              </w:rPr>
            </w:pPr>
            <w:r>
              <w:rPr>
                <w:rFonts w:hint="eastAsia" w:ascii="宋体" w:hAnsi="宋体" w:eastAsia="宋体" w:cs="Times New Roman"/>
                <w:color w:val="1A1C18"/>
                <w:sz w:val="21"/>
                <w:szCs w:val="21"/>
              </w:rPr>
              <w:t>粮食产后服务中心建设点分布合理，设备先进，服务功能完善，无严 重重叠现象；每发现一处不符合要求的扣</w:t>
            </w:r>
            <w:r>
              <w:rPr>
                <w:rFonts w:ascii="宋体" w:hAnsi="宋体" w:eastAsia="宋体"/>
                <w:color w:val="1A1C18"/>
                <w:sz w:val="21"/>
                <w:szCs w:val="21"/>
              </w:rPr>
              <w:t>1</w:t>
            </w:r>
            <w:r>
              <w:rPr>
                <w:rFonts w:hint="eastAsia" w:ascii="宋体" w:hAnsi="宋体" w:eastAsia="宋体" w:cs="Times New Roman"/>
                <w:color w:val="1A1C18"/>
                <w:sz w:val="21"/>
                <w:szCs w:val="21"/>
              </w:rPr>
              <w:t>分，扣完为止。</w:t>
            </w:r>
          </w:p>
        </w:tc>
        <w:tc>
          <w:tcPr>
            <w:tcW w:w="98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2</w:t>
            </w:r>
          </w:p>
        </w:tc>
        <w:tc>
          <w:tcPr>
            <w:tcW w:w="912"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eastAsia" w:ascii="宋体" w:hAnsi="宋体" w:eastAsia="宋体"/>
                <w:sz w:val="21"/>
                <w:szCs w:val="21"/>
                <w:lang w:val="en-US" w:eastAsia="zh-CN"/>
              </w:rPr>
            </w:pPr>
            <w:r>
              <w:rPr>
                <w:rFonts w:hint="eastAsia"/>
                <w:sz w:val="21"/>
                <w:szCs w:val="21"/>
                <w:lang w:val="en-US" w:eastAsia="zh-CN"/>
              </w:rPr>
              <w:t>2</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1362" w:hRule="atLeast"/>
        </w:trPr>
        <w:tc>
          <w:tcPr>
            <w:tcW w:w="680" w:type="dxa"/>
            <w:tcBorders>
              <w:top w:val="single" w:color="auto" w:sz="4" w:space="0"/>
              <w:left w:val="single" w:color="auto" w:sz="4" w:space="0"/>
              <w:bottom w:val="nil"/>
              <w:right w:val="single" w:color="auto" w:sz="4" w:space="0"/>
            </w:tcBorders>
            <w:vAlign w:val="center"/>
          </w:tcPr>
          <w:p>
            <w:pPr>
              <w:widowControl/>
              <w:spacing w:line="240" w:lineRule="auto"/>
              <w:jc w:val="center"/>
              <w:rPr>
                <w:rFonts w:ascii="宋体" w:hAnsi="宋体" w:cs="Times New Roman"/>
                <w:color w:val="1A1C18"/>
                <w:kern w:val="0"/>
                <w:sz w:val="21"/>
                <w:szCs w:val="21"/>
              </w:rPr>
            </w:pPr>
          </w:p>
          <w:p>
            <w:pPr>
              <w:widowControl/>
              <w:spacing w:line="240" w:lineRule="auto"/>
              <w:jc w:val="center"/>
              <w:rPr>
                <w:rFonts w:ascii="宋体" w:hAnsi="宋体" w:cs="Times New Roman"/>
                <w:color w:val="1A1C18"/>
                <w:kern w:val="0"/>
                <w:sz w:val="21"/>
                <w:szCs w:val="21"/>
              </w:rPr>
            </w:pPr>
          </w:p>
          <w:p>
            <w:pPr>
              <w:widowControl/>
              <w:spacing w:line="240" w:lineRule="auto"/>
              <w:jc w:val="center"/>
              <w:rPr>
                <w:rFonts w:ascii="宋体" w:hAnsi="宋体" w:cs="Times New Roman"/>
                <w:color w:val="1A1C18"/>
                <w:kern w:val="0"/>
                <w:sz w:val="21"/>
                <w:szCs w:val="21"/>
              </w:rPr>
            </w:pPr>
          </w:p>
          <w:p>
            <w:pPr>
              <w:widowControl/>
              <w:spacing w:line="240" w:lineRule="auto"/>
              <w:jc w:val="center"/>
              <w:rPr>
                <w:rFonts w:ascii="宋体" w:hAnsi="宋体" w:cs="Times New Roman"/>
                <w:color w:val="1A1C18"/>
                <w:kern w:val="0"/>
                <w:sz w:val="21"/>
                <w:szCs w:val="21"/>
              </w:rPr>
            </w:pPr>
            <w:r>
              <w:rPr>
                <w:rFonts w:hint="eastAsia" w:ascii="宋体" w:hAnsi="宋体" w:cs="Times New Roman"/>
                <w:color w:val="1A1C18"/>
                <w:kern w:val="0"/>
                <w:sz w:val="21"/>
                <w:szCs w:val="21"/>
              </w:rPr>
              <w:t>项目满意度</w:t>
            </w:r>
          </w:p>
          <w:p>
            <w:pPr>
              <w:widowControl/>
              <w:spacing w:line="240" w:lineRule="auto"/>
              <w:jc w:val="center"/>
              <w:rPr>
                <w:rFonts w:ascii="宋体" w:hAnsi="宋体" w:cs="Times New Roman"/>
                <w:sz w:val="21"/>
                <w:szCs w:val="21"/>
              </w:rPr>
            </w:pPr>
            <w:r>
              <w:rPr>
                <w:rFonts w:hint="eastAsia" w:ascii="宋体" w:hAnsi="宋体" w:cs="Times New Roman"/>
                <w:color w:val="1A1C18"/>
                <w:kern w:val="0"/>
                <w:sz w:val="21"/>
                <w:szCs w:val="21"/>
              </w:rPr>
              <w:t>（10分</w:t>
            </w:r>
          </w:p>
        </w:tc>
        <w:tc>
          <w:tcPr>
            <w:tcW w:w="1160" w:type="dxa"/>
            <w:tcBorders>
              <w:top w:val="single" w:color="auto" w:sz="4" w:space="0"/>
              <w:left w:val="single" w:color="auto" w:sz="4" w:space="0"/>
              <w:bottom w:val="nil"/>
              <w:right w:val="single" w:color="auto" w:sz="4" w:space="0"/>
            </w:tcBorders>
            <w:vAlign w:val="center"/>
          </w:tcPr>
          <w:p>
            <w:pPr>
              <w:pStyle w:val="6"/>
              <w:spacing w:line="240" w:lineRule="auto"/>
              <w:ind w:left="82" w:right="51" w:hanging="5"/>
              <w:jc w:val="center"/>
              <w:rPr>
                <w:rFonts w:ascii="宋体" w:hAnsi="宋体" w:eastAsia="宋体" w:cs="Times New Roman"/>
                <w:sz w:val="21"/>
                <w:szCs w:val="21"/>
              </w:rPr>
            </w:pPr>
            <w:r>
              <w:rPr>
                <w:rFonts w:hint="eastAsia" w:ascii="宋体" w:hAnsi="宋体" w:eastAsia="宋体" w:cs="Times New Roman"/>
                <w:color w:val="030503"/>
                <w:sz w:val="21"/>
                <w:szCs w:val="21"/>
              </w:rPr>
              <w:t>社会公众或服</w:t>
            </w:r>
            <w:r>
              <w:rPr>
                <w:rFonts w:hint="eastAsia" w:ascii="宋体" w:hAnsi="宋体" w:eastAsia="宋体" w:cs="Times New Roman"/>
                <w:color w:val="1A1C18"/>
                <w:sz w:val="21"/>
                <w:szCs w:val="21"/>
              </w:rPr>
              <w:t>务对象满意度</w:t>
            </w:r>
            <w:r>
              <w:rPr>
                <w:rFonts w:ascii="宋体" w:hAnsi="宋体" w:eastAsia="宋体"/>
                <w:color w:val="1A1C18"/>
                <w:sz w:val="21"/>
                <w:szCs w:val="21"/>
              </w:rPr>
              <w:t xml:space="preserve">( 10 </w:t>
            </w:r>
            <w:r>
              <w:rPr>
                <w:rFonts w:hint="eastAsia" w:ascii="宋体" w:hAnsi="宋体" w:eastAsia="宋体" w:cs="Times New Roman"/>
                <w:color w:val="1A1C18"/>
                <w:sz w:val="21"/>
                <w:szCs w:val="21"/>
              </w:rPr>
              <w:t>分）</w:t>
            </w:r>
          </w:p>
        </w:tc>
        <w:tc>
          <w:tcPr>
            <w:tcW w:w="162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92" w:right="77"/>
              <w:jc w:val="center"/>
              <w:rPr>
                <w:rFonts w:ascii="宋体" w:hAnsi="宋体" w:eastAsia="宋体" w:cs="Times New Roman"/>
                <w:sz w:val="21"/>
                <w:szCs w:val="21"/>
              </w:rPr>
            </w:pPr>
            <w:r>
              <w:rPr>
                <w:rFonts w:hint="eastAsia" w:ascii="宋体" w:hAnsi="宋体" w:eastAsia="宋体" w:cs="Times New Roman"/>
                <w:color w:val="1A1C18"/>
                <w:sz w:val="21"/>
                <w:szCs w:val="21"/>
              </w:rPr>
              <w:t>公众对象满意度</w:t>
            </w:r>
          </w:p>
          <w:p>
            <w:pPr>
              <w:pStyle w:val="6"/>
              <w:spacing w:line="240" w:lineRule="auto"/>
              <w:ind w:left="190" w:right="77"/>
              <w:jc w:val="center"/>
              <w:rPr>
                <w:rFonts w:ascii="宋体" w:hAnsi="宋体" w:eastAsia="宋体" w:cs="Times New Roman"/>
                <w:sz w:val="21"/>
                <w:szCs w:val="21"/>
              </w:rPr>
            </w:pPr>
            <w:r>
              <w:rPr>
                <w:rFonts w:ascii="宋体" w:hAnsi="宋体" w:eastAsia="宋体"/>
                <w:color w:val="1A1C18"/>
                <w:sz w:val="21"/>
                <w:szCs w:val="21"/>
              </w:rPr>
              <w:t>( 5</w:t>
            </w:r>
            <w:r>
              <w:rPr>
                <w:rFonts w:hint="eastAsia" w:ascii="宋体" w:hAnsi="宋体" w:eastAsia="宋体" w:cs="Times New Roman"/>
                <w:color w:val="1A1C18"/>
                <w:sz w:val="21"/>
                <w:szCs w:val="21"/>
              </w:rPr>
              <w:t>分）</w:t>
            </w:r>
          </w:p>
        </w:tc>
        <w:tc>
          <w:tcPr>
            <w:tcW w:w="486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30"/>
              <w:jc w:val="both"/>
              <w:rPr>
                <w:rFonts w:ascii="宋体" w:hAnsi="宋体" w:eastAsia="宋体" w:cs="Times New Roman"/>
                <w:sz w:val="21"/>
                <w:szCs w:val="21"/>
              </w:rPr>
            </w:pPr>
            <w:r>
              <w:rPr>
                <w:rFonts w:hint="eastAsia" w:ascii="宋体" w:hAnsi="宋体" w:eastAsia="宋体" w:cs="Times New Roman"/>
                <w:color w:val="030503"/>
                <w:sz w:val="21"/>
                <w:szCs w:val="21"/>
              </w:rPr>
              <w:t>社会公众满意度达</w:t>
            </w:r>
            <w:r>
              <w:rPr>
                <w:rFonts w:ascii="宋体" w:hAnsi="宋体" w:eastAsia="宋体"/>
                <w:color w:val="030503"/>
                <w:sz w:val="21"/>
                <w:szCs w:val="21"/>
              </w:rPr>
              <w:t>95%</w:t>
            </w:r>
            <w:r>
              <w:rPr>
                <w:rFonts w:hint="eastAsia" w:ascii="宋体" w:hAnsi="宋体" w:eastAsia="宋体" w:cs="Times New Roman"/>
                <w:color w:val="030503"/>
                <w:sz w:val="21"/>
                <w:szCs w:val="21"/>
              </w:rPr>
              <w:t>以上，得</w:t>
            </w:r>
            <w:r>
              <w:rPr>
                <w:rFonts w:ascii="宋体" w:hAnsi="宋体" w:eastAsia="宋体"/>
                <w:color w:val="030503"/>
                <w:sz w:val="21"/>
                <w:szCs w:val="21"/>
              </w:rPr>
              <w:t>5</w:t>
            </w:r>
            <w:r>
              <w:rPr>
                <w:rFonts w:hint="eastAsia" w:ascii="宋体" w:hAnsi="宋体" w:eastAsia="宋体" w:cs="Times New Roman"/>
                <w:color w:val="030503"/>
                <w:sz w:val="21"/>
                <w:szCs w:val="21"/>
              </w:rPr>
              <w:t>分，每降低</w:t>
            </w:r>
            <w:r>
              <w:rPr>
                <w:rFonts w:ascii="宋体" w:hAnsi="宋体" w:eastAsia="宋体"/>
                <w:color w:val="030503"/>
                <w:sz w:val="21"/>
                <w:szCs w:val="21"/>
              </w:rPr>
              <w:t>5</w:t>
            </w:r>
            <w:r>
              <w:rPr>
                <w:rFonts w:hint="eastAsia" w:ascii="宋体" w:hAnsi="宋体" w:eastAsia="宋体" w:cs="Times New Roman"/>
                <w:color w:val="030503"/>
                <w:sz w:val="21"/>
                <w:szCs w:val="21"/>
              </w:rPr>
              <w:t>个百分点扣</w:t>
            </w:r>
            <w:r>
              <w:rPr>
                <w:rFonts w:ascii="宋体" w:hAnsi="宋体" w:eastAsia="宋体"/>
                <w:color w:val="030503"/>
                <w:sz w:val="21"/>
                <w:szCs w:val="21"/>
              </w:rPr>
              <w:t>1</w:t>
            </w:r>
            <w:r>
              <w:rPr>
                <w:rFonts w:hint="eastAsia" w:ascii="宋体" w:hAnsi="宋体" w:eastAsia="宋体" w:cs="Times New Roman"/>
                <w:color w:val="030503"/>
                <w:sz w:val="21"/>
                <w:szCs w:val="21"/>
              </w:rPr>
              <w:t>分，扣完为止。</w:t>
            </w:r>
          </w:p>
        </w:tc>
        <w:tc>
          <w:tcPr>
            <w:tcW w:w="98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5</w:t>
            </w:r>
          </w:p>
        </w:tc>
        <w:tc>
          <w:tcPr>
            <w:tcW w:w="912"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default" w:ascii="宋体" w:hAnsi="宋体" w:eastAsia="宋体"/>
                <w:sz w:val="21"/>
                <w:szCs w:val="21"/>
                <w:lang w:val="en-US" w:eastAsia="zh-CN"/>
              </w:rPr>
            </w:pPr>
            <w:r>
              <w:rPr>
                <w:rFonts w:hint="eastAsia"/>
                <w:sz w:val="21"/>
                <w:szCs w:val="21"/>
                <w:lang w:val="en-US" w:eastAsia="zh-CN"/>
              </w:rPr>
              <w:t>4</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940" w:hRule="atLeast"/>
        </w:trPr>
        <w:tc>
          <w:tcPr>
            <w:tcW w:w="680" w:type="dxa"/>
            <w:tcBorders>
              <w:top w:val="nil"/>
              <w:left w:val="single" w:color="auto" w:sz="4" w:space="0"/>
              <w:bottom w:val="single" w:color="auto" w:sz="4"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tcBorders>
              <w:top w:val="nil"/>
              <w:left w:val="single" w:color="auto" w:sz="4" w:space="0"/>
              <w:bottom w:val="single" w:color="auto" w:sz="4" w:space="0"/>
              <w:right w:val="single" w:color="auto" w:sz="4" w:space="0"/>
            </w:tcBorders>
            <w:vAlign w:val="center"/>
          </w:tcPr>
          <w:p>
            <w:pPr>
              <w:widowControl/>
              <w:spacing w:line="240" w:lineRule="auto"/>
              <w:rPr>
                <w:rFonts w:ascii="宋体" w:hAnsi="宋体" w:cs="Times New Roman"/>
                <w:sz w:val="21"/>
                <w:szCs w:val="21"/>
              </w:rPr>
            </w:pPr>
          </w:p>
        </w:tc>
        <w:tc>
          <w:tcPr>
            <w:tcW w:w="162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96" w:right="78"/>
              <w:jc w:val="center"/>
              <w:rPr>
                <w:rFonts w:ascii="宋体" w:hAnsi="宋体" w:eastAsia="宋体" w:cs="Times New Roman"/>
                <w:sz w:val="21"/>
                <w:szCs w:val="21"/>
              </w:rPr>
            </w:pPr>
            <w:r>
              <w:rPr>
                <w:rFonts w:hint="eastAsia" w:ascii="宋体" w:hAnsi="宋体" w:eastAsia="宋体" w:cs="Times New Roman"/>
                <w:color w:val="030503"/>
                <w:sz w:val="21"/>
                <w:szCs w:val="21"/>
              </w:rPr>
              <w:t>服务对象满意度</w:t>
            </w:r>
          </w:p>
          <w:p>
            <w:pPr>
              <w:pStyle w:val="6"/>
              <w:spacing w:line="240" w:lineRule="auto"/>
              <w:ind w:left="221" w:right="78"/>
              <w:jc w:val="center"/>
              <w:rPr>
                <w:rFonts w:ascii="宋体" w:hAnsi="宋体" w:eastAsia="宋体" w:cs="Times New Roman"/>
                <w:sz w:val="21"/>
                <w:szCs w:val="21"/>
              </w:rPr>
            </w:pPr>
            <w:r>
              <w:rPr>
                <w:rFonts w:ascii="宋体" w:hAnsi="宋体" w:eastAsia="宋体"/>
                <w:color w:val="1A1C18"/>
                <w:sz w:val="21"/>
                <w:szCs w:val="21"/>
              </w:rPr>
              <w:t>( 5</w:t>
            </w:r>
            <w:r>
              <w:rPr>
                <w:rFonts w:hint="eastAsia" w:ascii="宋体" w:hAnsi="宋体" w:eastAsia="宋体" w:cs="Times New Roman"/>
                <w:color w:val="1A1C18"/>
                <w:sz w:val="21"/>
                <w:szCs w:val="21"/>
              </w:rPr>
              <w:t>分）</w:t>
            </w:r>
          </w:p>
        </w:tc>
        <w:tc>
          <w:tcPr>
            <w:tcW w:w="486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ind w:left="32"/>
              <w:jc w:val="both"/>
              <w:rPr>
                <w:rFonts w:ascii="宋体" w:hAnsi="宋体" w:eastAsia="宋体" w:cs="Times New Roman"/>
                <w:sz w:val="21"/>
                <w:szCs w:val="21"/>
              </w:rPr>
            </w:pPr>
            <w:r>
              <w:rPr>
                <w:rFonts w:hint="eastAsia" w:ascii="宋体" w:hAnsi="宋体" w:eastAsia="宋体" w:cs="Times New Roman"/>
                <w:color w:val="030503"/>
                <w:sz w:val="21"/>
                <w:szCs w:val="21"/>
              </w:rPr>
              <w:t xml:space="preserve">服务对象满意度达 </w:t>
            </w:r>
            <w:r>
              <w:rPr>
                <w:rFonts w:ascii="宋体" w:hAnsi="宋体" w:eastAsia="宋体"/>
                <w:color w:val="030503"/>
                <w:sz w:val="21"/>
                <w:szCs w:val="21"/>
              </w:rPr>
              <w:t>95%</w:t>
            </w:r>
            <w:r>
              <w:rPr>
                <w:rFonts w:hint="eastAsia" w:ascii="宋体" w:hAnsi="宋体" w:eastAsia="宋体" w:cs="Times New Roman"/>
                <w:color w:val="030503"/>
                <w:sz w:val="21"/>
                <w:szCs w:val="21"/>
              </w:rPr>
              <w:t>以上，得</w:t>
            </w:r>
            <w:r>
              <w:rPr>
                <w:rFonts w:ascii="宋体" w:hAnsi="宋体" w:eastAsia="宋体"/>
                <w:color w:val="030503"/>
                <w:sz w:val="21"/>
                <w:szCs w:val="21"/>
              </w:rPr>
              <w:t>5</w:t>
            </w:r>
            <w:r>
              <w:rPr>
                <w:rFonts w:hint="eastAsia" w:ascii="宋体" w:hAnsi="宋体" w:eastAsia="宋体" w:cs="Times New Roman"/>
                <w:color w:val="030503"/>
                <w:sz w:val="21"/>
                <w:szCs w:val="21"/>
              </w:rPr>
              <w:t>分，每降低</w:t>
            </w:r>
            <w:r>
              <w:rPr>
                <w:rFonts w:ascii="宋体" w:hAnsi="宋体" w:eastAsia="宋体"/>
                <w:color w:val="030503"/>
                <w:sz w:val="21"/>
                <w:szCs w:val="21"/>
              </w:rPr>
              <w:t>5</w:t>
            </w:r>
            <w:r>
              <w:rPr>
                <w:rFonts w:hint="eastAsia" w:ascii="宋体" w:hAnsi="宋体" w:eastAsia="宋体" w:cs="Times New Roman"/>
                <w:color w:val="030503"/>
                <w:sz w:val="21"/>
                <w:szCs w:val="21"/>
              </w:rPr>
              <w:t>个百分点扣</w:t>
            </w:r>
            <w:r>
              <w:rPr>
                <w:rFonts w:ascii="宋体" w:hAnsi="宋体" w:eastAsia="宋体"/>
                <w:color w:val="030503"/>
                <w:sz w:val="21"/>
                <w:szCs w:val="21"/>
              </w:rPr>
              <w:t>1</w:t>
            </w:r>
            <w:r>
              <w:rPr>
                <w:rFonts w:hint="eastAsia" w:ascii="宋体" w:hAnsi="宋体" w:eastAsia="宋体" w:cs="Times New Roman"/>
                <w:color w:val="030503"/>
                <w:sz w:val="21"/>
                <w:szCs w:val="21"/>
              </w:rPr>
              <w:t>分，扣完为止。</w:t>
            </w:r>
          </w:p>
        </w:tc>
        <w:tc>
          <w:tcPr>
            <w:tcW w:w="980"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5</w:t>
            </w:r>
          </w:p>
        </w:tc>
        <w:tc>
          <w:tcPr>
            <w:tcW w:w="912" w:type="dxa"/>
            <w:tcBorders>
              <w:top w:val="single" w:color="030303" w:sz="8" w:space="0"/>
              <w:left w:val="single" w:color="auto" w:sz="4" w:space="0"/>
              <w:bottom w:val="single" w:color="030303" w:sz="8" w:space="0"/>
              <w:right w:val="single" w:color="auto" w:sz="4" w:space="0"/>
            </w:tcBorders>
            <w:vAlign w:val="center"/>
          </w:tcPr>
          <w:p>
            <w:pPr>
              <w:pStyle w:val="6"/>
              <w:spacing w:line="240" w:lineRule="auto"/>
              <w:jc w:val="center"/>
              <w:rPr>
                <w:rFonts w:hint="default" w:ascii="宋体" w:hAnsi="宋体" w:eastAsia="宋体"/>
                <w:sz w:val="21"/>
                <w:szCs w:val="21"/>
                <w:lang w:val="en-US" w:eastAsia="zh-CN"/>
              </w:rPr>
            </w:pPr>
            <w:r>
              <w:rPr>
                <w:rFonts w:hint="eastAsia"/>
                <w:sz w:val="21"/>
                <w:szCs w:val="21"/>
                <w:lang w:val="en-US" w:eastAsia="zh-CN"/>
              </w:rPr>
              <w:t>4</w:t>
            </w:r>
          </w:p>
        </w:tc>
      </w:tr>
      <w:tr>
        <w:tblPrEx>
          <w:tblBorders>
            <w:top w:val="single" w:color="131313" w:sz="8" w:space="0"/>
            <w:left w:val="single" w:color="131313" w:sz="8" w:space="0"/>
            <w:bottom w:val="single" w:color="131313" w:sz="8" w:space="0"/>
            <w:right w:val="single" w:color="131313" w:sz="8" w:space="0"/>
            <w:insideH w:val="single" w:color="131313" w:sz="8" w:space="0"/>
            <w:insideV w:val="single" w:color="131313" w:sz="8" w:space="0"/>
          </w:tblBorders>
          <w:tblCellMar>
            <w:top w:w="0" w:type="dxa"/>
            <w:left w:w="0" w:type="dxa"/>
            <w:bottom w:w="0" w:type="dxa"/>
            <w:right w:w="0" w:type="dxa"/>
          </w:tblCellMar>
        </w:tblPrEx>
        <w:trPr>
          <w:trHeight w:val="940" w:hRule="atLeast"/>
        </w:trPr>
        <w:tc>
          <w:tcPr>
            <w:tcW w:w="680" w:type="dxa"/>
            <w:tcBorders>
              <w:top w:val="single" w:color="auto" w:sz="4" w:space="0"/>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1160" w:type="dxa"/>
            <w:tcBorders>
              <w:top w:val="single" w:color="auto" w:sz="4" w:space="0"/>
              <w:left w:val="single" w:color="auto" w:sz="4" w:space="0"/>
              <w:bottom w:val="single" w:color="0C0C0C" w:sz="8" w:space="0"/>
              <w:right w:val="single" w:color="auto" w:sz="4" w:space="0"/>
            </w:tcBorders>
            <w:vAlign w:val="center"/>
          </w:tcPr>
          <w:p>
            <w:pPr>
              <w:widowControl/>
              <w:spacing w:line="240" w:lineRule="auto"/>
              <w:jc w:val="center"/>
              <w:rPr>
                <w:rFonts w:ascii="宋体" w:hAnsi="宋体" w:cs="Times New Roman"/>
                <w:sz w:val="21"/>
                <w:szCs w:val="21"/>
              </w:rPr>
            </w:pPr>
          </w:p>
        </w:tc>
        <w:tc>
          <w:tcPr>
            <w:tcW w:w="6480" w:type="dxa"/>
            <w:gridSpan w:val="2"/>
            <w:tcBorders>
              <w:top w:val="single" w:color="030303" w:sz="8" w:space="0"/>
              <w:left w:val="single" w:color="auto" w:sz="4" w:space="0"/>
              <w:bottom w:val="single" w:color="0C0C0C" w:sz="8" w:space="0"/>
              <w:right w:val="single" w:color="auto" w:sz="4" w:space="0"/>
            </w:tcBorders>
            <w:vAlign w:val="center"/>
          </w:tcPr>
          <w:p>
            <w:pPr>
              <w:pStyle w:val="6"/>
              <w:spacing w:line="240" w:lineRule="auto"/>
              <w:ind w:left="30" w:right="94" w:firstLine="1"/>
              <w:jc w:val="center"/>
              <w:rPr>
                <w:rFonts w:ascii="宋体" w:hAnsi="宋体" w:eastAsia="宋体" w:cs="Times New Roman"/>
                <w:color w:val="1A1C18"/>
                <w:sz w:val="21"/>
                <w:szCs w:val="21"/>
              </w:rPr>
            </w:pPr>
            <w:r>
              <w:rPr>
                <w:rFonts w:hint="eastAsia" w:ascii="宋体" w:hAnsi="宋体" w:eastAsia="宋体" w:cs="Times New Roman"/>
                <w:color w:val="1A1C18"/>
                <w:sz w:val="21"/>
                <w:szCs w:val="21"/>
              </w:rPr>
              <w:t>总分</w:t>
            </w:r>
          </w:p>
        </w:tc>
        <w:tc>
          <w:tcPr>
            <w:tcW w:w="980" w:type="dxa"/>
            <w:tcBorders>
              <w:top w:val="single" w:color="030303" w:sz="8" w:space="0"/>
              <w:left w:val="single" w:color="auto" w:sz="4" w:space="0"/>
              <w:bottom w:val="single" w:color="0C0C0C" w:sz="8" w:space="0"/>
              <w:right w:val="single" w:color="auto" w:sz="4" w:space="0"/>
            </w:tcBorders>
            <w:vAlign w:val="center"/>
          </w:tcPr>
          <w:p>
            <w:pPr>
              <w:pStyle w:val="6"/>
              <w:spacing w:line="240" w:lineRule="auto"/>
              <w:jc w:val="center"/>
              <w:rPr>
                <w:rFonts w:ascii="宋体" w:hAnsi="宋体" w:eastAsia="宋体"/>
                <w:sz w:val="21"/>
                <w:szCs w:val="21"/>
              </w:rPr>
            </w:pPr>
            <w:r>
              <w:rPr>
                <w:rFonts w:hint="eastAsia" w:ascii="宋体" w:hAnsi="宋体" w:eastAsia="宋体"/>
                <w:sz w:val="21"/>
                <w:szCs w:val="21"/>
              </w:rPr>
              <w:t>100</w:t>
            </w:r>
          </w:p>
        </w:tc>
        <w:tc>
          <w:tcPr>
            <w:tcW w:w="912" w:type="dxa"/>
            <w:tcBorders>
              <w:top w:val="single" w:color="030303" w:sz="8" w:space="0"/>
              <w:left w:val="single" w:color="auto" w:sz="4" w:space="0"/>
              <w:bottom w:val="single" w:color="0C0C0C" w:sz="8" w:space="0"/>
              <w:right w:val="single" w:color="auto" w:sz="4" w:space="0"/>
            </w:tcBorders>
            <w:vAlign w:val="center"/>
          </w:tcPr>
          <w:p>
            <w:pPr>
              <w:pStyle w:val="6"/>
              <w:spacing w:line="240" w:lineRule="auto"/>
              <w:jc w:val="center"/>
              <w:rPr>
                <w:rFonts w:hint="default" w:ascii="宋体" w:hAnsi="宋体" w:eastAsia="宋体"/>
                <w:sz w:val="21"/>
                <w:szCs w:val="21"/>
                <w:lang w:val="en-US" w:eastAsia="zh-CN"/>
              </w:rPr>
            </w:pPr>
            <w:r>
              <w:rPr>
                <w:rFonts w:hint="eastAsia"/>
                <w:sz w:val="21"/>
                <w:szCs w:val="21"/>
                <w:lang w:val="en-US" w:eastAsia="zh-CN"/>
              </w:rPr>
              <w:t>97</w:t>
            </w:r>
          </w:p>
        </w:tc>
      </w:tr>
    </w:tbl>
    <w:p>
      <w:pPr>
        <w:rPr>
          <w:sz w:val="21"/>
          <w:szCs w:val="21"/>
        </w:rPr>
      </w:pPr>
    </w:p>
    <w:p>
      <w:pPr>
        <w:widowControl/>
        <w:rPr>
          <w:color w:val="111111"/>
        </w:rPr>
        <w:sectPr>
          <w:type w:val="continuous"/>
          <w:pgSz w:w="11920" w:h="16840"/>
          <w:pgMar w:top="1600" w:right="800" w:bottom="1134" w:left="840" w:header="720" w:footer="720" w:gutter="0"/>
          <w:cols w:space="720" w:num="1"/>
        </w:sectPr>
      </w:pPr>
    </w:p>
    <w:p>
      <w:pPr>
        <w:spacing w:before="1"/>
        <w:ind w:left="156"/>
        <w:jc w:val="both"/>
        <w:rPr>
          <w:rFonts w:hint="eastAsia" w:ascii="华文中宋" w:hAnsi="华文中宋" w:eastAsia="华文中宋" w:cs="华文中宋"/>
          <w:sz w:val="21"/>
          <w:szCs w:val="21"/>
        </w:rPr>
        <w:sectPr>
          <w:pgSz w:w="11920" w:h="16840"/>
          <w:pgMar w:top="1480" w:right="800" w:bottom="1560" w:left="840" w:header="720" w:footer="720" w:gutter="0"/>
          <w:cols w:space="720" w:num="1"/>
        </w:sectPr>
      </w:pPr>
    </w:p>
    <w:p/>
    <w:sectPr>
      <w:pgSz w:w="11906" w:h="16838"/>
      <w:pgMar w:top="720" w:right="720" w:bottom="720" w:left="7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wYWY2NGRiN2M1OWMwNDc2YTQ3Yjk5ZGYwOWRlODQifQ=="/>
  </w:docVars>
  <w:rsids>
    <w:rsidRoot w:val="00000000"/>
    <w:rsid w:val="221E3587"/>
    <w:rsid w:val="2986340E"/>
    <w:rsid w:val="334A4D68"/>
    <w:rsid w:val="37555A58"/>
    <w:rsid w:val="3C2D6FA3"/>
    <w:rsid w:val="3D015D3A"/>
    <w:rsid w:val="40F0234E"/>
    <w:rsid w:val="40F76323"/>
    <w:rsid w:val="47AD07EB"/>
    <w:rsid w:val="52800E19"/>
    <w:rsid w:val="57586087"/>
    <w:rsid w:val="5B4812AC"/>
    <w:rsid w:val="5F5C53FD"/>
    <w:rsid w:val="621C34E9"/>
    <w:rsid w:val="71A26FAE"/>
    <w:rsid w:val="727C6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1"/>
    <w:pPr>
      <w:ind w:left="128"/>
      <w:outlineLvl w:val="1"/>
    </w:pPr>
    <w:rPr>
      <w:rFonts w:ascii="方正小标宋简体" w:hAnsi="方正小标宋简体" w:eastAsia="方正小标宋简体" w:cs="方正小标宋简体"/>
      <w:sz w:val="44"/>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仿宋_GB2312" w:hAnsi="仿宋_GB2312" w:eastAsia="仿宋_GB2312" w:cs="仿宋_GB2312"/>
      <w:sz w:val="32"/>
      <w:szCs w:val="32"/>
    </w:rPr>
  </w:style>
  <w:style w:type="paragraph" w:customStyle="1" w:styleId="6">
    <w:name w:val="Table Paragraph"/>
    <w:basedOn w:val="1"/>
    <w:uiPriority w:val="0"/>
    <w:pPr>
      <w:autoSpaceDE w:val="0"/>
      <w:autoSpaceDN w:val="0"/>
      <w:jc w:val="left"/>
    </w:pPr>
    <w:rPr>
      <w:rFonts w:ascii="宋体" w:hAnsi="宋体" w:eastAsia="宋体" w:cs="宋体"/>
      <w:kern w:val="0"/>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8692</Words>
  <Characters>9112</Characters>
  <Lines>0</Lines>
  <Paragraphs>0</Paragraphs>
  <TotalTime>19</TotalTime>
  <ScaleCrop>false</ScaleCrop>
  <LinksUpToDate>false</LinksUpToDate>
  <CharactersWithSpaces>9341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2022-06-10T02:15:00Z</dcterms:created>
  <dc:creator>Administrator</dc:creator>
  <cp:lastModifiedBy>施</cp:lastModifiedBy>
  <cp:lastPrinted>2022-06-13T02:00:20Z</cp:lastPrinted>
  <dcterms:modified xsi:type="dcterms:W3CDTF">2022-06-13T02:04:50Z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6C6924C3630D4D77808CA94CB714B335</vt:lpwstr>
  </property>
</Properties>
</file>