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560" w:lineRule="exact"/>
        <w:jc w:val="center"/>
        <w:textAlignment w:val="auto"/>
        <w:rPr>
          <w:rFonts w:hint="eastAsia" w:ascii="仿宋" w:hAnsi="仿宋" w:eastAsia="仿宋" w:cs="仿宋"/>
          <w:sz w:val="36"/>
          <w:szCs w:val="36"/>
        </w:rPr>
      </w:pPr>
      <w:r>
        <w:rPr>
          <w:rFonts w:hint="eastAsia" w:ascii="仿宋" w:hAnsi="仿宋" w:eastAsia="仿宋" w:cs="仿宋"/>
          <w:b/>
          <w:sz w:val="36"/>
          <w:szCs w:val="36"/>
        </w:rPr>
        <w:t>浮梁县</w:t>
      </w:r>
      <w:r>
        <w:rPr>
          <w:rFonts w:hint="eastAsia" w:ascii="仿宋" w:hAnsi="仿宋" w:eastAsia="仿宋" w:cs="仿宋"/>
          <w:b/>
          <w:sz w:val="36"/>
          <w:szCs w:val="36"/>
          <w:lang w:val="en-US" w:eastAsia="zh-CN"/>
        </w:rPr>
        <w:t>粮食局</w:t>
      </w:r>
      <w:r>
        <w:rPr>
          <w:rFonts w:hint="eastAsia" w:ascii="仿宋" w:hAnsi="仿宋" w:eastAsia="仿宋" w:cs="仿宋"/>
          <w:b/>
          <w:sz w:val="36"/>
          <w:szCs w:val="36"/>
        </w:rPr>
        <w:t>整体支出绩效自评报告</w:t>
      </w:r>
    </w:p>
    <w:p>
      <w:pPr>
        <w:keepNext w:val="0"/>
        <w:keepLines w:val="0"/>
        <w:pageBreakBefore w:val="0"/>
        <w:widowControl w:val="0"/>
        <w:kinsoku/>
        <w:wordWrap/>
        <w:overflowPunct/>
        <w:topLinePunct w:val="0"/>
        <w:autoSpaceDN/>
        <w:bidi w:val="0"/>
        <w:adjustRightInd/>
        <w:snapToGrid/>
        <w:spacing w:line="560" w:lineRule="exact"/>
        <w:textAlignment w:val="auto"/>
        <w:rPr>
          <w:rFonts w:hint="eastAsia" w:ascii="仿宋" w:hAnsi="仿宋" w:eastAsia="仿宋" w:cs="仿宋"/>
          <w:sz w:val="36"/>
          <w:szCs w:val="36"/>
        </w:rPr>
      </w:pPr>
    </w:p>
    <w:p>
      <w:pPr>
        <w:keepNext w:val="0"/>
        <w:keepLines w:val="0"/>
        <w:pageBreakBefore w:val="0"/>
        <w:widowControl w:val="0"/>
        <w:kinsoku/>
        <w:wordWrap/>
        <w:overflowPunct/>
        <w:topLinePunct w:val="0"/>
        <w:autoSpaceDN/>
        <w:bidi w:val="0"/>
        <w:adjustRightInd/>
        <w:snapToGrid/>
        <w:spacing w:line="560" w:lineRule="exact"/>
        <w:textAlignment w:val="auto"/>
        <w:rPr>
          <w:rFonts w:hint="eastAsia" w:ascii="仿宋" w:hAnsi="仿宋" w:eastAsia="仿宋" w:cs="仿宋"/>
          <w:sz w:val="36"/>
          <w:szCs w:val="36"/>
        </w:rPr>
      </w:pPr>
      <w:r>
        <w:rPr>
          <w:rFonts w:hint="eastAsia" w:ascii="仿宋" w:hAnsi="仿宋" w:eastAsia="仿宋" w:cs="仿宋"/>
          <w:sz w:val="36"/>
          <w:szCs w:val="36"/>
        </w:rPr>
        <w:t>浮梁县财政局：</w:t>
      </w:r>
    </w:p>
    <w:p>
      <w:pPr>
        <w:keepNext w:val="0"/>
        <w:keepLines w:val="0"/>
        <w:pageBreakBefore w:val="0"/>
        <w:widowControl w:val="0"/>
        <w:kinsoku/>
        <w:wordWrap/>
        <w:overflowPunct/>
        <w:topLinePunct w:val="0"/>
        <w:autoSpaceDN/>
        <w:bidi w:val="0"/>
        <w:adjustRightInd/>
        <w:snapToGrid/>
        <w:spacing w:line="560" w:lineRule="exact"/>
        <w:ind w:firstLine="720" w:firstLineChars="200"/>
        <w:textAlignment w:val="auto"/>
        <w:rPr>
          <w:rFonts w:hint="eastAsia" w:ascii="仿宋" w:hAnsi="仿宋" w:eastAsia="仿宋" w:cs="仿宋"/>
          <w:sz w:val="36"/>
          <w:szCs w:val="36"/>
        </w:rPr>
      </w:pPr>
      <w:r>
        <w:rPr>
          <w:rFonts w:hint="eastAsia" w:ascii="仿宋" w:hAnsi="仿宋" w:eastAsia="仿宋" w:cs="仿宋"/>
          <w:sz w:val="36"/>
          <w:szCs w:val="36"/>
        </w:rPr>
        <w:t>根据</w:t>
      </w:r>
      <w:r>
        <w:rPr>
          <w:rFonts w:hint="eastAsia" w:ascii="仿宋" w:hAnsi="仿宋" w:eastAsia="仿宋" w:cs="仿宋"/>
          <w:sz w:val="36"/>
          <w:szCs w:val="36"/>
          <w:lang w:eastAsia="zh-CN"/>
        </w:rPr>
        <w:t>浮财绩字</w:t>
      </w:r>
      <w:r>
        <w:rPr>
          <w:rFonts w:hint="eastAsia" w:ascii="仿宋" w:hAnsi="仿宋" w:eastAsia="仿宋" w:cs="仿宋"/>
          <w:sz w:val="36"/>
          <w:szCs w:val="36"/>
          <w:lang w:val="en-US" w:eastAsia="zh-CN"/>
        </w:rPr>
        <w:t>[2022]2号文件精神</w:t>
      </w:r>
      <w:r>
        <w:rPr>
          <w:rFonts w:hint="eastAsia" w:ascii="仿宋" w:hAnsi="仿宋" w:eastAsia="仿宋" w:cs="仿宋"/>
          <w:sz w:val="36"/>
          <w:szCs w:val="36"/>
        </w:rPr>
        <w:t>要求，我局对照预算安排的资金情况，从投入管理指标、产出指标、效果指标和满意度指标，认真开展自评，经自查自评，202</w:t>
      </w:r>
      <w:r>
        <w:rPr>
          <w:rFonts w:hint="eastAsia" w:ascii="仿宋" w:hAnsi="仿宋" w:eastAsia="仿宋" w:cs="仿宋"/>
          <w:sz w:val="36"/>
          <w:szCs w:val="36"/>
          <w:lang w:val="en-US" w:eastAsia="zh-CN"/>
        </w:rPr>
        <w:t>1</w:t>
      </w:r>
      <w:r>
        <w:rPr>
          <w:rFonts w:hint="eastAsia" w:ascii="仿宋" w:hAnsi="仿宋" w:eastAsia="仿宋" w:cs="仿宋"/>
          <w:sz w:val="36"/>
          <w:szCs w:val="36"/>
        </w:rPr>
        <w:t>年度我局各项指标任务总体评价较好，现有关绩效自评报告如下：</w:t>
      </w:r>
    </w:p>
    <w:p>
      <w:pPr>
        <w:keepNext w:val="0"/>
        <w:keepLines w:val="0"/>
        <w:pageBreakBefore w:val="0"/>
        <w:widowControl w:val="0"/>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sz w:val="36"/>
          <w:szCs w:val="36"/>
        </w:rPr>
      </w:pPr>
      <w:r>
        <w:rPr>
          <w:rFonts w:hint="eastAsia" w:ascii="仿宋" w:hAnsi="仿宋" w:eastAsia="仿宋" w:cs="仿宋"/>
          <w:b/>
          <w:sz w:val="36"/>
          <w:szCs w:val="36"/>
        </w:rPr>
        <w:t>一、</w:t>
      </w:r>
      <w:r>
        <w:rPr>
          <w:rFonts w:hint="eastAsia" w:ascii="仿宋" w:hAnsi="仿宋" w:eastAsia="仿宋" w:cs="仿宋"/>
          <w:b/>
          <w:sz w:val="36"/>
          <w:szCs w:val="36"/>
          <w:lang w:eastAsia="zh-CN"/>
        </w:rPr>
        <w:t>基本</w:t>
      </w:r>
      <w:r>
        <w:rPr>
          <w:rFonts w:hint="eastAsia" w:ascii="仿宋" w:hAnsi="仿宋" w:eastAsia="仿宋" w:cs="仿宋"/>
          <w:b/>
          <w:sz w:val="36"/>
          <w:szCs w:val="36"/>
        </w:rPr>
        <w:t>概况</w:t>
      </w:r>
    </w:p>
    <w:p>
      <w:pPr>
        <w:keepNext w:val="0"/>
        <w:keepLines w:val="0"/>
        <w:pageBreakBefore w:val="0"/>
        <w:widowControl w:val="0"/>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sz w:val="36"/>
          <w:szCs w:val="36"/>
        </w:rPr>
      </w:pPr>
      <w:r>
        <w:rPr>
          <w:rFonts w:hint="eastAsia" w:ascii="仿宋" w:hAnsi="仿宋" w:eastAsia="仿宋" w:cs="仿宋"/>
          <w:b/>
          <w:sz w:val="36"/>
          <w:szCs w:val="36"/>
        </w:rPr>
        <w:t>（一）主要职责职能，组织架构，人员及资产等基本情况</w:t>
      </w:r>
    </w:p>
    <w:p>
      <w:pPr>
        <w:keepNext w:val="0"/>
        <w:keepLines w:val="0"/>
        <w:pageBreakBefore w:val="0"/>
        <w:widowControl w:val="0"/>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sz w:val="36"/>
          <w:szCs w:val="36"/>
        </w:rPr>
      </w:pPr>
      <w:r>
        <w:rPr>
          <w:rFonts w:hint="eastAsia" w:ascii="仿宋" w:hAnsi="仿宋" w:eastAsia="仿宋" w:cs="仿宋"/>
          <w:b/>
          <w:sz w:val="36"/>
          <w:szCs w:val="36"/>
        </w:rPr>
        <w:t>1</w:t>
      </w:r>
      <w:r>
        <w:rPr>
          <w:rFonts w:hint="eastAsia" w:ascii="仿宋" w:hAnsi="仿宋" w:eastAsia="仿宋" w:cs="仿宋"/>
          <w:b/>
          <w:sz w:val="36"/>
          <w:szCs w:val="36"/>
          <w:lang w:eastAsia="zh-CN"/>
        </w:rPr>
        <w:t>.</w:t>
      </w:r>
      <w:r>
        <w:rPr>
          <w:rFonts w:hint="eastAsia" w:ascii="仿宋" w:hAnsi="仿宋" w:eastAsia="仿宋" w:cs="仿宋"/>
          <w:b/>
          <w:sz w:val="36"/>
          <w:szCs w:val="36"/>
        </w:rPr>
        <w:t>部门职责职能</w:t>
      </w:r>
    </w:p>
    <w:p>
      <w:pPr>
        <w:spacing w:before="100" w:beforeAutospacing="1" w:after="100" w:afterAutospacing="1" w:line="315" w:lineRule="atLeast"/>
        <w:ind w:firstLine="720" w:firstLineChars="200"/>
        <w:rPr>
          <w:rFonts w:hint="eastAsia" w:ascii="仿宋" w:hAnsi="仿宋" w:eastAsia="仿宋" w:cs="仿宋"/>
          <w:sz w:val="36"/>
          <w:szCs w:val="36"/>
        </w:rPr>
      </w:pPr>
      <w:r>
        <w:rPr>
          <w:rFonts w:hint="eastAsia" w:ascii="仿宋" w:hAnsi="仿宋" w:eastAsia="仿宋" w:cs="仿宋"/>
          <w:sz w:val="36"/>
          <w:szCs w:val="36"/>
        </w:rPr>
        <w:t>（1）、贯彻执行国家和省、市、县有关粮食管理的方针、政策和法规，按照国家有关政策和省、市、县政府统一部署，拟定全县粮食流通体制改革和粮食流通管理有关政策和规章制度。</w:t>
      </w:r>
    </w:p>
    <w:p>
      <w:pPr>
        <w:spacing w:before="100" w:beforeAutospacing="1" w:after="100" w:afterAutospacing="1" w:line="315" w:lineRule="atLeast"/>
        <w:ind w:firstLine="720" w:firstLineChars="200"/>
        <w:rPr>
          <w:rFonts w:hint="eastAsia" w:ascii="仿宋" w:hAnsi="仿宋" w:eastAsia="仿宋" w:cs="仿宋"/>
          <w:sz w:val="36"/>
          <w:szCs w:val="36"/>
        </w:rPr>
      </w:pPr>
      <w:r>
        <w:rPr>
          <w:rFonts w:hint="eastAsia" w:ascii="仿宋" w:hAnsi="仿宋" w:eastAsia="仿宋" w:cs="仿宋"/>
          <w:sz w:val="36"/>
          <w:szCs w:val="36"/>
        </w:rPr>
        <w:t>（2）、制定全县粮食流通中长期发展计划，实施对全县粮食市场的宏观调控，保障各类政策性粮食供应，负责全县军粮供应与管理，起草粮食应急预案，在重大自然灾害、重大疫情或其它突发事件引起粮食市场异常波动时，提出启动粮食应急预案的建议与参与组织实施，指导全县粮食批发交易市场建设。</w:t>
      </w:r>
    </w:p>
    <w:p>
      <w:pPr>
        <w:spacing w:before="100" w:beforeAutospacing="1" w:after="100" w:afterAutospacing="1" w:line="315" w:lineRule="atLeast"/>
        <w:ind w:firstLine="720" w:firstLineChars="200"/>
        <w:rPr>
          <w:rFonts w:hint="eastAsia" w:ascii="仿宋" w:hAnsi="仿宋" w:eastAsia="仿宋" w:cs="仿宋"/>
          <w:sz w:val="36"/>
          <w:szCs w:val="36"/>
        </w:rPr>
      </w:pPr>
      <w:r>
        <w:rPr>
          <w:rFonts w:hint="eastAsia" w:ascii="仿宋" w:hAnsi="仿宋" w:eastAsia="仿宋" w:cs="仿宋"/>
          <w:sz w:val="36"/>
          <w:szCs w:val="36"/>
        </w:rPr>
        <w:t>（3）、负责对粮食经营者从事粮食收购的资格审核，实施行政许可，承担在县工商管理局登记注册的粮食经营从事粮食收购的资格审核及施行许可工作，负责对全县粮食流通市场各经营主体执行有关粮食流通的法律、法规、政策及各项规章情况进行监督检查，依法查处违规违纪行为，负责粮食行政案件核查，参与行政诉讼，指导全县国有粮食企业改革。</w:t>
      </w:r>
    </w:p>
    <w:p>
      <w:pPr>
        <w:spacing w:before="100" w:beforeAutospacing="1" w:after="100" w:afterAutospacing="1" w:line="315" w:lineRule="atLeast"/>
        <w:ind w:firstLine="720" w:firstLineChars="200"/>
        <w:rPr>
          <w:rFonts w:hint="eastAsia" w:ascii="仿宋" w:hAnsi="仿宋" w:eastAsia="仿宋" w:cs="仿宋"/>
          <w:sz w:val="36"/>
          <w:szCs w:val="36"/>
        </w:rPr>
      </w:pPr>
      <w:r>
        <w:rPr>
          <w:rFonts w:hint="eastAsia" w:ascii="仿宋" w:hAnsi="仿宋" w:eastAsia="仿宋" w:cs="仿宋"/>
          <w:sz w:val="36"/>
          <w:szCs w:val="36"/>
        </w:rPr>
        <w:t>（4）、负责全县社会粮食流通的统计工作，审核汇总全县社会粮油商品统计报表，组织开展县内粮食流通统计调查，会同有关部门负责粮食市场供应形势和价格的监测以及预警分析，建立粮食供需抽查制度，开展粮食生产、消费、价格、质量等统计信息发布和咨询，对执行国家粮食流通统计制度情况进行监督检查。</w:t>
      </w:r>
    </w:p>
    <w:p>
      <w:pPr>
        <w:spacing w:before="100" w:beforeAutospacing="1" w:after="100" w:afterAutospacing="1" w:line="315" w:lineRule="atLeast"/>
        <w:ind w:firstLine="720" w:firstLineChars="200"/>
        <w:rPr>
          <w:rFonts w:hint="eastAsia" w:ascii="仿宋" w:hAnsi="仿宋" w:eastAsia="仿宋" w:cs="仿宋"/>
          <w:sz w:val="36"/>
          <w:szCs w:val="36"/>
        </w:rPr>
      </w:pPr>
      <w:r>
        <w:rPr>
          <w:rFonts w:hint="eastAsia" w:ascii="仿宋" w:hAnsi="仿宋" w:eastAsia="仿宋" w:cs="仿宋"/>
          <w:sz w:val="36"/>
          <w:szCs w:val="36"/>
        </w:rPr>
        <w:t>（5）、负责提出全县粮食流通基础设施专项建设规划的建议，并指导实施，拟定储备粮油技术操作规程，承担中央储备与省级储备代储资格的受理报批，研究提出县级储备粮油规模、总体规划布局，负责县级储备粮承储企业的资格认定，以及县级储备粮的质量和数量管理，承担对全县储备粮油储存设备的登记、统计和使用管理，协调实施救灾、应急政策性用粮等重要物资的调运。</w:t>
      </w:r>
    </w:p>
    <w:p>
      <w:pPr>
        <w:spacing w:before="100" w:beforeAutospacing="1" w:after="100" w:afterAutospacing="1" w:line="315" w:lineRule="atLeast"/>
        <w:ind w:firstLine="720" w:firstLineChars="200"/>
        <w:rPr>
          <w:rFonts w:hint="eastAsia" w:ascii="仿宋" w:hAnsi="仿宋" w:eastAsia="仿宋" w:cs="仿宋"/>
          <w:sz w:val="36"/>
          <w:szCs w:val="36"/>
        </w:rPr>
      </w:pPr>
      <w:r>
        <w:rPr>
          <w:rFonts w:hint="eastAsia" w:ascii="仿宋" w:hAnsi="仿宋" w:eastAsia="仿宋" w:cs="仿宋"/>
          <w:sz w:val="36"/>
          <w:szCs w:val="36"/>
        </w:rPr>
        <w:t>（6）、负责全县粮食流通的行业指导，制定并实施行业发展规划，制定全行业技术操作规程，组织协调全县粮食行业的教育培训、科研活动及科技成果推广和鉴定，负责全行业的对外交流与合作。</w:t>
      </w:r>
    </w:p>
    <w:p>
      <w:pPr>
        <w:spacing w:before="100" w:beforeAutospacing="1" w:after="100" w:afterAutospacing="1" w:line="315" w:lineRule="atLeast"/>
        <w:ind w:firstLine="720" w:firstLineChars="200"/>
        <w:rPr>
          <w:rFonts w:hint="eastAsia" w:ascii="仿宋" w:hAnsi="仿宋" w:eastAsia="仿宋" w:cs="仿宋"/>
          <w:sz w:val="36"/>
          <w:szCs w:val="36"/>
        </w:rPr>
      </w:pPr>
      <w:r>
        <w:rPr>
          <w:rFonts w:hint="eastAsia" w:ascii="仿宋" w:hAnsi="仿宋" w:eastAsia="仿宋" w:cs="仿宋"/>
          <w:sz w:val="36"/>
          <w:szCs w:val="36"/>
        </w:rPr>
        <w:t>（7）、草拟粮食行业产品地方质量标准，协同质量技术监督部门做好地方粮食质量标准的管理工作。</w:t>
      </w:r>
    </w:p>
    <w:p>
      <w:pPr>
        <w:spacing w:before="100" w:beforeAutospacing="1" w:after="100" w:afterAutospacing="1" w:line="315" w:lineRule="atLeast"/>
        <w:ind w:firstLine="720" w:firstLineChars="200"/>
        <w:rPr>
          <w:rFonts w:hint="eastAsia" w:ascii="仿宋" w:hAnsi="仿宋" w:eastAsia="仿宋" w:cs="仿宋"/>
          <w:sz w:val="36"/>
          <w:szCs w:val="36"/>
        </w:rPr>
      </w:pPr>
      <w:r>
        <w:rPr>
          <w:rFonts w:hint="eastAsia" w:ascii="仿宋" w:hAnsi="仿宋" w:eastAsia="仿宋" w:cs="仿宋"/>
          <w:sz w:val="36"/>
          <w:szCs w:val="36"/>
        </w:rPr>
        <w:t>（8）、指导全县粮食财务工作，研究拟定全县国有及国有控股粮食企业财务管理办法及会计核算办法，负责审核汇总全县国有及国有控股粮食企业财务报表，负责经审计认定的政策性粮食财务挂账管理，指导粮食系统内部审计工作，负责对县粮食局下属单位国有资产实施监管。</w:t>
      </w:r>
    </w:p>
    <w:p>
      <w:pPr>
        <w:spacing w:before="100" w:beforeAutospacing="1" w:after="100" w:afterAutospacing="1" w:line="315" w:lineRule="atLeast"/>
        <w:ind w:firstLine="720" w:firstLineChars="200"/>
        <w:rPr>
          <w:rFonts w:hint="eastAsia" w:ascii="仿宋" w:hAnsi="仿宋" w:eastAsia="仿宋" w:cs="仿宋"/>
          <w:sz w:val="36"/>
          <w:szCs w:val="36"/>
        </w:rPr>
      </w:pPr>
      <w:r>
        <w:rPr>
          <w:rFonts w:hint="eastAsia" w:ascii="仿宋" w:hAnsi="仿宋" w:eastAsia="仿宋" w:cs="仿宋"/>
          <w:sz w:val="36"/>
          <w:szCs w:val="36"/>
        </w:rPr>
        <w:t>（9）承办县政府交办的其他工作。</w:t>
      </w:r>
    </w:p>
    <w:p>
      <w:pPr>
        <w:keepNext w:val="0"/>
        <w:keepLines w:val="0"/>
        <w:pageBreakBefore w:val="0"/>
        <w:widowControl w:val="0"/>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sz w:val="36"/>
          <w:szCs w:val="36"/>
        </w:rPr>
      </w:pPr>
      <w:r>
        <w:rPr>
          <w:rFonts w:hint="eastAsia" w:ascii="仿宋" w:hAnsi="仿宋" w:eastAsia="仿宋" w:cs="仿宋"/>
          <w:b/>
          <w:sz w:val="36"/>
          <w:szCs w:val="36"/>
        </w:rPr>
        <w:t>2</w:t>
      </w:r>
      <w:r>
        <w:rPr>
          <w:rFonts w:hint="eastAsia" w:ascii="仿宋" w:hAnsi="仿宋" w:eastAsia="仿宋" w:cs="仿宋"/>
          <w:b/>
          <w:sz w:val="36"/>
          <w:szCs w:val="36"/>
          <w:lang w:eastAsia="zh-CN"/>
        </w:rPr>
        <w:t>.</w:t>
      </w:r>
      <w:r>
        <w:rPr>
          <w:rFonts w:hint="eastAsia" w:ascii="仿宋" w:hAnsi="仿宋" w:eastAsia="仿宋" w:cs="仿宋"/>
          <w:b/>
          <w:sz w:val="36"/>
          <w:szCs w:val="36"/>
        </w:rPr>
        <w:t>部门机构设置及人员情况</w:t>
      </w:r>
    </w:p>
    <w:p>
      <w:pPr>
        <w:snapToGrid w:val="0"/>
        <w:spacing w:line="520" w:lineRule="exact"/>
        <w:ind w:firstLine="720" w:firstLineChars="200"/>
        <w:rPr>
          <w:rFonts w:hint="eastAsia" w:ascii="仿宋" w:hAnsi="仿宋" w:eastAsia="仿宋" w:cs="仿宋"/>
          <w:sz w:val="36"/>
          <w:szCs w:val="36"/>
          <w:highlight w:val="yellow"/>
        </w:rPr>
      </w:pPr>
      <w:r>
        <w:rPr>
          <w:rFonts w:hint="eastAsia" w:ascii="仿宋" w:hAnsi="仿宋" w:eastAsia="仿宋" w:cs="仿宋"/>
          <w:sz w:val="36"/>
          <w:szCs w:val="36"/>
        </w:rPr>
        <w:t>本单位为人民政府工作部门，下设六个职能股（室）：党政办，调控股，行业管理股，财务审计股，监督检查股，粮食执法大队</w:t>
      </w:r>
      <w:r>
        <w:rPr>
          <w:rFonts w:hint="eastAsia" w:ascii="仿宋" w:hAnsi="仿宋" w:eastAsia="仿宋" w:cs="仿宋"/>
          <w:sz w:val="36"/>
          <w:szCs w:val="36"/>
          <w:lang w:eastAsia="zh-CN"/>
        </w:rPr>
        <w:t>。</w:t>
      </w:r>
    </w:p>
    <w:p>
      <w:pPr>
        <w:snapToGrid w:val="0"/>
        <w:spacing w:line="520" w:lineRule="exact"/>
        <w:ind w:firstLine="720" w:firstLineChars="200"/>
        <w:rPr>
          <w:rFonts w:hint="eastAsia" w:ascii="仿宋" w:hAnsi="仿宋" w:eastAsia="仿宋" w:cs="仿宋"/>
          <w:sz w:val="36"/>
          <w:szCs w:val="36"/>
        </w:rPr>
      </w:pPr>
      <w:r>
        <w:rPr>
          <w:rFonts w:hint="eastAsia" w:ascii="仿宋" w:hAnsi="仿宋" w:eastAsia="仿宋" w:cs="仿宋"/>
          <w:sz w:val="36"/>
          <w:szCs w:val="36"/>
        </w:rPr>
        <w:t>3．人员情况，本部门20</w:t>
      </w:r>
      <w:r>
        <w:rPr>
          <w:rFonts w:hint="eastAsia" w:ascii="仿宋" w:hAnsi="仿宋" w:eastAsia="仿宋" w:cs="仿宋"/>
          <w:sz w:val="36"/>
          <w:szCs w:val="36"/>
          <w:lang w:val="en-US" w:eastAsia="zh-CN"/>
        </w:rPr>
        <w:t>21</w:t>
      </w:r>
      <w:r>
        <w:rPr>
          <w:rFonts w:hint="eastAsia" w:ascii="仿宋" w:hAnsi="仿宋" w:eastAsia="仿宋" w:cs="仿宋"/>
          <w:sz w:val="36"/>
          <w:szCs w:val="36"/>
        </w:rPr>
        <w:t>年年末编制人数</w:t>
      </w:r>
      <w:r>
        <w:rPr>
          <w:rFonts w:hint="eastAsia" w:ascii="仿宋" w:hAnsi="仿宋" w:eastAsia="仿宋" w:cs="仿宋"/>
          <w:sz w:val="36"/>
          <w:szCs w:val="36"/>
          <w:lang w:val="en-US" w:eastAsia="zh-CN"/>
        </w:rPr>
        <w:t>7</w:t>
      </w:r>
      <w:r>
        <w:rPr>
          <w:rFonts w:hint="eastAsia" w:ascii="仿宋" w:hAnsi="仿宋" w:eastAsia="仿宋" w:cs="仿宋"/>
          <w:sz w:val="36"/>
          <w:szCs w:val="36"/>
        </w:rPr>
        <w:t>人，其中行政编制</w:t>
      </w:r>
      <w:r>
        <w:rPr>
          <w:rFonts w:hint="eastAsia" w:ascii="仿宋" w:hAnsi="仿宋" w:eastAsia="仿宋" w:cs="仿宋"/>
          <w:sz w:val="36"/>
          <w:szCs w:val="36"/>
          <w:lang w:val="en-US" w:eastAsia="zh-CN"/>
        </w:rPr>
        <w:t>5</w:t>
      </w:r>
      <w:r>
        <w:rPr>
          <w:rFonts w:hint="eastAsia" w:ascii="仿宋" w:hAnsi="仿宋" w:eastAsia="仿宋" w:cs="仿宋"/>
          <w:sz w:val="36"/>
          <w:szCs w:val="36"/>
        </w:rPr>
        <w:t>人，工勤人员</w:t>
      </w:r>
      <w:r>
        <w:rPr>
          <w:rFonts w:hint="eastAsia" w:ascii="仿宋" w:hAnsi="仿宋" w:eastAsia="仿宋" w:cs="仿宋"/>
          <w:sz w:val="36"/>
          <w:szCs w:val="36"/>
          <w:lang w:val="en-US" w:eastAsia="zh-CN"/>
        </w:rPr>
        <w:t>2</w:t>
      </w:r>
      <w:r>
        <w:rPr>
          <w:rFonts w:hint="eastAsia" w:ascii="仿宋" w:hAnsi="仿宋" w:eastAsia="仿宋" w:cs="仿宋"/>
          <w:sz w:val="36"/>
          <w:szCs w:val="36"/>
        </w:rPr>
        <w:t>人</w:t>
      </w:r>
      <w:r>
        <w:rPr>
          <w:rFonts w:hint="eastAsia" w:ascii="仿宋" w:hAnsi="仿宋" w:eastAsia="仿宋" w:cs="仿宋"/>
          <w:sz w:val="36"/>
          <w:szCs w:val="36"/>
          <w:lang w:eastAsia="zh-CN"/>
        </w:rPr>
        <w:t>。</w:t>
      </w:r>
      <w:r>
        <w:rPr>
          <w:rFonts w:hint="eastAsia" w:ascii="仿宋" w:hAnsi="仿宋" w:eastAsia="仿宋" w:cs="仿宋"/>
          <w:sz w:val="36"/>
          <w:szCs w:val="36"/>
        </w:rPr>
        <w:t>当年变动情况主要是</w:t>
      </w:r>
      <w:r>
        <w:rPr>
          <w:rFonts w:hint="eastAsia" w:ascii="仿宋" w:hAnsi="仿宋" w:eastAsia="仿宋" w:cs="仿宋"/>
          <w:sz w:val="36"/>
          <w:szCs w:val="36"/>
          <w:lang w:val="en-US" w:eastAsia="zh-CN"/>
        </w:rPr>
        <w:t>2</w:t>
      </w:r>
      <w:r>
        <w:rPr>
          <w:rFonts w:hint="eastAsia" w:ascii="仿宋" w:hAnsi="仿宋" w:eastAsia="仿宋" w:cs="仿宋"/>
          <w:sz w:val="36"/>
          <w:szCs w:val="36"/>
        </w:rPr>
        <w:t>人</w:t>
      </w:r>
      <w:r>
        <w:rPr>
          <w:rFonts w:hint="eastAsia" w:ascii="仿宋" w:hAnsi="仿宋" w:eastAsia="仿宋" w:cs="仿宋"/>
          <w:sz w:val="36"/>
          <w:szCs w:val="36"/>
          <w:lang w:eastAsia="zh-CN"/>
        </w:rPr>
        <w:t>退休</w:t>
      </w:r>
      <w:r>
        <w:rPr>
          <w:rFonts w:hint="eastAsia" w:ascii="仿宋" w:hAnsi="仿宋" w:eastAsia="仿宋" w:cs="仿宋"/>
          <w:sz w:val="36"/>
          <w:szCs w:val="36"/>
        </w:rPr>
        <w:t>。</w:t>
      </w:r>
      <w:bookmarkStart w:id="0" w:name="_GoBack"/>
      <w:bookmarkEnd w:id="0"/>
    </w:p>
    <w:p>
      <w:pPr>
        <w:keepNext w:val="0"/>
        <w:keepLines w:val="0"/>
        <w:pageBreakBefore w:val="0"/>
        <w:widowControl w:val="0"/>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sz w:val="36"/>
          <w:szCs w:val="36"/>
        </w:rPr>
      </w:pPr>
      <w:r>
        <w:rPr>
          <w:rFonts w:hint="eastAsia" w:ascii="仿宋" w:hAnsi="仿宋" w:eastAsia="仿宋" w:cs="仿宋"/>
          <w:b/>
          <w:sz w:val="36"/>
          <w:szCs w:val="36"/>
        </w:rPr>
        <w:t>3.部门资产情况</w:t>
      </w:r>
    </w:p>
    <w:p>
      <w:pPr>
        <w:pStyle w:val="3"/>
        <w:keepNext w:val="0"/>
        <w:keepLines w:val="0"/>
        <w:widowControl/>
        <w:suppressLineNumbers w:val="0"/>
        <w:spacing w:line="315" w:lineRule="atLeast"/>
        <w:ind w:left="0" w:firstLine="540"/>
        <w:jc w:val="left"/>
        <w:rPr>
          <w:rFonts w:hint="eastAsia" w:ascii="仿宋" w:hAnsi="仿宋" w:eastAsia="仿宋" w:cs="仿宋"/>
          <w:sz w:val="36"/>
          <w:szCs w:val="36"/>
        </w:rPr>
      </w:pPr>
      <w:r>
        <w:rPr>
          <w:rFonts w:hint="eastAsia" w:ascii="仿宋" w:hAnsi="仿宋" w:eastAsia="仿宋" w:cs="仿宋"/>
          <w:color w:val="000000"/>
          <w:sz w:val="36"/>
          <w:szCs w:val="36"/>
          <w:shd w:val="clear" w:color="auto" w:fill="FFFFFF"/>
        </w:rPr>
        <w:t>截至202</w:t>
      </w:r>
      <w:r>
        <w:rPr>
          <w:rFonts w:hint="eastAsia" w:ascii="仿宋" w:hAnsi="仿宋" w:eastAsia="仿宋" w:cs="仿宋"/>
          <w:color w:val="000000"/>
          <w:sz w:val="36"/>
          <w:szCs w:val="36"/>
          <w:shd w:val="clear" w:color="auto" w:fill="FFFFFF"/>
          <w:lang w:val="en-US" w:eastAsia="zh-CN"/>
        </w:rPr>
        <w:t>1</w:t>
      </w:r>
      <w:r>
        <w:rPr>
          <w:rFonts w:hint="eastAsia" w:ascii="仿宋" w:hAnsi="仿宋" w:eastAsia="仿宋" w:cs="仿宋"/>
          <w:color w:val="000000"/>
          <w:sz w:val="36"/>
          <w:szCs w:val="36"/>
          <w:shd w:val="clear" w:color="auto" w:fill="FFFFFF"/>
        </w:rPr>
        <w:t>年12月31日，我单位资产总额（账面净值，下同）</w:t>
      </w:r>
      <w:r>
        <w:rPr>
          <w:rFonts w:hint="eastAsia" w:ascii="仿宋" w:hAnsi="仿宋" w:eastAsia="仿宋" w:cs="仿宋"/>
          <w:color w:val="000000"/>
          <w:sz w:val="36"/>
          <w:szCs w:val="36"/>
          <w:shd w:val="clear" w:color="auto" w:fill="FFFFFF"/>
          <w:lang w:val="en-US" w:eastAsia="zh-CN"/>
        </w:rPr>
        <w:t>10.64</w:t>
      </w:r>
      <w:r>
        <w:rPr>
          <w:rFonts w:hint="eastAsia" w:ascii="仿宋" w:hAnsi="仿宋" w:eastAsia="仿宋" w:cs="仿宋"/>
          <w:color w:val="000000"/>
          <w:sz w:val="36"/>
          <w:szCs w:val="36"/>
          <w:shd w:val="clear" w:color="auto" w:fill="FFFFFF"/>
        </w:rPr>
        <w:t>万元，较上年增长-</w:t>
      </w:r>
      <w:r>
        <w:rPr>
          <w:rFonts w:hint="eastAsia" w:ascii="仿宋" w:hAnsi="仿宋" w:eastAsia="仿宋" w:cs="仿宋"/>
          <w:color w:val="000000"/>
          <w:sz w:val="36"/>
          <w:szCs w:val="36"/>
          <w:shd w:val="clear" w:color="auto" w:fill="FFFFFF"/>
          <w:lang w:val="en-US" w:eastAsia="zh-CN"/>
        </w:rPr>
        <w:t>95.52</w:t>
      </w:r>
      <w:r>
        <w:rPr>
          <w:rFonts w:hint="eastAsia" w:ascii="仿宋" w:hAnsi="仿宋" w:eastAsia="仿宋" w:cs="仿宋"/>
          <w:color w:val="000000"/>
          <w:sz w:val="36"/>
          <w:szCs w:val="36"/>
          <w:shd w:val="clear" w:color="auto" w:fill="FFFFFF"/>
        </w:rPr>
        <w:t>%。负债总额</w:t>
      </w:r>
      <w:r>
        <w:rPr>
          <w:rFonts w:hint="eastAsia" w:ascii="仿宋" w:hAnsi="仿宋" w:eastAsia="仿宋" w:cs="仿宋"/>
          <w:color w:val="000000"/>
          <w:sz w:val="36"/>
          <w:szCs w:val="36"/>
          <w:shd w:val="clear" w:color="auto" w:fill="FFFFFF"/>
          <w:lang w:val="en-US" w:eastAsia="zh-CN"/>
        </w:rPr>
        <w:t>9.28</w:t>
      </w:r>
      <w:r>
        <w:rPr>
          <w:rFonts w:hint="eastAsia" w:ascii="仿宋" w:hAnsi="仿宋" w:eastAsia="仿宋" w:cs="仿宋"/>
          <w:color w:val="000000"/>
          <w:sz w:val="36"/>
          <w:szCs w:val="36"/>
          <w:shd w:val="clear" w:color="auto" w:fill="FFFFFF"/>
        </w:rPr>
        <w:t>万元,较上年增长</w:t>
      </w:r>
      <w:r>
        <w:rPr>
          <w:rFonts w:hint="eastAsia" w:ascii="仿宋" w:hAnsi="仿宋" w:eastAsia="仿宋" w:cs="仿宋"/>
          <w:color w:val="000000"/>
          <w:sz w:val="36"/>
          <w:szCs w:val="36"/>
          <w:shd w:val="clear" w:color="auto" w:fill="FFFFFF"/>
          <w:lang w:val="en-US" w:eastAsia="zh-CN"/>
        </w:rPr>
        <w:t>20</w:t>
      </w:r>
      <w:r>
        <w:rPr>
          <w:rFonts w:hint="eastAsia" w:ascii="仿宋" w:hAnsi="仿宋" w:eastAsia="仿宋" w:cs="仿宋"/>
          <w:color w:val="000000"/>
          <w:sz w:val="36"/>
          <w:szCs w:val="36"/>
          <w:shd w:val="clear" w:color="auto" w:fill="FFFFFF"/>
        </w:rPr>
        <w:t>%。净资产</w:t>
      </w:r>
      <w:r>
        <w:rPr>
          <w:rFonts w:hint="eastAsia" w:ascii="仿宋" w:hAnsi="仿宋" w:eastAsia="仿宋" w:cs="仿宋"/>
          <w:color w:val="000000"/>
          <w:sz w:val="36"/>
          <w:szCs w:val="36"/>
          <w:shd w:val="clear" w:color="auto" w:fill="FFFFFF"/>
          <w:lang w:val="en-US" w:eastAsia="zh-CN"/>
        </w:rPr>
        <w:t>228.44</w:t>
      </w:r>
      <w:r>
        <w:rPr>
          <w:rFonts w:hint="eastAsia" w:ascii="仿宋" w:hAnsi="仿宋" w:eastAsia="仿宋" w:cs="仿宋"/>
          <w:color w:val="000000"/>
          <w:sz w:val="36"/>
          <w:szCs w:val="36"/>
          <w:shd w:val="clear" w:color="auto" w:fill="FFFFFF"/>
        </w:rPr>
        <w:t>万元,较上年增长</w:t>
      </w:r>
      <w:r>
        <w:rPr>
          <w:rFonts w:hint="eastAsia" w:ascii="仿宋" w:hAnsi="仿宋" w:eastAsia="仿宋" w:cs="仿宋"/>
          <w:color w:val="000000"/>
          <w:sz w:val="36"/>
          <w:szCs w:val="36"/>
          <w:shd w:val="clear" w:color="auto" w:fill="FFFFFF"/>
          <w:lang w:val="en-US" w:eastAsia="zh-CN"/>
        </w:rPr>
        <w:t>-99</w:t>
      </w:r>
      <w:r>
        <w:rPr>
          <w:rFonts w:hint="eastAsia" w:ascii="仿宋" w:hAnsi="仿宋" w:eastAsia="仿宋" w:cs="仿宋"/>
          <w:color w:val="000000"/>
          <w:sz w:val="36"/>
          <w:szCs w:val="36"/>
          <w:shd w:val="clear" w:color="auto" w:fill="FFFFFF"/>
        </w:rPr>
        <w:t>%。</w:t>
      </w:r>
      <w:r>
        <w:rPr>
          <w:rFonts w:hint="eastAsia" w:ascii="仿宋" w:hAnsi="仿宋" w:eastAsia="仿宋" w:cs="仿宋"/>
          <w:color w:val="000000"/>
          <w:sz w:val="36"/>
          <w:szCs w:val="36"/>
          <w:shd w:val="clear" w:color="auto" w:fill="FFFFFF"/>
          <w:lang w:val="en-US" w:eastAsia="zh-CN"/>
        </w:rPr>
        <w:t>其中</w:t>
      </w:r>
      <w:r>
        <w:rPr>
          <w:rFonts w:hint="eastAsia" w:ascii="仿宋" w:hAnsi="仿宋" w:eastAsia="仿宋" w:cs="仿宋"/>
          <w:color w:val="000000"/>
          <w:sz w:val="36"/>
          <w:szCs w:val="36"/>
          <w:shd w:val="clear" w:color="auto" w:fill="FFFFFF"/>
        </w:rPr>
        <w:t>流动资产</w:t>
      </w:r>
      <w:r>
        <w:rPr>
          <w:rFonts w:hint="eastAsia" w:ascii="仿宋" w:hAnsi="仿宋" w:eastAsia="仿宋" w:cs="仿宋"/>
          <w:color w:val="000000"/>
          <w:sz w:val="36"/>
          <w:szCs w:val="36"/>
          <w:shd w:val="clear" w:color="auto" w:fill="FFFFFF"/>
          <w:lang w:val="en-US" w:eastAsia="zh-CN"/>
        </w:rPr>
        <w:t>9.29</w:t>
      </w:r>
      <w:r>
        <w:rPr>
          <w:rFonts w:hint="eastAsia" w:ascii="仿宋" w:hAnsi="仿宋" w:eastAsia="仿宋" w:cs="仿宋"/>
          <w:color w:val="000000"/>
          <w:sz w:val="36"/>
          <w:szCs w:val="36"/>
          <w:shd w:val="clear" w:color="auto" w:fill="FFFFFF"/>
        </w:rPr>
        <w:t>万元，较上年增长-</w:t>
      </w:r>
      <w:r>
        <w:rPr>
          <w:rFonts w:hint="eastAsia" w:ascii="仿宋" w:hAnsi="仿宋" w:eastAsia="仿宋" w:cs="仿宋"/>
          <w:color w:val="000000"/>
          <w:sz w:val="36"/>
          <w:szCs w:val="36"/>
          <w:shd w:val="clear" w:color="auto" w:fill="FFFFFF"/>
          <w:lang w:val="en-US" w:eastAsia="zh-CN"/>
        </w:rPr>
        <w:t>96</w:t>
      </w:r>
      <w:r>
        <w:rPr>
          <w:rFonts w:hint="eastAsia" w:ascii="仿宋" w:hAnsi="仿宋" w:eastAsia="仿宋" w:cs="仿宋"/>
          <w:color w:val="000000"/>
          <w:sz w:val="36"/>
          <w:szCs w:val="36"/>
          <w:shd w:val="clear" w:color="auto" w:fill="FFFFFF"/>
        </w:rPr>
        <w:t>%，占资产总额</w:t>
      </w:r>
      <w:r>
        <w:rPr>
          <w:rFonts w:hint="eastAsia" w:ascii="仿宋" w:hAnsi="仿宋" w:eastAsia="仿宋" w:cs="仿宋"/>
          <w:color w:val="000000"/>
          <w:sz w:val="36"/>
          <w:szCs w:val="36"/>
          <w:shd w:val="clear" w:color="auto" w:fill="FFFFFF"/>
          <w:lang w:val="en-US" w:eastAsia="zh-CN"/>
        </w:rPr>
        <w:t>87</w:t>
      </w:r>
      <w:r>
        <w:rPr>
          <w:rFonts w:hint="eastAsia" w:ascii="仿宋" w:hAnsi="仿宋" w:eastAsia="仿宋" w:cs="仿宋"/>
          <w:color w:val="000000"/>
          <w:sz w:val="36"/>
          <w:szCs w:val="36"/>
          <w:shd w:val="clear" w:color="auto" w:fill="FFFFFF"/>
        </w:rPr>
        <w:t>%；固定资产1.</w:t>
      </w:r>
      <w:r>
        <w:rPr>
          <w:rFonts w:hint="eastAsia" w:ascii="仿宋" w:hAnsi="仿宋" w:eastAsia="仿宋" w:cs="仿宋"/>
          <w:color w:val="000000"/>
          <w:sz w:val="36"/>
          <w:szCs w:val="36"/>
          <w:shd w:val="clear" w:color="auto" w:fill="FFFFFF"/>
          <w:lang w:val="en-US" w:eastAsia="zh-CN"/>
        </w:rPr>
        <w:t>36</w:t>
      </w:r>
      <w:r>
        <w:rPr>
          <w:rFonts w:hint="eastAsia" w:ascii="仿宋" w:hAnsi="仿宋" w:eastAsia="仿宋" w:cs="仿宋"/>
          <w:color w:val="000000"/>
          <w:sz w:val="36"/>
          <w:szCs w:val="36"/>
          <w:shd w:val="clear" w:color="auto" w:fill="FFFFFF"/>
        </w:rPr>
        <w:t>万元，较上年增长</w:t>
      </w:r>
      <w:r>
        <w:rPr>
          <w:rFonts w:hint="eastAsia" w:ascii="仿宋" w:hAnsi="仿宋" w:eastAsia="仿宋" w:cs="仿宋"/>
          <w:color w:val="000000"/>
          <w:sz w:val="36"/>
          <w:szCs w:val="36"/>
          <w:shd w:val="clear" w:color="auto" w:fill="FFFFFF"/>
          <w:lang w:val="en-US" w:eastAsia="zh-CN"/>
        </w:rPr>
        <w:t>7</w:t>
      </w:r>
      <w:r>
        <w:rPr>
          <w:rFonts w:hint="eastAsia" w:ascii="仿宋" w:hAnsi="仿宋" w:eastAsia="仿宋" w:cs="仿宋"/>
          <w:color w:val="000000"/>
          <w:sz w:val="36"/>
          <w:szCs w:val="36"/>
          <w:shd w:val="clear" w:color="auto" w:fill="FFFFFF"/>
        </w:rPr>
        <w:t>%，占资产总额</w:t>
      </w:r>
      <w:r>
        <w:rPr>
          <w:rFonts w:hint="eastAsia" w:ascii="仿宋" w:hAnsi="仿宋" w:eastAsia="仿宋" w:cs="仿宋"/>
          <w:color w:val="000000"/>
          <w:sz w:val="36"/>
          <w:szCs w:val="36"/>
          <w:shd w:val="clear" w:color="auto" w:fill="FFFFFF"/>
          <w:lang w:val="en-US" w:eastAsia="zh-CN"/>
        </w:rPr>
        <w:t>13</w:t>
      </w:r>
      <w:r>
        <w:rPr>
          <w:rFonts w:hint="eastAsia" w:ascii="仿宋" w:hAnsi="仿宋" w:eastAsia="仿宋" w:cs="仿宋"/>
          <w:color w:val="000000"/>
          <w:sz w:val="36"/>
          <w:szCs w:val="36"/>
          <w:shd w:val="clear" w:color="auto" w:fill="FFFFFF"/>
        </w:rPr>
        <w:t>%；</w:t>
      </w:r>
    </w:p>
    <w:p>
      <w:pPr>
        <w:keepNext w:val="0"/>
        <w:keepLines w:val="0"/>
        <w:pageBreakBefore w:val="0"/>
        <w:widowControl w:val="0"/>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sz w:val="36"/>
          <w:szCs w:val="36"/>
        </w:rPr>
      </w:pPr>
      <w:r>
        <w:rPr>
          <w:rFonts w:hint="eastAsia" w:ascii="仿宋" w:hAnsi="仿宋" w:eastAsia="仿宋" w:cs="仿宋"/>
          <w:b/>
          <w:sz w:val="36"/>
          <w:szCs w:val="36"/>
        </w:rPr>
        <w:t>（二）当年部门履职总体目标、工作任务</w:t>
      </w:r>
    </w:p>
    <w:p>
      <w:pPr>
        <w:keepNext w:val="0"/>
        <w:keepLines w:val="0"/>
        <w:pageBreakBefore w:val="0"/>
        <w:widowControl w:val="0"/>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sz w:val="36"/>
          <w:szCs w:val="36"/>
        </w:rPr>
      </w:pPr>
      <w:r>
        <w:rPr>
          <w:rFonts w:hint="eastAsia" w:ascii="仿宋" w:hAnsi="仿宋" w:eastAsia="仿宋" w:cs="仿宋"/>
          <w:b/>
          <w:sz w:val="36"/>
          <w:szCs w:val="36"/>
        </w:rPr>
        <w:t>1.总体目标</w:t>
      </w:r>
    </w:p>
    <w:p>
      <w:pPr>
        <w:keepNext w:val="0"/>
        <w:keepLines w:val="0"/>
        <w:pageBreakBefore w:val="0"/>
        <w:widowControl w:val="0"/>
        <w:kinsoku/>
        <w:wordWrap/>
        <w:overflowPunct/>
        <w:topLinePunct w:val="0"/>
        <w:autoSpaceDN/>
        <w:bidi w:val="0"/>
        <w:adjustRightInd/>
        <w:snapToGrid/>
        <w:spacing w:line="560" w:lineRule="exact"/>
        <w:ind w:firstLine="720" w:firstLineChars="200"/>
        <w:textAlignment w:val="auto"/>
        <w:rPr>
          <w:rFonts w:hint="eastAsia" w:ascii="仿宋" w:hAnsi="仿宋" w:eastAsia="仿宋" w:cs="仿宋"/>
          <w:sz w:val="36"/>
          <w:szCs w:val="36"/>
        </w:rPr>
      </w:pPr>
      <w:r>
        <w:rPr>
          <w:rFonts w:hint="eastAsia" w:ascii="仿宋" w:hAnsi="仿宋" w:eastAsia="仿宋" w:cs="仿宋"/>
          <w:sz w:val="36"/>
          <w:szCs w:val="36"/>
        </w:rPr>
        <w:t>20</w:t>
      </w:r>
      <w:r>
        <w:rPr>
          <w:rFonts w:hint="eastAsia" w:ascii="仿宋" w:hAnsi="仿宋" w:eastAsia="仿宋" w:cs="仿宋"/>
          <w:sz w:val="36"/>
          <w:szCs w:val="36"/>
          <w:lang w:val="en-US" w:eastAsia="zh-CN"/>
        </w:rPr>
        <w:t>21</w:t>
      </w:r>
      <w:r>
        <w:rPr>
          <w:rFonts w:hint="eastAsia" w:ascii="仿宋" w:hAnsi="仿宋" w:eastAsia="仿宋" w:cs="仿宋"/>
          <w:sz w:val="36"/>
          <w:szCs w:val="36"/>
        </w:rPr>
        <w:t>年，在县委、县政府的正确领导下，在</w:t>
      </w:r>
      <w:r>
        <w:rPr>
          <w:rFonts w:hint="eastAsia" w:ascii="仿宋" w:hAnsi="仿宋" w:eastAsia="仿宋" w:cs="仿宋"/>
          <w:sz w:val="36"/>
          <w:szCs w:val="36"/>
          <w:lang w:eastAsia="zh-CN"/>
        </w:rPr>
        <w:t>省</w:t>
      </w:r>
      <w:r>
        <w:rPr>
          <w:rFonts w:hint="eastAsia" w:ascii="仿宋" w:hAnsi="仿宋" w:eastAsia="仿宋" w:cs="仿宋"/>
          <w:sz w:val="36"/>
          <w:szCs w:val="36"/>
        </w:rPr>
        <w:t>市粮食</w:t>
      </w:r>
      <w:r>
        <w:rPr>
          <w:rFonts w:hint="eastAsia" w:ascii="仿宋" w:hAnsi="仿宋" w:eastAsia="仿宋" w:cs="仿宋"/>
          <w:sz w:val="36"/>
          <w:szCs w:val="36"/>
          <w:lang w:eastAsia="zh-CN"/>
        </w:rPr>
        <w:t>行政主管部门</w:t>
      </w:r>
      <w:r>
        <w:rPr>
          <w:rFonts w:hint="eastAsia" w:ascii="仿宋" w:hAnsi="仿宋" w:eastAsia="仿宋" w:cs="仿宋"/>
          <w:sz w:val="36"/>
          <w:szCs w:val="36"/>
        </w:rPr>
        <w:t>的关心指导下，</w:t>
      </w:r>
      <w:r>
        <w:rPr>
          <w:rFonts w:hint="eastAsia" w:ascii="仿宋" w:hAnsi="仿宋" w:eastAsia="仿宋" w:cs="仿宋"/>
          <w:sz w:val="36"/>
          <w:szCs w:val="36"/>
          <w:lang w:eastAsia="zh-CN"/>
        </w:rPr>
        <w:t>我局</w:t>
      </w:r>
      <w:r>
        <w:rPr>
          <w:rFonts w:hint="eastAsia" w:ascii="仿宋" w:hAnsi="仿宋" w:eastAsia="仿宋" w:cs="仿宋"/>
          <w:color w:val="333333"/>
          <w:kern w:val="0"/>
          <w:sz w:val="36"/>
          <w:szCs w:val="36"/>
        </w:rPr>
        <w:t>以习近平新时代中国特色社会主义思想为指导，深入学习贯彻落实党的十九大</w:t>
      </w:r>
      <w:r>
        <w:rPr>
          <w:rFonts w:hint="eastAsia" w:ascii="仿宋" w:hAnsi="仿宋" w:eastAsia="仿宋" w:cs="仿宋"/>
          <w:color w:val="333333"/>
          <w:kern w:val="0"/>
          <w:sz w:val="36"/>
          <w:szCs w:val="36"/>
          <w:lang w:eastAsia="zh-CN"/>
        </w:rPr>
        <w:t>、十九届三中、四中、五中全会</w:t>
      </w:r>
      <w:r>
        <w:rPr>
          <w:rFonts w:hint="eastAsia" w:ascii="仿宋" w:hAnsi="仿宋" w:eastAsia="仿宋" w:cs="仿宋"/>
          <w:color w:val="333333"/>
          <w:kern w:val="0"/>
          <w:sz w:val="36"/>
          <w:szCs w:val="36"/>
        </w:rPr>
        <w:t>精神，紧紧围绕县委、县政府总体工作部署和发展思路，站在粮食安全的高度，主动策应乡村振兴战略和国家粮食价格机制（收储）改革，坚持“守底线、保安全、惠民生、促发展”的粮食工作目标，树立绿色发展理念，进一步强化市场意识，全力抓好行业自身建设，</w:t>
      </w:r>
      <w:r>
        <w:rPr>
          <w:rFonts w:hint="eastAsia" w:ascii="仿宋" w:hAnsi="仿宋" w:eastAsia="仿宋" w:cs="仿宋"/>
          <w:sz w:val="36"/>
          <w:szCs w:val="36"/>
        </w:rPr>
        <w:t>各项工作取得了较好成效。</w:t>
      </w:r>
    </w:p>
    <w:p>
      <w:pPr>
        <w:keepNext w:val="0"/>
        <w:keepLines w:val="0"/>
        <w:pageBreakBefore w:val="0"/>
        <w:widowControl w:val="0"/>
        <w:numPr>
          <w:ilvl w:val="0"/>
          <w:numId w:val="1"/>
        </w:numPr>
        <w:kinsoku/>
        <w:wordWrap/>
        <w:overflowPunct/>
        <w:topLinePunct w:val="0"/>
        <w:autoSpaceDE w:val="0"/>
        <w:autoSpaceDN/>
        <w:bidi w:val="0"/>
        <w:adjustRightInd/>
        <w:snapToGrid/>
        <w:spacing w:line="560" w:lineRule="exact"/>
        <w:ind w:firstLine="723" w:firstLineChars="200"/>
        <w:textAlignment w:val="auto"/>
        <w:rPr>
          <w:rFonts w:hint="eastAsia" w:ascii="仿宋" w:hAnsi="仿宋" w:eastAsia="仿宋" w:cs="仿宋"/>
          <w:b/>
          <w:bCs/>
          <w:sz w:val="36"/>
          <w:szCs w:val="36"/>
        </w:rPr>
      </w:pPr>
      <w:r>
        <w:rPr>
          <w:rFonts w:hint="eastAsia" w:ascii="仿宋" w:hAnsi="仿宋" w:eastAsia="仿宋" w:cs="仿宋"/>
          <w:b/>
          <w:bCs/>
          <w:sz w:val="36"/>
          <w:szCs w:val="36"/>
        </w:rPr>
        <w:t>工作任务</w:t>
      </w:r>
    </w:p>
    <w:p>
      <w:pPr>
        <w:spacing w:line="360" w:lineRule="auto"/>
        <w:ind w:firstLine="723" w:firstLineChars="200"/>
        <w:rPr>
          <w:rFonts w:hint="eastAsia" w:ascii="仿宋" w:hAnsi="仿宋" w:eastAsia="仿宋" w:cs="仿宋"/>
          <w:sz w:val="36"/>
          <w:szCs w:val="36"/>
        </w:rPr>
      </w:pPr>
      <w:r>
        <w:rPr>
          <w:rFonts w:hint="eastAsia" w:ascii="仿宋" w:hAnsi="仿宋" w:eastAsia="仿宋" w:cs="仿宋"/>
          <w:b/>
          <w:bCs/>
          <w:sz w:val="36"/>
          <w:szCs w:val="36"/>
        </w:rPr>
        <w:t>（</w:t>
      </w:r>
      <w:r>
        <w:rPr>
          <w:rFonts w:hint="eastAsia" w:ascii="仿宋" w:hAnsi="仿宋" w:eastAsia="仿宋" w:cs="仿宋"/>
          <w:b/>
          <w:bCs/>
          <w:sz w:val="36"/>
          <w:szCs w:val="36"/>
          <w:lang w:val="en-US" w:eastAsia="zh-CN"/>
        </w:rPr>
        <w:t>一</w:t>
      </w:r>
      <w:r>
        <w:rPr>
          <w:rFonts w:hint="eastAsia" w:ascii="仿宋" w:hAnsi="仿宋" w:eastAsia="仿宋" w:cs="仿宋"/>
          <w:b/>
          <w:bCs/>
          <w:sz w:val="36"/>
          <w:szCs w:val="36"/>
        </w:rPr>
        <w:t>）</w:t>
      </w:r>
      <w:r>
        <w:rPr>
          <w:rFonts w:hint="eastAsia" w:ascii="仿宋" w:hAnsi="仿宋" w:eastAsia="仿宋" w:cs="仿宋"/>
          <w:b/>
          <w:bCs/>
          <w:sz w:val="36"/>
          <w:szCs w:val="36"/>
          <w:lang w:eastAsia="zh-CN"/>
        </w:rPr>
        <w:t>抓创新增活力。</w:t>
      </w:r>
      <w:r>
        <w:rPr>
          <w:rFonts w:hint="eastAsia" w:ascii="仿宋" w:hAnsi="仿宋" w:eastAsia="仿宋" w:cs="仿宋"/>
          <w:sz w:val="36"/>
          <w:szCs w:val="36"/>
          <w:lang w:eastAsia="zh-CN"/>
        </w:rPr>
        <w:t>县粮食部门</w:t>
      </w:r>
      <w:r>
        <w:rPr>
          <w:rFonts w:hint="eastAsia" w:ascii="仿宋" w:hAnsi="仿宋" w:eastAsia="仿宋" w:cs="仿宋"/>
          <w:sz w:val="36"/>
          <w:szCs w:val="36"/>
        </w:rPr>
        <w:t>创新企业经营</w:t>
      </w:r>
      <w:r>
        <w:rPr>
          <w:rFonts w:hint="eastAsia" w:ascii="仿宋" w:hAnsi="仿宋" w:eastAsia="仿宋" w:cs="仿宋"/>
          <w:sz w:val="36"/>
          <w:szCs w:val="36"/>
          <w:lang w:eastAsia="zh-CN"/>
        </w:rPr>
        <w:t>管理</w:t>
      </w:r>
      <w:r>
        <w:rPr>
          <w:rFonts w:hint="eastAsia" w:ascii="仿宋" w:hAnsi="仿宋" w:eastAsia="仿宋" w:cs="仿宋"/>
          <w:sz w:val="36"/>
          <w:szCs w:val="36"/>
        </w:rPr>
        <w:t>机制，进一步提高基层工作积极性。在总结过去工作经验的基础上，继续完善和推行基层所库经济责任承包负责制，做到责权利相结合，使企业真正成为自主经营、自我约束、自负盈亏、自我发展的市场主体。</w:t>
      </w:r>
      <w:r>
        <w:rPr>
          <w:rFonts w:hint="eastAsia" w:ascii="仿宋" w:hAnsi="仿宋" w:eastAsia="仿宋" w:cs="仿宋"/>
          <w:sz w:val="36"/>
          <w:szCs w:val="36"/>
          <w:lang w:eastAsia="zh-CN"/>
        </w:rPr>
        <w:t>并</w:t>
      </w:r>
      <w:r>
        <w:rPr>
          <w:rFonts w:hint="eastAsia" w:ascii="仿宋" w:hAnsi="仿宋" w:eastAsia="仿宋" w:cs="仿宋"/>
          <w:sz w:val="36"/>
          <w:szCs w:val="36"/>
        </w:rPr>
        <w:t>进一步完善企业职工基础工资、岗位工资、效益工资的分配制度，适当增加了基层企业员工基础工资，进一步调动基层企业员工工作积极性。将收入分配重点向一线保防人员，按照保管量数量增加保防人员岗位工资。</w:t>
      </w:r>
      <w:r>
        <w:rPr>
          <w:rFonts w:hint="eastAsia" w:ascii="仿宋" w:hAnsi="仿宋" w:eastAsia="仿宋" w:cs="仿宋"/>
          <w:sz w:val="36"/>
          <w:szCs w:val="36"/>
          <w:lang w:eastAsia="zh-CN"/>
        </w:rPr>
        <w:t>同时，</w:t>
      </w:r>
      <w:r>
        <w:rPr>
          <w:rFonts w:hint="eastAsia" w:ascii="仿宋" w:hAnsi="仿宋" w:eastAsia="仿宋" w:cs="仿宋"/>
          <w:sz w:val="36"/>
          <w:szCs w:val="36"/>
        </w:rPr>
        <w:t>建立经营利润奖励机制，鼓励基层企业干部员工走出去，多渠道搞活搞好自主经营。通过完善制度，强化管理，进一步激发了基层企业和广大粮食员工的工作积极性，较好地</w:t>
      </w:r>
      <w:r>
        <w:rPr>
          <w:rFonts w:hint="eastAsia" w:ascii="仿宋" w:hAnsi="仿宋" w:eastAsia="仿宋" w:cs="仿宋"/>
          <w:sz w:val="36"/>
          <w:szCs w:val="36"/>
          <w:lang w:eastAsia="zh-CN"/>
        </w:rPr>
        <w:t>推</w:t>
      </w:r>
      <w:r>
        <w:rPr>
          <w:rFonts w:hint="eastAsia" w:ascii="仿宋" w:hAnsi="仿宋" w:eastAsia="仿宋" w:cs="仿宋"/>
          <w:sz w:val="36"/>
          <w:szCs w:val="36"/>
        </w:rPr>
        <w:t>进了各项</w:t>
      </w:r>
      <w:r>
        <w:rPr>
          <w:rFonts w:hint="eastAsia" w:ascii="仿宋" w:hAnsi="仿宋" w:eastAsia="仿宋" w:cs="仿宋"/>
          <w:sz w:val="36"/>
          <w:szCs w:val="36"/>
          <w:lang w:eastAsia="zh-CN"/>
        </w:rPr>
        <w:t>粮食</w:t>
      </w:r>
      <w:r>
        <w:rPr>
          <w:rFonts w:hint="eastAsia" w:ascii="仿宋" w:hAnsi="仿宋" w:eastAsia="仿宋" w:cs="仿宋"/>
          <w:sz w:val="36"/>
          <w:szCs w:val="36"/>
        </w:rPr>
        <w:t>工作。</w:t>
      </w:r>
    </w:p>
    <w:p>
      <w:pPr>
        <w:ind w:firstLine="723" w:firstLineChars="200"/>
        <w:rPr>
          <w:rFonts w:hint="eastAsia" w:ascii="仿宋" w:hAnsi="仿宋" w:eastAsia="仿宋" w:cs="仿宋"/>
          <w:sz w:val="36"/>
          <w:szCs w:val="36"/>
          <w:lang w:eastAsia="zh-CN"/>
        </w:rPr>
      </w:pPr>
      <w:r>
        <w:rPr>
          <w:rFonts w:hint="eastAsia" w:ascii="仿宋" w:hAnsi="仿宋" w:eastAsia="仿宋" w:cs="仿宋"/>
          <w:b/>
          <w:bCs/>
          <w:sz w:val="36"/>
          <w:szCs w:val="36"/>
          <w:lang w:eastAsia="zh-CN"/>
        </w:rPr>
        <w:t>（</w:t>
      </w:r>
      <w:r>
        <w:rPr>
          <w:rFonts w:hint="eastAsia" w:ascii="仿宋" w:hAnsi="仿宋" w:eastAsia="仿宋" w:cs="仿宋"/>
          <w:b/>
          <w:bCs/>
          <w:sz w:val="36"/>
          <w:szCs w:val="36"/>
          <w:lang w:val="en-US" w:eastAsia="zh-CN"/>
        </w:rPr>
        <w:t>二</w:t>
      </w:r>
      <w:r>
        <w:rPr>
          <w:rFonts w:hint="eastAsia" w:ascii="仿宋" w:hAnsi="仿宋" w:eastAsia="仿宋" w:cs="仿宋"/>
          <w:b/>
          <w:bCs/>
          <w:sz w:val="36"/>
          <w:szCs w:val="36"/>
          <w:lang w:eastAsia="zh-CN"/>
        </w:rPr>
        <w:t>）</w:t>
      </w:r>
      <w:r>
        <w:rPr>
          <w:rFonts w:hint="eastAsia" w:ascii="仿宋" w:hAnsi="仿宋" w:eastAsia="仿宋" w:cs="仿宋"/>
          <w:b/>
          <w:bCs/>
          <w:sz w:val="36"/>
          <w:szCs w:val="36"/>
        </w:rPr>
        <w:t>抓订单</w:t>
      </w:r>
      <w:r>
        <w:rPr>
          <w:rFonts w:hint="eastAsia" w:ascii="仿宋" w:hAnsi="仿宋" w:eastAsia="仿宋" w:cs="仿宋"/>
          <w:b/>
          <w:bCs/>
          <w:sz w:val="36"/>
          <w:szCs w:val="36"/>
          <w:lang w:eastAsia="zh-CN"/>
        </w:rPr>
        <w:t>带种植</w:t>
      </w:r>
      <w:r>
        <w:rPr>
          <w:rFonts w:hint="eastAsia" w:ascii="仿宋" w:hAnsi="仿宋" w:eastAsia="仿宋" w:cs="仿宋"/>
          <w:b/>
          <w:bCs/>
          <w:sz w:val="36"/>
          <w:szCs w:val="36"/>
        </w:rPr>
        <w:t>。</w:t>
      </w:r>
      <w:r>
        <w:rPr>
          <w:rFonts w:hint="eastAsia" w:ascii="仿宋" w:hAnsi="仿宋" w:eastAsia="仿宋" w:cs="仿宋"/>
          <w:sz w:val="36"/>
          <w:szCs w:val="36"/>
          <w:lang w:eastAsia="zh-CN"/>
        </w:rPr>
        <w:t>县粮食部门按照县委、县政府将浮梁生态优势转为经济优势的战略部署，主动策应国家粮食收储制度改革、服务于“三农”，在总结过去工作经验的基础上，把粮食订单工作作为促进农民增收、促进企业转型发展的重中之重来抓，早在年初，县粮油收储公司主动与市场搞好对接，采取“公司＋种粮大户、公司＋合作社、公司＋基地”的模式，与浙江永康等销区开展合作，引进勇优系列等优质优良品种，大力发展粮食订单。据统计，今年，县粮油收储公司已与农户签订甬优系列、野香优优质。并与浙江桐庐签订普通早稻订单、普通中晚籼稻订单，积极引导农调优粮食种植结构，发展市场畅销优质品种，带动农民增产增收。</w:t>
      </w:r>
    </w:p>
    <w:p>
      <w:pPr>
        <w:spacing w:line="360" w:lineRule="auto"/>
        <w:ind w:firstLine="629"/>
        <w:rPr>
          <w:rFonts w:hint="eastAsia" w:ascii="仿宋" w:hAnsi="仿宋" w:eastAsia="仿宋" w:cs="仿宋"/>
          <w:sz w:val="36"/>
          <w:szCs w:val="36"/>
        </w:rPr>
      </w:pPr>
      <w:r>
        <w:rPr>
          <w:rFonts w:hint="eastAsia" w:ascii="仿宋" w:hAnsi="仿宋" w:eastAsia="仿宋" w:cs="仿宋"/>
          <w:b/>
          <w:bCs/>
          <w:sz w:val="36"/>
          <w:szCs w:val="36"/>
          <w:lang w:val="en-US" w:eastAsia="zh-CN"/>
        </w:rPr>
        <w:t>（四）抓出库备仓容</w:t>
      </w:r>
      <w:r>
        <w:rPr>
          <w:rFonts w:hint="eastAsia" w:ascii="仿宋" w:hAnsi="仿宋" w:eastAsia="仿宋" w:cs="仿宋"/>
          <w:b/>
          <w:bCs/>
          <w:sz w:val="36"/>
          <w:szCs w:val="36"/>
          <w:lang w:eastAsia="zh-CN"/>
        </w:rPr>
        <w:t>。</w:t>
      </w:r>
      <w:r>
        <w:rPr>
          <w:rFonts w:hint="eastAsia" w:ascii="仿宋" w:hAnsi="仿宋" w:eastAsia="仿宋" w:cs="仿宋"/>
          <w:sz w:val="36"/>
          <w:szCs w:val="36"/>
          <w:lang w:eastAsia="zh-CN"/>
        </w:rPr>
        <w:t>县粮食部门结合今年实行粮食扩面增产的实际情况，</w:t>
      </w:r>
      <w:r>
        <w:rPr>
          <w:rFonts w:hint="eastAsia" w:ascii="仿宋" w:hAnsi="仿宋" w:eastAsia="仿宋" w:cs="仿宋"/>
          <w:sz w:val="36"/>
          <w:szCs w:val="36"/>
        </w:rPr>
        <w:t>早布局、早谋划，</w:t>
      </w:r>
      <w:r>
        <w:rPr>
          <w:rFonts w:hint="eastAsia" w:ascii="仿宋" w:hAnsi="仿宋" w:eastAsia="仿宋" w:cs="仿宋"/>
          <w:sz w:val="36"/>
          <w:szCs w:val="36"/>
          <w:lang w:eastAsia="zh-CN"/>
        </w:rPr>
        <w:t>主动与上级搞好对接，提前制粮食收购仓容预案。一是抓好超期储存去库工作</w:t>
      </w:r>
      <w:r>
        <w:rPr>
          <w:rFonts w:hint="eastAsia" w:ascii="仿宋" w:hAnsi="仿宋" w:eastAsia="仿宋" w:cs="仿宋"/>
          <w:sz w:val="36"/>
          <w:szCs w:val="36"/>
          <w:lang w:val="en-US" w:eastAsia="zh-CN"/>
        </w:rPr>
        <w:t>。二是用活用足政策，合理把握时机，适时启动县级（动态）储备粮轮出、超标准粮食销售。目前，我县800万公斤县级（动态）储备并及时抓好县级储备粮收购轮入工作，确保地方储备粮数量真实、质量完好、储存安全。</w:t>
      </w:r>
      <w:r>
        <w:rPr>
          <w:rFonts w:hint="eastAsia" w:ascii="仿宋" w:hAnsi="仿宋" w:eastAsia="仿宋" w:cs="仿宋"/>
          <w:sz w:val="36"/>
          <w:szCs w:val="36"/>
        </w:rPr>
        <w:t>三是加强与</w:t>
      </w:r>
      <w:r>
        <w:rPr>
          <w:rFonts w:hint="eastAsia" w:ascii="仿宋" w:hAnsi="仿宋" w:eastAsia="仿宋" w:cs="仿宋"/>
          <w:sz w:val="36"/>
          <w:szCs w:val="36"/>
          <w:lang w:eastAsia="zh-CN"/>
        </w:rPr>
        <w:t>粮食主销区</w:t>
      </w:r>
      <w:r>
        <w:rPr>
          <w:rFonts w:hint="eastAsia" w:ascii="仿宋" w:hAnsi="仿宋" w:eastAsia="仿宋" w:cs="仿宋"/>
          <w:sz w:val="36"/>
          <w:szCs w:val="36"/>
        </w:rPr>
        <w:t>粮食企业联系和沟通，提前搞好产销对接，</w:t>
      </w:r>
      <w:r>
        <w:rPr>
          <w:rFonts w:hint="eastAsia" w:ascii="仿宋" w:hAnsi="仿宋" w:eastAsia="仿宋" w:cs="仿宋"/>
          <w:sz w:val="36"/>
          <w:szCs w:val="36"/>
          <w:lang w:eastAsia="zh-CN"/>
        </w:rPr>
        <w:t>与</w:t>
      </w:r>
      <w:r>
        <w:rPr>
          <w:rFonts w:hint="eastAsia" w:ascii="仿宋" w:hAnsi="仿宋" w:eastAsia="仿宋" w:cs="仿宋"/>
          <w:sz w:val="36"/>
          <w:szCs w:val="36"/>
        </w:rPr>
        <w:t>浙江、安徽等</w:t>
      </w:r>
      <w:r>
        <w:rPr>
          <w:rFonts w:hint="eastAsia" w:ascii="仿宋" w:hAnsi="仿宋" w:eastAsia="仿宋" w:cs="仿宋"/>
          <w:sz w:val="36"/>
          <w:szCs w:val="36"/>
          <w:lang w:eastAsia="zh-CN"/>
        </w:rPr>
        <w:t>地签订粮食购销合同，</w:t>
      </w:r>
      <w:r>
        <w:rPr>
          <w:rFonts w:hint="eastAsia" w:ascii="仿宋" w:hAnsi="仿宋" w:eastAsia="仿宋" w:cs="仿宋"/>
          <w:sz w:val="36"/>
          <w:szCs w:val="36"/>
        </w:rPr>
        <w:t>采取内购外销等方式</w:t>
      </w:r>
      <w:r>
        <w:rPr>
          <w:rFonts w:hint="eastAsia" w:ascii="仿宋" w:hAnsi="仿宋" w:eastAsia="仿宋" w:cs="仿宋"/>
          <w:sz w:val="36"/>
          <w:szCs w:val="36"/>
          <w:lang w:val="en-US" w:eastAsia="zh-CN"/>
        </w:rPr>
        <w:t>,抓好订单收购，</w:t>
      </w:r>
      <w:r>
        <w:rPr>
          <w:rFonts w:hint="eastAsia" w:ascii="仿宋" w:hAnsi="仿宋" w:eastAsia="仿宋" w:cs="仿宋"/>
          <w:sz w:val="36"/>
          <w:szCs w:val="36"/>
          <w:lang w:eastAsia="zh-CN"/>
        </w:rPr>
        <w:t>促进农民增产增收。同时，严格执行国家粮食收购政策，在粮食收购期间，各收储库点做到了人等粮、仓等粮、钱等粮，</w:t>
      </w:r>
      <w:r>
        <w:rPr>
          <w:rFonts w:hint="eastAsia" w:ascii="仿宋" w:hAnsi="仿宋" w:eastAsia="仿宋" w:cs="仿宋"/>
          <w:sz w:val="36"/>
          <w:szCs w:val="36"/>
        </w:rPr>
        <w:t>继续发展国有粮食企业主渠道作用，保护种粮农民的积极性。</w:t>
      </w:r>
    </w:p>
    <w:p>
      <w:pPr>
        <w:widowControl/>
        <w:numPr>
          <w:ilvl w:val="0"/>
          <w:numId w:val="0"/>
        </w:numPr>
        <w:shd w:val="clear" w:color="auto" w:fill="FFFFFF"/>
        <w:spacing w:line="360" w:lineRule="auto"/>
        <w:ind w:firstLine="723" w:firstLineChars="200"/>
        <w:rPr>
          <w:rFonts w:hint="eastAsia" w:ascii="仿宋" w:hAnsi="仿宋" w:eastAsia="仿宋" w:cs="仿宋"/>
          <w:sz w:val="36"/>
          <w:szCs w:val="36"/>
          <w:lang w:eastAsia="zh-CN"/>
        </w:rPr>
      </w:pPr>
      <w:r>
        <w:rPr>
          <w:rFonts w:hint="eastAsia" w:ascii="仿宋" w:hAnsi="仿宋" w:eastAsia="仿宋" w:cs="仿宋"/>
          <w:b/>
          <w:bCs/>
          <w:sz w:val="36"/>
          <w:szCs w:val="36"/>
          <w:lang w:eastAsia="zh-CN"/>
        </w:rPr>
        <w:t>（五）</w:t>
      </w:r>
      <w:r>
        <w:rPr>
          <w:rFonts w:hint="eastAsia" w:ascii="仿宋" w:hAnsi="仿宋" w:eastAsia="仿宋" w:cs="仿宋"/>
          <w:b/>
          <w:bCs/>
          <w:sz w:val="36"/>
          <w:szCs w:val="36"/>
        </w:rPr>
        <w:t>抓</w:t>
      </w:r>
      <w:r>
        <w:rPr>
          <w:rFonts w:hint="eastAsia" w:ascii="仿宋" w:hAnsi="仿宋" w:eastAsia="仿宋" w:cs="仿宋"/>
          <w:b/>
          <w:bCs/>
          <w:sz w:val="36"/>
          <w:szCs w:val="36"/>
          <w:lang w:eastAsia="zh-CN"/>
        </w:rPr>
        <w:t>项目强后劲</w:t>
      </w:r>
      <w:r>
        <w:rPr>
          <w:rFonts w:hint="eastAsia" w:ascii="仿宋" w:hAnsi="仿宋" w:eastAsia="仿宋" w:cs="仿宋"/>
          <w:b/>
          <w:bCs/>
          <w:sz w:val="36"/>
          <w:szCs w:val="36"/>
        </w:rPr>
        <w:t>。</w:t>
      </w:r>
      <w:r>
        <w:rPr>
          <w:rFonts w:hint="eastAsia" w:ascii="仿宋" w:hAnsi="仿宋" w:eastAsia="仿宋" w:cs="仿宋"/>
          <w:sz w:val="36"/>
          <w:szCs w:val="36"/>
        </w:rPr>
        <w:t>加快推进浮梁县现代粮食物流产业园项目建设。该项目于10月15日开工</w:t>
      </w:r>
      <w:r>
        <w:rPr>
          <w:rFonts w:hint="eastAsia" w:ascii="仿宋" w:hAnsi="仿宋" w:eastAsia="仿宋" w:cs="仿宋"/>
          <w:sz w:val="36"/>
          <w:szCs w:val="36"/>
          <w:lang w:eastAsia="zh-CN"/>
        </w:rPr>
        <w:t>，并按县重点工程要求，加强对项目的督促管理，落实工程进度周报制度，确保按要求完工并投入使用</w:t>
      </w:r>
      <w:r>
        <w:rPr>
          <w:rFonts w:hint="eastAsia" w:ascii="仿宋" w:hAnsi="仿宋" w:eastAsia="仿宋" w:cs="仿宋"/>
          <w:sz w:val="36"/>
          <w:szCs w:val="36"/>
        </w:rPr>
        <w:t>。</w:t>
      </w:r>
    </w:p>
    <w:p>
      <w:pPr>
        <w:pStyle w:val="2"/>
        <w:numPr>
          <w:ilvl w:val="0"/>
          <w:numId w:val="0"/>
        </w:numPr>
        <w:rPr>
          <w:rFonts w:hint="eastAsia" w:ascii="仿宋" w:hAnsi="仿宋" w:eastAsia="仿宋" w:cs="仿宋"/>
          <w:b w:val="0"/>
          <w:bCs w:val="0"/>
          <w:sz w:val="36"/>
          <w:szCs w:val="36"/>
          <w:lang w:val="en-US" w:eastAsia="zh-CN"/>
        </w:rPr>
      </w:pPr>
      <w:r>
        <w:rPr>
          <w:rFonts w:hint="eastAsia" w:ascii="仿宋" w:hAnsi="仿宋" w:eastAsia="仿宋" w:cs="仿宋"/>
          <w:b/>
          <w:bCs/>
          <w:sz w:val="36"/>
          <w:szCs w:val="36"/>
        </w:rPr>
        <w:t>（六）</w:t>
      </w:r>
      <w:r>
        <w:rPr>
          <w:rFonts w:hint="eastAsia" w:ascii="仿宋" w:hAnsi="仿宋" w:eastAsia="仿宋" w:cs="仿宋"/>
          <w:b/>
          <w:bCs/>
          <w:sz w:val="36"/>
          <w:szCs w:val="36"/>
          <w:lang w:eastAsia="zh-CN"/>
        </w:rPr>
        <w:t>抓党建促发展。</w:t>
      </w:r>
      <w:r>
        <w:rPr>
          <w:rFonts w:hint="eastAsia" w:ascii="仿宋" w:hAnsi="仿宋" w:eastAsia="仿宋" w:cs="仿宋"/>
          <w:sz w:val="36"/>
          <w:szCs w:val="36"/>
          <w:lang w:eastAsia="zh-CN"/>
        </w:rPr>
        <w:t>县粮食部门把党建工作与粮食经济发展有机结合起来，牢固</w:t>
      </w:r>
      <w:r>
        <w:rPr>
          <w:rFonts w:hint="eastAsia" w:ascii="仿宋" w:hAnsi="仿宋" w:eastAsia="仿宋" w:cs="仿宋"/>
          <w:sz w:val="36"/>
          <w:szCs w:val="36"/>
        </w:rPr>
        <w:t>树立抓党建促发展</w:t>
      </w:r>
      <w:r>
        <w:rPr>
          <w:rFonts w:hint="eastAsia" w:ascii="仿宋" w:hAnsi="仿宋" w:eastAsia="仿宋" w:cs="仿宋"/>
          <w:sz w:val="36"/>
          <w:szCs w:val="36"/>
          <w:lang w:eastAsia="zh-CN"/>
        </w:rPr>
        <w:t>、发展经济促党建理念</w:t>
      </w:r>
      <w:r>
        <w:rPr>
          <w:rFonts w:hint="eastAsia" w:ascii="仿宋" w:hAnsi="仿宋" w:eastAsia="仿宋" w:cs="仿宋"/>
          <w:sz w:val="36"/>
          <w:szCs w:val="36"/>
        </w:rPr>
        <w:t>，有续推进党风廉政建设工作。一是加强支部建设，在全系统党员中开展“立足本职工作争做合格党员活动”，充分发挥党员干部在粮食经济建设中的先进带头作用。二是严格执行中央“八项规定”和省委“六条禁令”，强化内部管理，严格控制非生产性支出，科学安排生产性费用支出。三是防微杜渐，建立长效预防管理机制</w:t>
      </w:r>
      <w:r>
        <w:rPr>
          <w:rFonts w:hint="eastAsia" w:ascii="仿宋" w:hAnsi="仿宋" w:eastAsia="仿宋" w:cs="仿宋"/>
          <w:sz w:val="36"/>
          <w:szCs w:val="36"/>
          <w:lang w:eastAsia="zh-CN"/>
        </w:rPr>
        <w:t>，</w:t>
      </w:r>
      <w:r>
        <w:rPr>
          <w:rFonts w:hint="eastAsia" w:ascii="仿宋" w:hAnsi="仿宋" w:eastAsia="仿宋" w:cs="仿宋"/>
          <w:sz w:val="36"/>
          <w:szCs w:val="36"/>
        </w:rPr>
        <w:t>在抓好教育和预防的同时，注意发现工作人员在行使公务职权中的不良倾向，及时抓好整改。</w:t>
      </w:r>
      <w:r>
        <w:rPr>
          <w:rFonts w:hint="eastAsia" w:ascii="仿宋" w:hAnsi="仿宋" w:eastAsia="仿宋" w:cs="仿宋"/>
          <w:sz w:val="36"/>
          <w:szCs w:val="36"/>
          <w:lang w:eastAsia="zh-CN"/>
        </w:rPr>
        <w:t>并</w:t>
      </w:r>
      <w:r>
        <w:rPr>
          <w:rFonts w:hint="eastAsia" w:ascii="仿宋" w:hAnsi="仿宋" w:eastAsia="仿宋" w:cs="仿宋"/>
          <w:sz w:val="36"/>
          <w:szCs w:val="36"/>
        </w:rPr>
        <w:t>从现象深挖根源，从个别找共性，制定相应防范措施</w:t>
      </w:r>
      <w:r>
        <w:rPr>
          <w:rFonts w:hint="eastAsia" w:ascii="仿宋" w:hAnsi="仿宋" w:eastAsia="仿宋" w:cs="仿宋"/>
          <w:sz w:val="36"/>
          <w:szCs w:val="36"/>
          <w:lang w:eastAsia="zh-CN"/>
        </w:rPr>
        <w:t>，</w:t>
      </w:r>
      <w:r>
        <w:rPr>
          <w:rFonts w:hint="eastAsia" w:ascii="仿宋" w:hAnsi="仿宋" w:eastAsia="仿宋" w:cs="仿宋"/>
          <w:sz w:val="36"/>
          <w:szCs w:val="36"/>
        </w:rPr>
        <w:t>切实抓好粮食系统党风廉政建设</w:t>
      </w:r>
      <w:r>
        <w:rPr>
          <w:rFonts w:hint="eastAsia" w:ascii="仿宋" w:hAnsi="仿宋" w:eastAsia="仿宋" w:cs="仿宋"/>
          <w:sz w:val="36"/>
          <w:szCs w:val="36"/>
          <w:lang w:eastAsia="zh-CN"/>
        </w:rPr>
        <w:t>，为粮食经济保驾护航、营造良好的发展环</w:t>
      </w:r>
      <w:r>
        <w:rPr>
          <w:rFonts w:hint="eastAsia" w:ascii="仿宋" w:hAnsi="仿宋" w:eastAsia="仿宋" w:cs="仿宋"/>
          <w:sz w:val="36"/>
          <w:szCs w:val="36"/>
          <w:lang w:val="en-US" w:eastAsia="zh-CN"/>
        </w:rPr>
        <w:t>境。</w:t>
      </w:r>
    </w:p>
    <w:p>
      <w:pPr>
        <w:keepNext w:val="0"/>
        <w:keepLines w:val="0"/>
        <w:pageBreakBefore w:val="0"/>
        <w:widowControl w:val="0"/>
        <w:numPr>
          <w:ilvl w:val="0"/>
          <w:numId w:val="0"/>
        </w:numPr>
        <w:kinsoku/>
        <w:wordWrap/>
        <w:overflowPunct/>
        <w:topLinePunct w:val="0"/>
        <w:autoSpaceDE w:val="0"/>
        <w:autoSpaceDN/>
        <w:bidi w:val="0"/>
        <w:adjustRightInd/>
        <w:snapToGrid/>
        <w:spacing w:line="560" w:lineRule="exact"/>
        <w:ind w:leftChars="0" w:firstLine="723" w:firstLineChars="200"/>
        <w:textAlignment w:val="auto"/>
        <w:rPr>
          <w:rFonts w:hint="eastAsia" w:ascii="仿宋" w:hAnsi="仿宋" w:eastAsia="仿宋" w:cs="仿宋"/>
          <w:b/>
          <w:bCs/>
          <w:sz w:val="36"/>
          <w:szCs w:val="36"/>
          <w:highlight w:val="none"/>
        </w:rPr>
      </w:pPr>
      <w:r>
        <w:rPr>
          <w:rFonts w:hint="eastAsia" w:ascii="仿宋" w:hAnsi="仿宋" w:eastAsia="仿宋" w:cs="仿宋"/>
          <w:b/>
          <w:bCs/>
          <w:sz w:val="36"/>
          <w:szCs w:val="36"/>
          <w:highlight w:val="none"/>
          <w:lang w:eastAsia="zh-CN"/>
        </w:rPr>
        <w:t>（三）</w:t>
      </w:r>
      <w:r>
        <w:rPr>
          <w:rFonts w:hint="eastAsia" w:ascii="仿宋" w:hAnsi="仿宋" w:eastAsia="仿宋" w:cs="仿宋"/>
          <w:b/>
          <w:bCs/>
          <w:sz w:val="36"/>
          <w:szCs w:val="36"/>
          <w:highlight w:val="none"/>
        </w:rPr>
        <w:t>当年部门年度整体支出绩效目标</w:t>
      </w:r>
    </w:p>
    <w:p>
      <w:pPr>
        <w:pStyle w:val="2"/>
        <w:ind w:firstLine="720" w:firstLineChars="200"/>
        <w:rPr>
          <w:rFonts w:hint="eastAsia" w:ascii="仿宋" w:hAnsi="仿宋" w:eastAsia="仿宋" w:cs="仿宋"/>
          <w:sz w:val="36"/>
          <w:szCs w:val="36"/>
          <w:lang w:val="en-US" w:eastAsia="zh-CN"/>
        </w:rPr>
      </w:pPr>
      <w:r>
        <w:rPr>
          <w:rFonts w:hint="eastAsia" w:ascii="仿宋" w:hAnsi="仿宋" w:eastAsia="仿宋" w:cs="仿宋"/>
          <w:sz w:val="36"/>
          <w:szCs w:val="36"/>
          <w:lang w:eastAsia="zh-CN"/>
        </w:rPr>
        <w:t>我局</w:t>
      </w:r>
      <w:r>
        <w:rPr>
          <w:rFonts w:hint="eastAsia" w:ascii="仿宋" w:hAnsi="仿宋" w:eastAsia="仿宋" w:cs="仿宋"/>
          <w:color w:val="333333"/>
          <w:kern w:val="0"/>
          <w:sz w:val="36"/>
          <w:szCs w:val="36"/>
        </w:rPr>
        <w:t>站在粮食安全的高度，主动策应乡村振兴战略和国家粮食价格机制（收储）改革，坚持“守底线、保安全、惠民生、促发展”的粮食工作目标，树立绿色发展理念，进一步强化市场意识，全力抓好行业自身建设</w:t>
      </w:r>
      <w:r>
        <w:rPr>
          <w:rFonts w:hint="eastAsia" w:ascii="仿宋" w:hAnsi="仿宋" w:eastAsia="仿宋" w:cs="仿宋"/>
          <w:color w:val="333333"/>
          <w:kern w:val="0"/>
          <w:sz w:val="36"/>
          <w:szCs w:val="36"/>
          <w:lang w:eastAsia="zh-CN"/>
        </w:rPr>
        <w:t>。</w:t>
      </w:r>
    </w:p>
    <w:p>
      <w:pPr>
        <w:keepNext w:val="0"/>
        <w:keepLines w:val="0"/>
        <w:pageBreakBefore w:val="0"/>
        <w:widowControl w:val="0"/>
        <w:kinsoku/>
        <w:wordWrap/>
        <w:overflowPunct/>
        <w:topLinePunct w:val="0"/>
        <w:autoSpaceDE w:val="0"/>
        <w:autoSpaceDN/>
        <w:bidi w:val="0"/>
        <w:adjustRightInd/>
        <w:snapToGrid/>
        <w:spacing w:line="560" w:lineRule="exact"/>
        <w:ind w:firstLine="723" w:firstLineChars="200"/>
        <w:textAlignment w:val="auto"/>
        <w:rPr>
          <w:rFonts w:hint="eastAsia" w:ascii="仿宋" w:hAnsi="仿宋" w:eastAsia="仿宋" w:cs="仿宋"/>
          <w:b/>
          <w:bCs/>
          <w:color w:val="000000"/>
          <w:sz w:val="36"/>
          <w:szCs w:val="36"/>
        </w:rPr>
      </w:pPr>
      <w:r>
        <w:rPr>
          <w:rFonts w:hint="eastAsia" w:ascii="仿宋" w:hAnsi="仿宋" w:eastAsia="仿宋" w:cs="仿宋"/>
          <w:b/>
          <w:bCs/>
          <w:color w:val="000000"/>
          <w:sz w:val="36"/>
          <w:szCs w:val="36"/>
        </w:rPr>
        <w:t>（四）部门预算绩效管理开展情况</w:t>
      </w:r>
    </w:p>
    <w:p>
      <w:pPr>
        <w:keepNext w:val="0"/>
        <w:keepLines w:val="0"/>
        <w:pageBreakBefore w:val="0"/>
        <w:widowControl w:val="0"/>
        <w:kinsoku/>
        <w:wordWrap/>
        <w:overflowPunct/>
        <w:topLinePunct w:val="0"/>
        <w:autoSpaceDE w:val="0"/>
        <w:autoSpaceDN/>
        <w:bidi w:val="0"/>
        <w:adjustRightInd/>
        <w:snapToGrid/>
        <w:spacing w:line="560" w:lineRule="exact"/>
        <w:ind w:firstLine="720" w:firstLineChars="200"/>
        <w:textAlignment w:val="auto"/>
        <w:rPr>
          <w:rFonts w:hint="eastAsia" w:ascii="仿宋" w:hAnsi="仿宋" w:eastAsia="仿宋" w:cs="仿宋"/>
          <w:color w:val="000000"/>
          <w:sz w:val="36"/>
          <w:szCs w:val="36"/>
        </w:rPr>
      </w:pPr>
      <w:r>
        <w:rPr>
          <w:rFonts w:hint="eastAsia" w:ascii="仿宋" w:hAnsi="仿宋" w:eastAsia="仿宋" w:cs="仿宋"/>
          <w:color w:val="000000"/>
          <w:sz w:val="36"/>
          <w:szCs w:val="36"/>
        </w:rPr>
        <w:t>1.合理设置预算绩效管理目标。我局按照县财政及相关管理要求，结合部门职责和当年工作任务，确定当年部门预算绩效管理目标，优化绩效指标体系和设置绩效评价标准。</w:t>
      </w:r>
    </w:p>
    <w:p>
      <w:pPr>
        <w:keepNext w:val="0"/>
        <w:keepLines w:val="0"/>
        <w:pageBreakBefore w:val="0"/>
        <w:widowControl w:val="0"/>
        <w:kinsoku/>
        <w:wordWrap/>
        <w:overflowPunct/>
        <w:topLinePunct w:val="0"/>
        <w:autoSpaceDE w:val="0"/>
        <w:autoSpaceDN/>
        <w:bidi w:val="0"/>
        <w:adjustRightInd/>
        <w:snapToGrid/>
        <w:spacing w:line="560" w:lineRule="exact"/>
        <w:ind w:firstLine="720" w:firstLineChars="200"/>
        <w:textAlignment w:val="auto"/>
        <w:rPr>
          <w:rFonts w:hint="eastAsia" w:ascii="仿宋" w:hAnsi="仿宋" w:eastAsia="仿宋" w:cs="仿宋"/>
          <w:color w:val="000000"/>
          <w:sz w:val="36"/>
          <w:szCs w:val="36"/>
        </w:rPr>
      </w:pPr>
      <w:r>
        <w:rPr>
          <w:rFonts w:hint="eastAsia" w:ascii="仿宋" w:hAnsi="仿宋" w:eastAsia="仿宋" w:cs="仿宋"/>
          <w:color w:val="000000"/>
          <w:sz w:val="36"/>
          <w:szCs w:val="36"/>
        </w:rPr>
        <w:t>2.定期开展预算绩效执行分析。结合设定的绩效管理目标，加强对预算绩效执行日常管理和监控，并定期对执行信息进行收集、审核、分析；分析偏离绩效目标的原因，并及时采取纠偏措施。</w:t>
      </w:r>
    </w:p>
    <w:p>
      <w:pPr>
        <w:keepNext w:val="0"/>
        <w:keepLines w:val="0"/>
        <w:pageBreakBefore w:val="0"/>
        <w:widowControl w:val="0"/>
        <w:kinsoku/>
        <w:wordWrap/>
        <w:overflowPunct/>
        <w:topLinePunct w:val="0"/>
        <w:autoSpaceDE w:val="0"/>
        <w:autoSpaceDN/>
        <w:bidi w:val="0"/>
        <w:adjustRightInd/>
        <w:snapToGrid/>
        <w:spacing w:line="560" w:lineRule="exact"/>
        <w:ind w:firstLine="720" w:firstLineChars="200"/>
        <w:textAlignment w:val="auto"/>
        <w:rPr>
          <w:rFonts w:hint="eastAsia" w:ascii="仿宋" w:hAnsi="仿宋" w:eastAsia="仿宋" w:cs="仿宋"/>
          <w:color w:val="000000"/>
          <w:sz w:val="36"/>
          <w:szCs w:val="36"/>
        </w:rPr>
      </w:pPr>
      <w:r>
        <w:rPr>
          <w:rFonts w:hint="eastAsia" w:ascii="仿宋" w:hAnsi="仿宋" w:eastAsia="仿宋" w:cs="仿宋"/>
          <w:color w:val="000000"/>
          <w:sz w:val="36"/>
          <w:szCs w:val="36"/>
        </w:rPr>
        <w:t>3.高度重视预算绩效管理自评工作。在年度终了或项目完成时，按照“查问题、找原因”的思路，开展预算绩效管理自评工作，对照设定的绩效管理目标和评价标准，找出我局在当前预算绩效管理工作中存在的不足和问题。</w:t>
      </w:r>
    </w:p>
    <w:p>
      <w:pPr>
        <w:keepNext w:val="0"/>
        <w:keepLines w:val="0"/>
        <w:pageBreakBefore w:val="0"/>
        <w:widowControl w:val="0"/>
        <w:kinsoku/>
        <w:wordWrap/>
        <w:overflowPunct/>
        <w:topLinePunct w:val="0"/>
        <w:autoSpaceDE w:val="0"/>
        <w:autoSpaceDN/>
        <w:bidi w:val="0"/>
        <w:adjustRightInd/>
        <w:snapToGrid/>
        <w:spacing w:line="560" w:lineRule="exact"/>
        <w:ind w:firstLine="720" w:firstLineChars="200"/>
        <w:textAlignment w:val="auto"/>
        <w:rPr>
          <w:rFonts w:hint="eastAsia" w:ascii="仿宋" w:hAnsi="仿宋" w:eastAsia="仿宋" w:cs="仿宋"/>
          <w:color w:val="000000"/>
          <w:sz w:val="36"/>
          <w:szCs w:val="36"/>
        </w:rPr>
      </w:pPr>
      <w:r>
        <w:rPr>
          <w:rFonts w:hint="eastAsia" w:ascii="仿宋" w:hAnsi="仿宋" w:eastAsia="仿宋" w:cs="仿宋"/>
          <w:color w:val="000000"/>
          <w:sz w:val="36"/>
          <w:szCs w:val="36"/>
        </w:rPr>
        <w:t>4.充分利用预算绩效管理评价结果。根据预算绩效评价中找出的问题和原因，进行整改，同时，将评价结果作为次年预算编制的依据，从而进一步提升我局预算绩效管理水平。</w:t>
      </w:r>
    </w:p>
    <w:p>
      <w:pPr>
        <w:keepNext w:val="0"/>
        <w:keepLines w:val="0"/>
        <w:pageBreakBefore w:val="0"/>
        <w:widowControl w:val="0"/>
        <w:kinsoku/>
        <w:wordWrap/>
        <w:overflowPunct/>
        <w:topLinePunct w:val="0"/>
        <w:autoSpaceDE w:val="0"/>
        <w:autoSpaceDN/>
        <w:bidi w:val="0"/>
        <w:adjustRightInd/>
        <w:snapToGrid/>
        <w:spacing w:line="560" w:lineRule="exact"/>
        <w:ind w:firstLine="723" w:firstLineChars="200"/>
        <w:textAlignment w:val="auto"/>
        <w:rPr>
          <w:rFonts w:hint="eastAsia" w:ascii="仿宋" w:hAnsi="仿宋" w:eastAsia="仿宋" w:cs="仿宋"/>
          <w:b/>
          <w:bCs/>
          <w:color w:val="000000"/>
          <w:sz w:val="36"/>
          <w:szCs w:val="36"/>
        </w:rPr>
      </w:pPr>
      <w:r>
        <w:rPr>
          <w:rFonts w:hint="eastAsia" w:ascii="仿宋" w:hAnsi="仿宋" w:eastAsia="仿宋" w:cs="仿宋"/>
          <w:b/>
          <w:bCs/>
          <w:color w:val="000000"/>
          <w:sz w:val="36"/>
          <w:szCs w:val="36"/>
        </w:rPr>
        <w:t>（五）当年部门预算及执行情况</w:t>
      </w:r>
    </w:p>
    <w:p>
      <w:pPr>
        <w:keepNext w:val="0"/>
        <w:keepLines w:val="0"/>
        <w:pageBreakBefore w:val="0"/>
        <w:widowControl w:val="0"/>
        <w:kinsoku/>
        <w:wordWrap/>
        <w:overflowPunct/>
        <w:topLinePunct w:val="0"/>
        <w:autoSpaceDE w:val="0"/>
        <w:autoSpaceDN/>
        <w:bidi w:val="0"/>
        <w:adjustRightInd/>
        <w:snapToGrid/>
        <w:spacing w:line="560" w:lineRule="exact"/>
        <w:ind w:firstLine="723" w:firstLineChars="200"/>
        <w:textAlignment w:val="auto"/>
        <w:rPr>
          <w:rFonts w:hint="eastAsia" w:ascii="仿宋" w:hAnsi="仿宋" w:eastAsia="仿宋" w:cs="仿宋"/>
          <w:b/>
          <w:bCs/>
          <w:color w:val="000000"/>
          <w:sz w:val="36"/>
          <w:szCs w:val="36"/>
        </w:rPr>
      </w:pPr>
      <w:r>
        <w:rPr>
          <w:rFonts w:hint="eastAsia" w:ascii="仿宋" w:hAnsi="仿宋" w:eastAsia="仿宋" w:cs="仿宋"/>
          <w:b/>
          <w:bCs/>
          <w:color w:val="000000"/>
          <w:sz w:val="36"/>
          <w:szCs w:val="36"/>
        </w:rPr>
        <w:t>1.部门预算情况</w:t>
      </w:r>
    </w:p>
    <w:p>
      <w:pPr>
        <w:keepNext w:val="0"/>
        <w:keepLines w:val="0"/>
        <w:pageBreakBefore w:val="0"/>
        <w:widowControl w:val="0"/>
        <w:kinsoku/>
        <w:wordWrap/>
        <w:overflowPunct/>
        <w:topLinePunct w:val="0"/>
        <w:autoSpaceDE w:val="0"/>
        <w:autoSpaceDN/>
        <w:bidi w:val="0"/>
        <w:adjustRightInd/>
        <w:snapToGrid/>
        <w:spacing w:line="560" w:lineRule="exact"/>
        <w:ind w:firstLine="720" w:firstLineChars="200"/>
        <w:textAlignment w:val="auto"/>
        <w:rPr>
          <w:rFonts w:hint="eastAsia" w:ascii="仿宋" w:hAnsi="仿宋" w:eastAsia="仿宋" w:cs="仿宋"/>
          <w:color w:val="000000"/>
          <w:sz w:val="36"/>
          <w:szCs w:val="36"/>
          <w:highlight w:val="none"/>
          <w:lang w:val="en-US" w:eastAsia="zh-CN"/>
        </w:rPr>
      </w:pPr>
      <w:r>
        <w:rPr>
          <w:rFonts w:hint="eastAsia" w:ascii="仿宋" w:hAnsi="仿宋" w:eastAsia="仿宋" w:cs="仿宋"/>
          <w:color w:val="000000"/>
          <w:sz w:val="36"/>
          <w:szCs w:val="36"/>
          <w:highlight w:val="none"/>
        </w:rPr>
        <w:t>202</w:t>
      </w:r>
      <w:r>
        <w:rPr>
          <w:rFonts w:hint="eastAsia" w:ascii="仿宋" w:hAnsi="仿宋" w:eastAsia="仿宋" w:cs="仿宋"/>
          <w:color w:val="000000"/>
          <w:sz w:val="36"/>
          <w:szCs w:val="36"/>
          <w:highlight w:val="none"/>
          <w:lang w:val="en-US" w:eastAsia="zh-CN"/>
        </w:rPr>
        <w:t>1</w:t>
      </w:r>
      <w:r>
        <w:rPr>
          <w:rFonts w:hint="eastAsia" w:ascii="仿宋" w:hAnsi="仿宋" w:eastAsia="仿宋" w:cs="仿宋"/>
          <w:color w:val="000000"/>
          <w:sz w:val="36"/>
          <w:szCs w:val="36"/>
          <w:highlight w:val="none"/>
        </w:rPr>
        <w:t>年全年收入预算数为</w:t>
      </w:r>
      <w:r>
        <w:rPr>
          <w:rFonts w:hint="eastAsia" w:ascii="仿宋" w:hAnsi="仿宋" w:eastAsia="仿宋" w:cs="仿宋"/>
          <w:color w:val="000000"/>
          <w:sz w:val="36"/>
          <w:szCs w:val="36"/>
          <w:highlight w:val="none"/>
          <w:lang w:val="en-US" w:eastAsia="zh-CN"/>
        </w:rPr>
        <w:t>107.27</w:t>
      </w:r>
      <w:r>
        <w:rPr>
          <w:rFonts w:hint="eastAsia" w:ascii="仿宋" w:hAnsi="仿宋" w:eastAsia="仿宋" w:cs="仿宋"/>
          <w:color w:val="000000"/>
          <w:sz w:val="36"/>
          <w:szCs w:val="36"/>
          <w:highlight w:val="none"/>
        </w:rPr>
        <w:t>万元，资金来源为财政拨款</w:t>
      </w:r>
      <w:r>
        <w:rPr>
          <w:rFonts w:hint="eastAsia" w:ascii="仿宋" w:hAnsi="仿宋" w:eastAsia="仿宋" w:cs="仿宋"/>
          <w:color w:val="000000"/>
          <w:sz w:val="36"/>
          <w:szCs w:val="36"/>
          <w:highlight w:val="none"/>
          <w:lang w:val="en-US" w:eastAsia="zh-CN"/>
        </w:rPr>
        <w:t>580.95</w:t>
      </w:r>
      <w:r>
        <w:rPr>
          <w:rFonts w:hint="eastAsia" w:ascii="仿宋" w:hAnsi="仿宋" w:eastAsia="仿宋" w:cs="仿宋"/>
          <w:color w:val="000000"/>
          <w:sz w:val="36"/>
          <w:szCs w:val="36"/>
          <w:highlight w:val="none"/>
        </w:rPr>
        <w:t>万元</w:t>
      </w:r>
      <w:r>
        <w:rPr>
          <w:rFonts w:hint="eastAsia" w:ascii="仿宋" w:hAnsi="仿宋" w:eastAsia="仿宋" w:cs="仿宋"/>
          <w:color w:val="000000"/>
          <w:sz w:val="36"/>
          <w:szCs w:val="36"/>
          <w:highlight w:val="none"/>
          <w:lang w:eastAsia="zh-CN"/>
        </w:rPr>
        <w:t>，</w:t>
      </w:r>
      <w:r>
        <w:rPr>
          <w:rFonts w:hint="eastAsia" w:ascii="仿宋" w:hAnsi="仿宋" w:eastAsia="仿宋" w:cs="仿宋"/>
          <w:color w:val="000000"/>
          <w:sz w:val="36"/>
          <w:szCs w:val="36"/>
          <w:highlight w:val="none"/>
          <w:lang w:val="en-US" w:eastAsia="zh-CN"/>
        </w:rPr>
        <w:t>其他资金129.20</w:t>
      </w:r>
      <w:r>
        <w:rPr>
          <w:rFonts w:hint="eastAsia" w:ascii="仿宋" w:hAnsi="仿宋" w:eastAsia="仿宋" w:cs="仿宋"/>
          <w:color w:val="000000"/>
          <w:sz w:val="36"/>
          <w:szCs w:val="36"/>
          <w:highlight w:val="none"/>
        </w:rPr>
        <w:t>万元</w:t>
      </w:r>
      <w:r>
        <w:rPr>
          <w:rFonts w:hint="eastAsia" w:ascii="仿宋" w:hAnsi="仿宋" w:eastAsia="仿宋" w:cs="仿宋"/>
          <w:color w:val="000000"/>
          <w:sz w:val="36"/>
          <w:szCs w:val="36"/>
          <w:highlight w:val="none"/>
          <w:lang w:eastAsia="zh-CN"/>
        </w:rPr>
        <w:t>；其中，基本支出</w:t>
      </w:r>
      <w:r>
        <w:rPr>
          <w:rFonts w:hint="eastAsia" w:ascii="仿宋" w:hAnsi="仿宋" w:eastAsia="仿宋" w:cs="仿宋"/>
          <w:color w:val="000000"/>
          <w:sz w:val="36"/>
          <w:szCs w:val="36"/>
          <w:highlight w:val="none"/>
          <w:lang w:val="en-US" w:eastAsia="zh-CN"/>
        </w:rPr>
        <w:t>224.67万元、项目支出485.48万元。</w:t>
      </w:r>
    </w:p>
    <w:p>
      <w:pPr>
        <w:keepNext w:val="0"/>
        <w:keepLines w:val="0"/>
        <w:pageBreakBefore w:val="0"/>
        <w:widowControl w:val="0"/>
        <w:kinsoku/>
        <w:wordWrap/>
        <w:overflowPunct/>
        <w:topLinePunct w:val="0"/>
        <w:autoSpaceDE w:val="0"/>
        <w:autoSpaceDN/>
        <w:bidi w:val="0"/>
        <w:adjustRightInd/>
        <w:snapToGrid/>
        <w:spacing w:line="560" w:lineRule="exact"/>
        <w:ind w:firstLine="723" w:firstLineChars="200"/>
        <w:textAlignment w:val="auto"/>
        <w:rPr>
          <w:rFonts w:hint="eastAsia" w:ascii="仿宋" w:hAnsi="仿宋" w:eastAsia="仿宋" w:cs="仿宋"/>
          <w:b/>
          <w:bCs/>
          <w:color w:val="000000"/>
          <w:sz w:val="36"/>
          <w:szCs w:val="36"/>
          <w:highlight w:val="none"/>
        </w:rPr>
      </w:pPr>
      <w:r>
        <w:rPr>
          <w:rFonts w:hint="eastAsia" w:ascii="仿宋" w:hAnsi="仿宋" w:eastAsia="仿宋" w:cs="仿宋"/>
          <w:b/>
          <w:bCs/>
          <w:color w:val="000000"/>
          <w:sz w:val="36"/>
          <w:szCs w:val="36"/>
          <w:highlight w:val="none"/>
        </w:rPr>
        <w:t>2.预算执行情况</w:t>
      </w:r>
    </w:p>
    <w:p>
      <w:pPr>
        <w:keepNext w:val="0"/>
        <w:keepLines w:val="0"/>
        <w:pageBreakBefore w:val="0"/>
        <w:widowControl w:val="0"/>
        <w:kinsoku/>
        <w:wordWrap/>
        <w:overflowPunct/>
        <w:topLinePunct w:val="0"/>
        <w:autoSpaceDE w:val="0"/>
        <w:autoSpaceDN/>
        <w:bidi w:val="0"/>
        <w:adjustRightInd/>
        <w:snapToGrid/>
        <w:spacing w:line="560" w:lineRule="exact"/>
        <w:ind w:firstLine="720" w:firstLineChars="200"/>
        <w:textAlignment w:val="auto"/>
        <w:rPr>
          <w:rFonts w:hint="eastAsia" w:ascii="仿宋" w:hAnsi="仿宋" w:eastAsia="仿宋" w:cs="仿宋"/>
          <w:color w:val="000000"/>
          <w:sz w:val="36"/>
          <w:szCs w:val="36"/>
          <w:highlight w:val="none"/>
        </w:rPr>
      </w:pPr>
      <w:r>
        <w:rPr>
          <w:rFonts w:hint="eastAsia" w:ascii="仿宋" w:hAnsi="仿宋" w:eastAsia="仿宋" w:cs="仿宋"/>
          <w:color w:val="000000"/>
          <w:sz w:val="36"/>
          <w:szCs w:val="36"/>
          <w:highlight w:val="none"/>
        </w:rPr>
        <w:t>202</w:t>
      </w:r>
      <w:r>
        <w:rPr>
          <w:rFonts w:hint="eastAsia" w:ascii="仿宋" w:hAnsi="仿宋" w:eastAsia="仿宋" w:cs="仿宋"/>
          <w:color w:val="000000"/>
          <w:sz w:val="36"/>
          <w:szCs w:val="36"/>
          <w:highlight w:val="none"/>
          <w:lang w:val="en-US" w:eastAsia="zh-CN"/>
        </w:rPr>
        <w:t>1</w:t>
      </w:r>
      <w:r>
        <w:rPr>
          <w:rFonts w:hint="eastAsia" w:ascii="仿宋" w:hAnsi="仿宋" w:eastAsia="仿宋" w:cs="仿宋"/>
          <w:color w:val="000000"/>
          <w:sz w:val="36"/>
          <w:szCs w:val="36"/>
          <w:highlight w:val="none"/>
        </w:rPr>
        <w:t>年全年支出执行数为</w:t>
      </w:r>
      <w:r>
        <w:rPr>
          <w:rFonts w:hint="eastAsia" w:ascii="仿宋" w:hAnsi="仿宋" w:eastAsia="仿宋" w:cs="仿宋"/>
          <w:color w:val="000000"/>
          <w:sz w:val="36"/>
          <w:szCs w:val="36"/>
          <w:highlight w:val="none"/>
          <w:lang w:val="en-US" w:eastAsia="zh-CN"/>
        </w:rPr>
        <w:t>710.15</w:t>
      </w:r>
      <w:r>
        <w:rPr>
          <w:rFonts w:hint="eastAsia" w:ascii="仿宋" w:hAnsi="仿宋" w:eastAsia="仿宋" w:cs="仿宋"/>
          <w:color w:val="000000"/>
          <w:sz w:val="36"/>
          <w:szCs w:val="36"/>
          <w:highlight w:val="none"/>
        </w:rPr>
        <w:t>万元，预算执行率为</w:t>
      </w:r>
      <w:r>
        <w:rPr>
          <w:rFonts w:hint="eastAsia" w:ascii="仿宋" w:hAnsi="仿宋" w:eastAsia="仿宋" w:cs="仿宋"/>
          <w:color w:val="000000"/>
          <w:sz w:val="36"/>
          <w:szCs w:val="36"/>
          <w:highlight w:val="none"/>
          <w:lang w:val="en-US" w:eastAsia="zh-CN"/>
        </w:rPr>
        <w:t>100%</w:t>
      </w:r>
      <w:r>
        <w:rPr>
          <w:rFonts w:hint="eastAsia" w:ascii="仿宋" w:hAnsi="仿宋" w:eastAsia="仿宋" w:cs="仿宋"/>
          <w:color w:val="000000"/>
          <w:sz w:val="36"/>
          <w:szCs w:val="36"/>
          <w:highlight w:val="none"/>
        </w:rPr>
        <w:t>，预算执行率情况较好，其中，基本支出</w:t>
      </w:r>
      <w:r>
        <w:rPr>
          <w:rFonts w:hint="eastAsia" w:ascii="仿宋" w:hAnsi="仿宋" w:eastAsia="仿宋" w:cs="仿宋"/>
          <w:color w:val="000000"/>
          <w:sz w:val="36"/>
          <w:szCs w:val="36"/>
          <w:highlight w:val="none"/>
          <w:lang w:val="en-US" w:eastAsia="zh-CN"/>
        </w:rPr>
        <w:t>224.67</w:t>
      </w:r>
      <w:r>
        <w:rPr>
          <w:rFonts w:hint="eastAsia" w:ascii="仿宋" w:hAnsi="仿宋" w:eastAsia="仿宋" w:cs="仿宋"/>
          <w:color w:val="000000"/>
          <w:sz w:val="36"/>
          <w:szCs w:val="36"/>
          <w:highlight w:val="none"/>
        </w:rPr>
        <w:t>万元，预算执行率为</w:t>
      </w:r>
      <w:r>
        <w:rPr>
          <w:rFonts w:hint="eastAsia" w:ascii="仿宋" w:hAnsi="仿宋" w:eastAsia="仿宋" w:cs="仿宋"/>
          <w:color w:val="000000"/>
          <w:sz w:val="36"/>
          <w:szCs w:val="36"/>
          <w:highlight w:val="none"/>
          <w:lang w:val="en-US" w:eastAsia="zh-CN"/>
        </w:rPr>
        <w:t>100%</w:t>
      </w:r>
      <w:r>
        <w:rPr>
          <w:rFonts w:hint="eastAsia" w:ascii="仿宋" w:hAnsi="仿宋" w:eastAsia="仿宋" w:cs="仿宋"/>
          <w:color w:val="000000"/>
          <w:sz w:val="36"/>
          <w:szCs w:val="36"/>
          <w:highlight w:val="none"/>
        </w:rPr>
        <w:t>；项目支出</w:t>
      </w:r>
      <w:r>
        <w:rPr>
          <w:rFonts w:hint="eastAsia" w:ascii="仿宋" w:hAnsi="仿宋" w:eastAsia="仿宋" w:cs="仿宋"/>
          <w:color w:val="000000"/>
          <w:sz w:val="36"/>
          <w:szCs w:val="36"/>
          <w:highlight w:val="none"/>
          <w:lang w:val="en-US" w:eastAsia="zh-CN"/>
        </w:rPr>
        <w:t>485.48</w:t>
      </w:r>
      <w:r>
        <w:rPr>
          <w:rFonts w:hint="eastAsia" w:ascii="仿宋" w:hAnsi="仿宋" w:eastAsia="仿宋" w:cs="仿宋"/>
          <w:color w:val="000000"/>
          <w:sz w:val="36"/>
          <w:szCs w:val="36"/>
          <w:highlight w:val="none"/>
        </w:rPr>
        <w:t>万元，预算执行率为</w:t>
      </w:r>
      <w:r>
        <w:rPr>
          <w:rFonts w:hint="eastAsia" w:ascii="仿宋" w:hAnsi="仿宋" w:eastAsia="仿宋" w:cs="仿宋"/>
          <w:color w:val="000000"/>
          <w:sz w:val="36"/>
          <w:szCs w:val="36"/>
          <w:highlight w:val="none"/>
          <w:lang w:val="en-US" w:eastAsia="zh-CN"/>
        </w:rPr>
        <w:t>100%</w:t>
      </w:r>
      <w:r>
        <w:rPr>
          <w:rFonts w:hint="eastAsia" w:ascii="仿宋" w:hAnsi="仿宋" w:eastAsia="仿宋" w:cs="仿宋"/>
          <w:color w:val="000000"/>
          <w:sz w:val="36"/>
          <w:szCs w:val="36"/>
          <w:highlight w:val="none"/>
        </w:rPr>
        <w:t xml:space="preserve"> 。</w:t>
      </w:r>
    </w:p>
    <w:p>
      <w:pPr>
        <w:keepNext w:val="0"/>
        <w:keepLines w:val="0"/>
        <w:pageBreakBefore w:val="0"/>
        <w:widowControl w:val="0"/>
        <w:kinsoku/>
        <w:wordWrap/>
        <w:overflowPunct/>
        <w:topLinePunct w:val="0"/>
        <w:autoSpaceDE w:val="0"/>
        <w:autoSpaceDN/>
        <w:bidi w:val="0"/>
        <w:adjustRightInd/>
        <w:snapToGrid/>
        <w:spacing w:line="560" w:lineRule="exact"/>
        <w:ind w:firstLine="723" w:firstLineChars="200"/>
        <w:textAlignment w:val="auto"/>
        <w:rPr>
          <w:rFonts w:hint="eastAsia" w:ascii="仿宋" w:hAnsi="仿宋" w:eastAsia="仿宋" w:cs="仿宋"/>
          <w:b/>
          <w:bCs/>
          <w:color w:val="000000"/>
          <w:sz w:val="36"/>
          <w:szCs w:val="36"/>
        </w:rPr>
      </w:pPr>
      <w:r>
        <w:rPr>
          <w:rFonts w:hint="eastAsia" w:ascii="仿宋" w:hAnsi="仿宋" w:eastAsia="仿宋" w:cs="仿宋"/>
          <w:b/>
          <w:bCs/>
          <w:color w:val="000000"/>
          <w:sz w:val="36"/>
          <w:szCs w:val="36"/>
        </w:rPr>
        <w:t>二、部门整体支出绩效实现情况</w:t>
      </w:r>
    </w:p>
    <w:p>
      <w:pPr>
        <w:keepNext w:val="0"/>
        <w:keepLines w:val="0"/>
        <w:pageBreakBefore w:val="0"/>
        <w:widowControl w:val="0"/>
        <w:kinsoku/>
        <w:wordWrap/>
        <w:overflowPunct/>
        <w:topLinePunct w:val="0"/>
        <w:autoSpaceDE w:val="0"/>
        <w:autoSpaceDN/>
        <w:bidi w:val="0"/>
        <w:adjustRightInd/>
        <w:snapToGrid/>
        <w:spacing w:line="560" w:lineRule="exact"/>
        <w:ind w:firstLine="720" w:firstLineChars="200"/>
        <w:textAlignment w:val="auto"/>
        <w:rPr>
          <w:rFonts w:hint="eastAsia" w:ascii="仿宋" w:hAnsi="仿宋" w:eastAsia="仿宋" w:cs="仿宋"/>
          <w:b/>
          <w:sz w:val="36"/>
          <w:szCs w:val="36"/>
          <w:lang w:eastAsia="zh-CN"/>
        </w:rPr>
      </w:pPr>
      <w:r>
        <w:rPr>
          <w:rFonts w:hint="eastAsia" w:ascii="仿宋" w:hAnsi="仿宋" w:eastAsia="仿宋" w:cs="仿宋"/>
          <w:color w:val="000000"/>
          <w:sz w:val="36"/>
          <w:szCs w:val="36"/>
        </w:rPr>
        <w:t>我局部门整体支出能够根据履责需要和科学合理的编制预决算，不断完善和落实相关的管理制度，从管理机制上规范预算执行，为有效履行职责和完成各项重点工作任务发挥了重要的保障支撑作用。依据县级部门整体支出绩效评价指标体系和评分标准，综合评定我局2020年部门整体支出绩效得分</w:t>
      </w:r>
      <w:r>
        <w:rPr>
          <w:rFonts w:hint="eastAsia" w:ascii="仿宋" w:hAnsi="仿宋" w:eastAsia="仿宋" w:cs="仿宋"/>
          <w:color w:val="000000"/>
          <w:sz w:val="36"/>
          <w:szCs w:val="36"/>
          <w:lang w:val="en-US" w:eastAsia="zh-CN"/>
        </w:rPr>
        <w:t>98</w:t>
      </w:r>
      <w:r>
        <w:rPr>
          <w:rFonts w:hint="eastAsia" w:ascii="仿宋" w:hAnsi="仿宋" w:eastAsia="仿宋" w:cs="仿宋"/>
          <w:color w:val="000000"/>
          <w:sz w:val="36"/>
          <w:szCs w:val="36"/>
        </w:rPr>
        <w:t>，绩效等级为</w:t>
      </w:r>
      <w:r>
        <w:rPr>
          <w:rFonts w:hint="eastAsia" w:ascii="仿宋" w:hAnsi="仿宋" w:eastAsia="仿宋" w:cs="仿宋"/>
          <w:color w:val="000000"/>
          <w:sz w:val="36"/>
          <w:szCs w:val="36"/>
          <w:lang w:eastAsia="zh-CN"/>
        </w:rPr>
        <w:t>“优</w:t>
      </w:r>
      <w:r>
        <w:rPr>
          <w:rFonts w:hint="eastAsia" w:ascii="仿宋" w:hAnsi="仿宋" w:eastAsia="仿宋" w:cs="仿宋"/>
          <w:color w:val="000000"/>
          <w:sz w:val="36"/>
          <w:szCs w:val="36"/>
        </w:rPr>
        <w:t xml:space="preserve"> </w:t>
      </w:r>
      <w:r>
        <w:rPr>
          <w:rFonts w:hint="eastAsia" w:ascii="仿宋" w:hAnsi="仿宋" w:eastAsia="仿宋" w:cs="仿宋"/>
          <w:color w:val="000000"/>
          <w:sz w:val="36"/>
          <w:szCs w:val="36"/>
          <w:lang w:eastAsia="zh-CN"/>
        </w:rPr>
        <w:t>”（详见附件）。</w:t>
      </w:r>
    </w:p>
    <w:p>
      <w:pPr>
        <w:keepNext w:val="0"/>
        <w:keepLines w:val="0"/>
        <w:pageBreakBefore w:val="0"/>
        <w:widowControl w:val="0"/>
        <w:numPr>
          <w:ilvl w:val="0"/>
          <w:numId w:val="2"/>
        </w:numPr>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sz w:val="36"/>
          <w:szCs w:val="36"/>
          <w:lang w:eastAsia="zh-CN"/>
        </w:rPr>
      </w:pPr>
      <w:r>
        <w:rPr>
          <w:rFonts w:hint="eastAsia" w:ascii="仿宋" w:hAnsi="仿宋" w:eastAsia="仿宋" w:cs="仿宋"/>
          <w:b/>
          <w:sz w:val="36"/>
          <w:szCs w:val="36"/>
          <w:lang w:eastAsia="zh-CN"/>
        </w:rPr>
        <w:t>履职完成情况</w:t>
      </w:r>
    </w:p>
    <w:p>
      <w:pPr>
        <w:pStyle w:val="2"/>
        <w:numPr>
          <w:ilvl w:val="0"/>
          <w:numId w:val="3"/>
        </w:numP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数量指标：</w:t>
      </w:r>
    </w:p>
    <w:p>
      <w:pPr>
        <w:numPr>
          <w:ilvl w:val="0"/>
          <w:numId w:val="4"/>
        </w:numP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粮食收购：收购县级储备粮轮入稻谷800万公斤，占年度轮换计划数100%。积极组织入市收购，对县城农民自产粮食做到应收尽收。</w:t>
      </w:r>
    </w:p>
    <w:p>
      <w:pPr>
        <w:pStyle w:val="2"/>
        <w:numPr>
          <w:ilvl w:val="0"/>
          <w:numId w:val="4"/>
        </w:numP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粮食市场供应：持之以恒的做好粮油市场保供工作，特别是做好新冠疫情期间及节假日市场调控稳价，全县粮食市场稳定有序。</w:t>
      </w:r>
    </w:p>
    <w:p>
      <w:pPr>
        <w:pStyle w:val="2"/>
        <w:numPr>
          <w:ilvl w:val="0"/>
          <w:numId w:val="4"/>
        </w:numPr>
        <w:ind w:left="0" w:leftChars="0" w:firstLine="0" w:firstLine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粮食流通监督检查：进一步加大对县城粮食流通领域的监督检查力度和密度，年度共组织专项检查23次，充分发挥行业流通领域的监管职能，年度粮食购销两旺、市场供应保障有力。</w:t>
      </w:r>
    </w:p>
    <w:p>
      <w:pPr>
        <w:pStyle w:val="2"/>
        <w:numPr>
          <w:ilvl w:val="0"/>
          <w:numId w:val="4"/>
        </w:numPr>
        <w:ind w:left="0" w:leftChars="0" w:firstLine="0" w:firstLine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服务“三农”助力乡村振兴方面：以“粮食订单”为抓手</w:t>
      </w:r>
      <w:r>
        <w:rPr>
          <w:rFonts w:hint="eastAsia" w:ascii="仿宋" w:hAnsi="仿宋" w:eastAsia="仿宋" w:cs="仿宋"/>
          <w:sz w:val="36"/>
          <w:szCs w:val="36"/>
          <w:highlight w:val="none"/>
          <w:lang w:val="en-US" w:eastAsia="zh-CN"/>
        </w:rPr>
        <w:t>，通过</w:t>
      </w:r>
      <w:r>
        <w:rPr>
          <w:rFonts w:hint="eastAsia" w:ascii="仿宋" w:hAnsi="仿宋" w:eastAsia="仿宋" w:cs="仿宋"/>
          <w:sz w:val="36"/>
          <w:szCs w:val="36"/>
          <w:lang w:val="en-US" w:eastAsia="zh-CN"/>
        </w:rPr>
        <w:t>“公司+基地+农户”方式引导。扶持农民调优粮食品种种植结构并提供订单粮食产前、产中、产后全程服务，有力地保护了农户种粮积极性，增加了农民种粮收入；以粮食产后服务中心为平台，积极开展为农“五代”服务，从根本上解决了困扰农户多年的湿谷“烘干难”及湿谷贱卖难题，得到广大农民的交口称赞。</w:t>
      </w:r>
    </w:p>
    <w:p>
      <w:pPr>
        <w:numPr>
          <w:ilvl w:val="0"/>
          <w:numId w:val="3"/>
        </w:numPr>
        <w:ind w:left="0" w:leftChars="0" w:firstLine="0" w:firstLine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质量指标：</w:t>
      </w:r>
    </w:p>
    <w:p>
      <w:pPr>
        <w:pStyle w:val="2"/>
        <w:numPr>
          <w:ilvl w:val="0"/>
          <w:numId w:val="5"/>
        </w:numPr>
        <w:ind w:left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落实粮食安全省长责任制目标考核：2021年度我县落实粮食安全省长责任制目标考核结果位居景德镇地区第一名，受到全县通报表扬。</w:t>
      </w:r>
    </w:p>
    <w:p>
      <w:pPr>
        <w:numPr>
          <w:ilvl w:val="0"/>
          <w:numId w:val="5"/>
        </w:numP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粮食收购完成率：省、县两级储备粮轮换完成率均达到100%.</w:t>
      </w:r>
    </w:p>
    <w:p>
      <w:pPr>
        <w:pStyle w:val="2"/>
        <w:numPr>
          <w:ilvl w:val="0"/>
          <w:numId w:val="5"/>
        </w:numPr>
        <w:ind w:left="0" w:leftChars="0" w:firstLine="0" w:firstLine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项目验收合格率：五个粮食产后服务中心项目验收合格率达100%。</w:t>
      </w:r>
    </w:p>
    <w:p>
      <w:pPr>
        <w:pStyle w:val="2"/>
        <w:numPr>
          <w:ilvl w:val="0"/>
          <w:numId w:val="3"/>
        </w:numPr>
        <w:ind w:left="0" w:leftChars="0" w:firstLine="0" w:firstLine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时效指标</w:t>
      </w:r>
    </w:p>
    <w:p>
      <w:pPr>
        <w:numPr>
          <w:ilvl w:val="0"/>
          <w:numId w:val="0"/>
        </w:numPr>
        <w:ind w:left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 xml:space="preserve"> 我单位的各项工作均能按照上级要求和年初计划在规定程序规定时间完成。</w:t>
      </w:r>
    </w:p>
    <w:p>
      <w:pPr>
        <w:pStyle w:val="2"/>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 xml:space="preserve"> </w:t>
      </w:r>
    </w:p>
    <w:p>
      <w:pPr>
        <w:rPr>
          <w:rFonts w:hint="eastAsia" w:ascii="仿宋" w:hAnsi="仿宋" w:eastAsia="仿宋" w:cs="仿宋"/>
          <w:sz w:val="36"/>
          <w:szCs w:val="36"/>
          <w:lang w:val="en-US" w:eastAsia="zh-CN"/>
        </w:rPr>
      </w:pPr>
    </w:p>
    <w:p>
      <w:pPr>
        <w:rPr>
          <w:rFonts w:hint="eastAsia" w:ascii="仿宋" w:hAnsi="仿宋" w:eastAsia="仿宋" w:cs="仿宋"/>
          <w:sz w:val="36"/>
          <w:szCs w:val="36"/>
          <w:lang w:val="en-US" w:eastAsia="zh-CN"/>
        </w:rPr>
      </w:pPr>
    </w:p>
    <w:p>
      <w:pPr>
        <w:rPr>
          <w:rFonts w:hint="eastAsia" w:ascii="仿宋" w:hAnsi="仿宋" w:eastAsia="仿宋" w:cs="仿宋"/>
          <w:sz w:val="36"/>
          <w:szCs w:val="36"/>
          <w:lang w:val="en-US" w:eastAsia="zh-CN"/>
        </w:rPr>
      </w:pPr>
    </w:p>
    <w:p>
      <w:pPr>
        <w:keepNext w:val="0"/>
        <w:keepLines w:val="0"/>
        <w:pageBreakBefore w:val="0"/>
        <w:widowControl w:val="0"/>
        <w:numPr>
          <w:ilvl w:val="0"/>
          <w:numId w:val="2"/>
        </w:numPr>
        <w:kinsoku/>
        <w:wordWrap/>
        <w:overflowPunct/>
        <w:topLinePunct w:val="0"/>
        <w:autoSpaceDN/>
        <w:bidi w:val="0"/>
        <w:adjustRightInd/>
        <w:snapToGrid/>
        <w:spacing w:line="560" w:lineRule="exact"/>
        <w:ind w:left="0" w:leftChars="0" w:firstLine="723" w:firstLineChars="200"/>
        <w:textAlignment w:val="auto"/>
        <w:rPr>
          <w:rFonts w:hint="eastAsia" w:ascii="仿宋" w:hAnsi="仿宋" w:eastAsia="仿宋" w:cs="仿宋"/>
          <w:b/>
          <w:bCs/>
          <w:sz w:val="36"/>
          <w:szCs w:val="36"/>
          <w:highlight w:val="none"/>
          <w:lang w:val="en-US" w:eastAsia="zh-CN"/>
        </w:rPr>
      </w:pPr>
      <w:r>
        <w:rPr>
          <w:rFonts w:hint="eastAsia" w:ascii="仿宋" w:hAnsi="仿宋" w:eastAsia="仿宋" w:cs="仿宋"/>
          <w:b/>
          <w:bCs/>
          <w:sz w:val="36"/>
          <w:szCs w:val="36"/>
          <w:highlight w:val="none"/>
          <w:lang w:val="en-US" w:eastAsia="zh-CN"/>
        </w:rPr>
        <w:t>履职效果情况</w:t>
      </w:r>
    </w:p>
    <w:p>
      <w:pPr>
        <w:pStyle w:val="2"/>
        <w:numPr>
          <w:ilvl w:val="0"/>
          <w:numId w:val="6"/>
        </w:numPr>
        <w:ind w:left="0" w:leftChars="0" w:firstLine="0" w:firstLine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经济效益指标：</w:t>
      </w:r>
    </w:p>
    <w:p>
      <w:pPr>
        <w:numPr>
          <w:ilvl w:val="0"/>
          <w:numId w:val="0"/>
        </w:numP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通过稳收购、促销售、保供应，促进了粮食购销两旺，市场稳定。尤其是通过订单粮食，产后服务中心服务工作，有力地促进了县城经济发展，在乡村振兴发展发挥了粮食部门积极、主动的职能作用，为全县农户丰产增收作出了积极贡献。</w:t>
      </w:r>
    </w:p>
    <w:p>
      <w:pPr>
        <w:pStyle w:val="2"/>
        <w:numPr>
          <w:ilvl w:val="0"/>
          <w:numId w:val="6"/>
        </w:numPr>
        <w:ind w:left="0" w:leftChars="0" w:firstLine="0" w:firstLine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社会效益指标</w:t>
      </w:r>
    </w:p>
    <w:p>
      <w:pPr>
        <w:numPr>
          <w:ilvl w:val="0"/>
          <w:numId w:val="0"/>
        </w:numPr>
        <w:ind w:left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粮食产后服务中心的运行，满足了广大农户迫切要求的“五代”服务需求；超标准粮食收购工作的开展，有力地保障政策落地，促进了农户粮食生产积极性。</w:t>
      </w:r>
    </w:p>
    <w:p>
      <w:pPr>
        <w:pStyle w:val="2"/>
        <w:numPr>
          <w:ilvl w:val="0"/>
          <w:numId w:val="6"/>
        </w:numPr>
        <w:ind w:left="0" w:leftChars="0" w:firstLine="0" w:firstLine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生态效益指标</w:t>
      </w:r>
    </w:p>
    <w:p>
      <w:pPr>
        <w:numPr>
          <w:ilvl w:val="0"/>
          <w:numId w:val="0"/>
        </w:numPr>
        <w:ind w:leftChars="0"/>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粮库智能化升级改造项目的顺利实施，同比大幅度降低储粮电耗和熏蒸药耗，促使我县绿色储粮迈上新台阶。</w:t>
      </w:r>
    </w:p>
    <w:p>
      <w:pPr>
        <w:pStyle w:val="2"/>
        <w:rPr>
          <w:rFonts w:hint="eastAsia" w:ascii="仿宋" w:hAnsi="仿宋" w:eastAsia="仿宋" w:cs="仿宋"/>
          <w:sz w:val="36"/>
          <w:szCs w:val="36"/>
          <w:lang w:val="en-US" w:eastAsia="zh-CN"/>
        </w:rPr>
      </w:pPr>
    </w:p>
    <w:p>
      <w:pPr>
        <w:pStyle w:val="2"/>
        <w:numPr>
          <w:ilvl w:val="0"/>
          <w:numId w:val="0"/>
        </w:numPr>
        <w:ind w:leftChars="200"/>
        <w:rPr>
          <w:rFonts w:hint="eastAsia" w:ascii="仿宋" w:hAnsi="仿宋" w:eastAsia="仿宋" w:cs="仿宋"/>
          <w:sz w:val="36"/>
          <w:szCs w:val="36"/>
          <w:lang w:val="en-US" w:eastAsia="zh-CN"/>
        </w:rPr>
      </w:pPr>
    </w:p>
    <w:p>
      <w:pPr>
        <w:keepNext w:val="0"/>
        <w:keepLines w:val="0"/>
        <w:pageBreakBefore w:val="0"/>
        <w:widowControl w:val="0"/>
        <w:numPr>
          <w:ilvl w:val="0"/>
          <w:numId w:val="2"/>
        </w:numPr>
        <w:kinsoku/>
        <w:wordWrap/>
        <w:overflowPunct/>
        <w:topLinePunct w:val="0"/>
        <w:autoSpaceDN/>
        <w:bidi w:val="0"/>
        <w:adjustRightInd/>
        <w:snapToGrid/>
        <w:spacing w:line="560" w:lineRule="exact"/>
        <w:ind w:left="0" w:leftChars="0" w:firstLine="723" w:firstLineChars="200"/>
        <w:textAlignment w:val="auto"/>
        <w:rPr>
          <w:rFonts w:hint="eastAsia" w:ascii="仿宋" w:hAnsi="仿宋" w:eastAsia="仿宋" w:cs="仿宋"/>
          <w:b/>
          <w:bCs/>
          <w:sz w:val="36"/>
          <w:szCs w:val="36"/>
          <w:highlight w:val="none"/>
          <w:lang w:val="en-US" w:eastAsia="zh-CN"/>
        </w:rPr>
      </w:pPr>
      <w:r>
        <w:rPr>
          <w:rFonts w:hint="eastAsia" w:ascii="仿宋" w:hAnsi="仿宋" w:eastAsia="仿宋" w:cs="仿宋"/>
          <w:b/>
          <w:bCs/>
          <w:sz w:val="36"/>
          <w:szCs w:val="36"/>
          <w:highlight w:val="none"/>
          <w:lang w:val="en-US" w:eastAsia="zh-CN"/>
        </w:rPr>
        <w:t>社会满意度及可持续性影响</w:t>
      </w:r>
    </w:p>
    <w:p>
      <w:pPr>
        <w:pStyle w:val="2"/>
        <w:ind w:firstLine="720" w:firstLineChars="200"/>
        <w:rPr>
          <w:rFonts w:hint="eastAsia" w:ascii="仿宋" w:hAnsi="仿宋" w:eastAsia="仿宋" w:cs="仿宋"/>
          <w:b w:val="0"/>
          <w:bCs w:val="0"/>
          <w:kern w:val="2"/>
          <w:sz w:val="36"/>
          <w:szCs w:val="36"/>
          <w:lang w:val="en-US" w:eastAsia="zh-CN" w:bidi="ar-SA"/>
        </w:rPr>
      </w:pPr>
      <w:r>
        <w:rPr>
          <w:rFonts w:hint="eastAsia" w:ascii="仿宋" w:hAnsi="仿宋" w:eastAsia="仿宋" w:cs="仿宋"/>
          <w:b w:val="0"/>
          <w:bCs w:val="0"/>
          <w:kern w:val="2"/>
          <w:sz w:val="36"/>
          <w:szCs w:val="36"/>
          <w:lang w:val="en-US" w:eastAsia="zh-CN" w:bidi="ar-SA"/>
        </w:rPr>
        <w:t>1、可持续影响指标</w:t>
      </w:r>
    </w:p>
    <w:p>
      <w:pPr>
        <w:pStyle w:val="2"/>
        <w:ind w:firstLine="720" w:firstLineChars="200"/>
        <w:rPr>
          <w:rFonts w:hint="eastAsia" w:ascii="仿宋" w:hAnsi="仿宋" w:eastAsia="仿宋" w:cs="仿宋"/>
          <w:b w:val="0"/>
          <w:bCs w:val="0"/>
          <w:kern w:val="2"/>
          <w:sz w:val="36"/>
          <w:szCs w:val="36"/>
          <w:lang w:val="en-US" w:eastAsia="zh-CN" w:bidi="ar-SA"/>
        </w:rPr>
      </w:pPr>
      <w:r>
        <w:rPr>
          <w:rFonts w:hint="eastAsia" w:ascii="仿宋" w:hAnsi="仿宋" w:eastAsia="仿宋" w:cs="仿宋"/>
          <w:b w:val="0"/>
          <w:bCs w:val="0"/>
          <w:kern w:val="2"/>
          <w:sz w:val="36"/>
          <w:szCs w:val="36"/>
          <w:lang w:val="en-US" w:eastAsia="zh-CN" w:bidi="ar-SA"/>
        </w:rPr>
        <w:t>通过浮梁县现代粮食物流产业园、县级粮油质监体系、粮食产后服务中心、粮库智能化升级改造等项目的实施务实了粮食经济发展基础，有利于粮食企业持续、健康发展。</w:t>
      </w:r>
    </w:p>
    <w:p>
      <w:pPr>
        <w:pStyle w:val="2"/>
        <w:ind w:firstLine="720" w:firstLineChars="200"/>
        <w:rPr>
          <w:rFonts w:hint="eastAsia" w:ascii="仿宋" w:hAnsi="仿宋" w:eastAsia="仿宋" w:cs="仿宋"/>
          <w:b w:val="0"/>
          <w:bCs w:val="0"/>
          <w:kern w:val="2"/>
          <w:sz w:val="36"/>
          <w:szCs w:val="36"/>
          <w:lang w:val="en-US" w:eastAsia="zh-CN" w:bidi="ar-SA"/>
        </w:rPr>
      </w:pPr>
      <w:r>
        <w:rPr>
          <w:rFonts w:hint="eastAsia" w:ascii="仿宋" w:hAnsi="仿宋" w:eastAsia="仿宋" w:cs="仿宋"/>
          <w:b w:val="0"/>
          <w:bCs w:val="0"/>
          <w:kern w:val="2"/>
          <w:sz w:val="36"/>
          <w:szCs w:val="36"/>
          <w:lang w:val="en-US" w:eastAsia="zh-CN" w:bidi="ar-SA"/>
        </w:rPr>
        <w:t>社会满意度指标</w:t>
      </w:r>
    </w:p>
    <w:p>
      <w:pPr>
        <w:pStyle w:val="2"/>
        <w:ind w:firstLine="720" w:firstLineChars="200"/>
        <w:rPr>
          <w:rFonts w:hint="eastAsia" w:ascii="仿宋" w:hAnsi="仿宋" w:eastAsia="仿宋" w:cs="仿宋"/>
          <w:b w:val="0"/>
          <w:bCs w:val="0"/>
          <w:kern w:val="2"/>
          <w:sz w:val="36"/>
          <w:szCs w:val="36"/>
          <w:lang w:val="en-US" w:eastAsia="zh-CN" w:bidi="ar-SA"/>
        </w:rPr>
      </w:pPr>
      <w:r>
        <w:rPr>
          <w:rFonts w:hint="eastAsia" w:ascii="仿宋" w:hAnsi="仿宋" w:eastAsia="仿宋" w:cs="仿宋"/>
          <w:b w:val="0"/>
          <w:bCs w:val="0"/>
          <w:kern w:val="2"/>
          <w:sz w:val="36"/>
          <w:szCs w:val="36"/>
          <w:lang w:val="en-US" w:eastAsia="zh-CN" w:bidi="ar-SA"/>
        </w:rPr>
        <w:t xml:space="preserve">   通过粮食订单、产后服务中心及驻村帮扶工作，提升了粮食企业服务“三农”的功能，保证了创业村贫困人口全面脱贫。</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三、部门整体支出绩效中存在问题及改进措施</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（一）存在的问题</w:t>
      </w:r>
    </w:p>
    <w:p>
      <w:pPr>
        <w:pStyle w:val="2"/>
        <w:ind w:firstLine="720" w:firstLineChars="200"/>
        <w:rPr>
          <w:rFonts w:hint="eastAsia" w:ascii="仿宋" w:hAnsi="仿宋" w:eastAsia="仿宋" w:cs="仿宋"/>
          <w:sz w:val="36"/>
          <w:szCs w:val="36"/>
          <w:lang w:val="en-US" w:eastAsia="zh-CN"/>
        </w:rPr>
      </w:pPr>
      <w:r>
        <w:rPr>
          <w:rFonts w:hint="eastAsia" w:ascii="仿宋" w:hAnsi="仿宋" w:eastAsia="仿宋" w:cs="仿宋"/>
          <w:b w:val="0"/>
          <w:bCs w:val="0"/>
          <w:kern w:val="2"/>
          <w:sz w:val="36"/>
          <w:szCs w:val="36"/>
          <w:lang w:val="en-US" w:eastAsia="zh-CN" w:bidi="ar-SA"/>
        </w:rPr>
        <w:t>2021年我局整体支出绩效在预算执行管理方面仍存在一些不足，主要体现在：一是公用经费控制率超年度指标，主要是为了全面决战小康，在对口挂点鹅湖镇创业村累计支付扶贫资金12万多元；二是粮库智能化升级改造项目因市里未及时组织终级验收，按合同款项支付条款存在资金结余；三是粮食产后服务中心项目虽然通过了省第三方绩效评价考核。</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723" w:firstLineChars="200"/>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（二）意见和建议</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720" w:firstLineChars="200"/>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 xml:space="preserve">对本次绩效自评发现的问题，我局将提高预算编制准确性、规范预算执行，加快项目执行推进力度等方面加以改进。        </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720" w:firstLineChars="200"/>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1.提高预算编制的准确性。在预算编制阶段将加强业财融合，全面梳理部门业务需求，做好基础数据测算，量力而出，统筹平衡，提高预算编制的准确性。</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720" w:firstLineChars="200"/>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2.规范预算执行。在预算执行阶段，将强化预算执行刚性约束力，杜绝预算串科目使用。</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720" w:firstLineChars="200"/>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3.重点将绩效管理工作作为一项日常性的重要工作来抓，彻底改变“重安排、轻监督，重争取、轻管理，重使用、轻绩效”的思想，扭转“只要资金使用合法合规就行，忽视财政资金的使用绩效”的工作方式，完善绩效评价指标体系，科学设定评价指标；丰富绩效评价方法等。</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firstLine="723" w:firstLineChars="200"/>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四、绩效自评结果拟应用和公开情况</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720" w:firstLineChars="200"/>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针对整体支出绩效评价过程中发现的问题和情况，我局将坚持以问题为导向，落实改进举措，对绩效评价结果将按照政府信息公开有关规定及上级部署进行公开。</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720" w:firstLineChars="200"/>
        <w:textAlignment w:val="auto"/>
        <w:rPr>
          <w:rFonts w:hint="eastAsia" w:ascii="仿宋" w:hAnsi="仿宋" w:eastAsia="仿宋" w:cs="仿宋"/>
          <w:b w:val="0"/>
          <w:bCs w:val="0"/>
          <w:sz w:val="36"/>
          <w:szCs w:val="36"/>
          <w:lang w:val="en-US" w:eastAsia="zh-CN"/>
        </w:rPr>
      </w:pPr>
    </w:p>
    <w:p>
      <w:pPr>
        <w:keepNext w:val="0"/>
        <w:keepLines w:val="0"/>
        <w:pageBreakBefore w:val="0"/>
        <w:widowControl w:val="0"/>
        <w:numPr>
          <w:ilvl w:val="0"/>
          <w:numId w:val="0"/>
        </w:numPr>
        <w:kinsoku/>
        <w:wordWrap/>
        <w:overflowPunct/>
        <w:topLinePunct w:val="0"/>
        <w:autoSpaceDN/>
        <w:bidi w:val="0"/>
        <w:adjustRightInd/>
        <w:snapToGrid/>
        <w:spacing w:line="560" w:lineRule="exact"/>
        <w:ind w:left="5746" w:leftChars="2736" w:firstLine="5400" w:firstLineChars="1500"/>
        <w:jc w:val="both"/>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 xml:space="preserve"> 浮梁县粮食局</w:t>
      </w:r>
    </w:p>
    <w:p>
      <w:pPr>
        <w:keepNext w:val="0"/>
        <w:keepLines w:val="0"/>
        <w:pageBreakBefore w:val="0"/>
        <w:widowControl w:val="0"/>
        <w:numPr>
          <w:ilvl w:val="0"/>
          <w:numId w:val="0"/>
        </w:numPr>
        <w:kinsoku/>
        <w:wordWrap/>
        <w:overflowPunct/>
        <w:topLinePunct w:val="0"/>
        <w:autoSpaceDN/>
        <w:bidi w:val="0"/>
        <w:adjustRightInd/>
        <w:snapToGrid/>
        <w:spacing w:line="560" w:lineRule="exact"/>
        <w:ind w:leftChars="0"/>
        <w:jc w:val="right"/>
        <w:textAlignment w:val="auto"/>
        <w:rPr>
          <w:rFonts w:hint="eastAsia" w:ascii="仿宋" w:hAnsi="仿宋" w:eastAsia="仿宋" w:cs="仿宋"/>
          <w:b w:val="0"/>
          <w:bCs w:val="0"/>
          <w:sz w:val="36"/>
          <w:szCs w:val="36"/>
          <w:lang w:val="en-US" w:eastAsia="zh-CN"/>
        </w:rPr>
      </w:pPr>
      <w:r>
        <w:rPr>
          <w:rFonts w:hint="eastAsia" w:ascii="仿宋" w:hAnsi="仿宋" w:eastAsia="仿宋" w:cs="仿宋"/>
          <w:b w:val="0"/>
          <w:bCs w:val="0"/>
          <w:sz w:val="36"/>
          <w:szCs w:val="36"/>
          <w:lang w:val="en-US" w:eastAsia="zh-CN"/>
        </w:rPr>
        <w:t>2022年6月9日</w:t>
      </w:r>
    </w:p>
    <w:p>
      <w:pPr>
        <w:rPr>
          <w:rFonts w:hint="eastAsia" w:ascii="仿宋" w:hAnsi="仿宋" w:eastAsia="仿宋" w:cs="仿宋"/>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ACF1CA"/>
    <w:multiLevelType w:val="singleLevel"/>
    <w:tmpl w:val="EEACF1CA"/>
    <w:lvl w:ilvl="0" w:tentative="0">
      <w:start w:val="1"/>
      <w:numFmt w:val="chineseCounting"/>
      <w:suff w:val="nothing"/>
      <w:lvlText w:val="（%1）"/>
      <w:lvlJc w:val="left"/>
      <w:rPr>
        <w:rFonts w:hint="eastAsia"/>
      </w:rPr>
    </w:lvl>
  </w:abstractNum>
  <w:abstractNum w:abstractNumId="1">
    <w:nsid w:val="F70B7AA0"/>
    <w:multiLevelType w:val="singleLevel"/>
    <w:tmpl w:val="F70B7AA0"/>
    <w:lvl w:ilvl="0" w:tentative="0">
      <w:start w:val="1"/>
      <w:numFmt w:val="decimal"/>
      <w:suff w:val="nothing"/>
      <w:lvlText w:val="%1、"/>
      <w:lvlJc w:val="left"/>
    </w:lvl>
  </w:abstractNum>
  <w:abstractNum w:abstractNumId="2">
    <w:nsid w:val="07961A7B"/>
    <w:multiLevelType w:val="singleLevel"/>
    <w:tmpl w:val="07961A7B"/>
    <w:lvl w:ilvl="0" w:tentative="0">
      <w:start w:val="1"/>
      <w:numFmt w:val="decimal"/>
      <w:suff w:val="nothing"/>
      <w:lvlText w:val="（%1）"/>
      <w:lvlJc w:val="left"/>
    </w:lvl>
  </w:abstractNum>
  <w:abstractNum w:abstractNumId="3">
    <w:nsid w:val="3BBD226E"/>
    <w:multiLevelType w:val="singleLevel"/>
    <w:tmpl w:val="3BBD226E"/>
    <w:lvl w:ilvl="0" w:tentative="0">
      <w:start w:val="1"/>
      <w:numFmt w:val="decimal"/>
      <w:suff w:val="nothing"/>
      <w:lvlText w:val="（%1）"/>
      <w:lvlJc w:val="left"/>
    </w:lvl>
  </w:abstractNum>
  <w:abstractNum w:abstractNumId="4">
    <w:nsid w:val="707C60BF"/>
    <w:multiLevelType w:val="singleLevel"/>
    <w:tmpl w:val="707C60BF"/>
    <w:lvl w:ilvl="0" w:tentative="0">
      <w:start w:val="1"/>
      <w:numFmt w:val="decimal"/>
      <w:suff w:val="nothing"/>
      <w:lvlText w:val="%1、"/>
      <w:lvlJc w:val="left"/>
    </w:lvl>
  </w:abstractNum>
  <w:abstractNum w:abstractNumId="5">
    <w:nsid w:val="72F94544"/>
    <w:multiLevelType w:val="singleLevel"/>
    <w:tmpl w:val="72F94544"/>
    <w:lvl w:ilvl="0" w:tentative="0">
      <w:start w:val="2"/>
      <w:numFmt w:val="decimal"/>
      <w:lvlText w:val="%1."/>
      <w:lvlJc w:val="left"/>
      <w:pPr>
        <w:tabs>
          <w:tab w:val="left" w:pos="312"/>
        </w:tabs>
      </w:p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wYWY2NGRiN2M1OWMwNDc2YTQ3Yjk5ZGYwOWRlODQifQ=="/>
  </w:docVars>
  <w:rsids>
    <w:rsidRoot w:val="31074A68"/>
    <w:rsid w:val="04862B41"/>
    <w:rsid w:val="053B3301"/>
    <w:rsid w:val="0A8762EE"/>
    <w:rsid w:val="0B393CDB"/>
    <w:rsid w:val="0BF47C81"/>
    <w:rsid w:val="11DB7369"/>
    <w:rsid w:val="153B2413"/>
    <w:rsid w:val="1BB4139F"/>
    <w:rsid w:val="1F405C82"/>
    <w:rsid w:val="1F4B7FF0"/>
    <w:rsid w:val="22A14341"/>
    <w:rsid w:val="251F6A18"/>
    <w:rsid w:val="2AC11D1E"/>
    <w:rsid w:val="2D18436E"/>
    <w:rsid w:val="2D6F75A0"/>
    <w:rsid w:val="2E4539F5"/>
    <w:rsid w:val="31074A68"/>
    <w:rsid w:val="31C92853"/>
    <w:rsid w:val="31D00C5F"/>
    <w:rsid w:val="333D08EF"/>
    <w:rsid w:val="371E3976"/>
    <w:rsid w:val="382565AA"/>
    <w:rsid w:val="41352D98"/>
    <w:rsid w:val="41D35B90"/>
    <w:rsid w:val="42DD53B1"/>
    <w:rsid w:val="42FC2571"/>
    <w:rsid w:val="430A6D89"/>
    <w:rsid w:val="451B28C2"/>
    <w:rsid w:val="48B54FCB"/>
    <w:rsid w:val="4B1268D0"/>
    <w:rsid w:val="4CDD6BC6"/>
    <w:rsid w:val="53E84437"/>
    <w:rsid w:val="56F34772"/>
    <w:rsid w:val="586378F6"/>
    <w:rsid w:val="59742BAB"/>
    <w:rsid w:val="5A5621C8"/>
    <w:rsid w:val="64FB3EAA"/>
    <w:rsid w:val="68835127"/>
    <w:rsid w:val="6A215290"/>
    <w:rsid w:val="6C871E6D"/>
    <w:rsid w:val="6F4A0F73"/>
    <w:rsid w:val="72E17B7E"/>
    <w:rsid w:val="7891434B"/>
    <w:rsid w:val="7A6E7567"/>
    <w:rsid w:val="7B9031FB"/>
    <w:rsid w:val="7D761926"/>
    <w:rsid w:val="7DCE5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5485</Words>
  <Characters>5662</Characters>
  <Lines>0</Lines>
  <Paragraphs>0</Paragraphs>
  <TotalTime>1492</TotalTime>
  <ScaleCrop>false</ScaleCrop>
  <LinksUpToDate>false</LinksUpToDate>
  <CharactersWithSpaces>5678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2021-06-21T08:10:00Z</dcterms:created>
  <dc:creator>Administrator</dc:creator>
  <cp:lastModifiedBy>施</cp:lastModifiedBy>
  <cp:lastPrinted>2021-07-01T07:00:00Z</cp:lastPrinted>
  <dcterms:modified xsi:type="dcterms:W3CDTF">2022-06-10T07:41:49Z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4D4B609D2FC643629BC82B83FA4D4770</vt:lpwstr>
  </property>
</Properties>
</file>