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浮梁县乡村振兴局 2022年部门预算</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浮梁县乡村振兴局概况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浮梁县乡村振兴局2022年部门预算表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浮梁县乡村振兴局2022年部门预算情况说明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numPr>
          <w:ilvl w:val="0"/>
          <w:numId w:val="1"/>
        </w:numPr>
        <w:kinsoku/>
        <w:autoSpaceDE/>
        <w:autoSpaceDN/>
        <w:adjustRightInd/>
        <w:snapToGrid/>
        <w:spacing w:line="240" w:lineRule="auto"/>
        <w:jc w:val="center"/>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浮梁县乡村振兴局概况</w:t>
      </w:r>
    </w:p>
    <w:p>
      <w:pPr>
        <w:widowControl w:val="0"/>
        <w:numPr>
          <w:numId w:val="0"/>
        </w:numPr>
        <w:kinsoku/>
        <w:autoSpaceDE/>
        <w:autoSpaceDN/>
        <w:adjustRightInd/>
        <w:snapToGrid/>
        <w:spacing w:line="240" w:lineRule="auto"/>
        <w:jc w:val="both"/>
        <w:textAlignment w:val="auto"/>
        <w:rPr>
          <w:rFonts w:hint="eastAsia" w:ascii="仿宋" w:hAnsi="仿宋" w:eastAsia="仿宋" w:cs="仿宋"/>
          <w:snapToGrid/>
          <w:kern w:val="2"/>
          <w:sz w:val="32"/>
          <w:szCs w:val="32"/>
          <w:lang w:val="en-US" w:eastAsia="zh-CN" w:bidi="ar-SA"/>
        </w:rPr>
      </w:pP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一、部门主要职责</w:t>
      </w:r>
    </w:p>
    <w:p>
      <w:pPr>
        <w:pStyle w:val="3"/>
        <w:keepNext w:val="0"/>
        <w:keepLines w:val="0"/>
        <w:pageBreakBefore w:val="0"/>
        <w:shd w:val="clear" w:color="auto" w:fill="FFFFFF"/>
        <w:wordWrap/>
        <w:overflowPunct/>
        <w:topLinePunct w:val="0"/>
        <w:bidi w:val="0"/>
        <w:spacing w:line="360" w:lineRule="auto"/>
        <w:ind w:firstLine="42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（一）贯彻执行国家扶贫开发和中大型水利水电工程移民迁建安置和后期扶持的方针、政策和法律、法规，拟订有关具体政策措施并组织实施。</w:t>
      </w:r>
    </w:p>
    <w:p>
      <w:pPr>
        <w:pStyle w:val="3"/>
        <w:keepNext w:val="0"/>
        <w:keepLines w:val="0"/>
        <w:pageBreakBefore w:val="0"/>
        <w:shd w:val="clear" w:color="auto" w:fill="FFFFFF"/>
        <w:wordWrap/>
        <w:overflowPunct/>
        <w:topLinePunct w:val="0"/>
        <w:bidi w:val="0"/>
        <w:spacing w:line="360" w:lineRule="auto"/>
        <w:ind w:firstLine="42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拟定全县扶贫开发中长期规划和年度计划，组织、协调各指导全县产业扶贫、科技扶贫、特殊类区扶贫开发工作，组织和指导社会扶贫工作，负责联络县外机构或组织在丹定点扶贫与扶贫协作工作，组织扶贫开发对外交流与合作及外资外援扶贫项目的引进与实施。</w:t>
      </w:r>
    </w:p>
    <w:p>
      <w:pPr>
        <w:pStyle w:val="3"/>
        <w:keepNext w:val="0"/>
        <w:keepLines w:val="0"/>
        <w:pageBreakBefore w:val="0"/>
        <w:shd w:val="clear" w:color="auto" w:fill="FFFFFF"/>
        <w:wordWrap/>
        <w:overflowPunct/>
        <w:topLinePunct w:val="0"/>
        <w:bidi w:val="0"/>
        <w:spacing w:line="360" w:lineRule="auto"/>
        <w:ind w:firstLine="42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（三）负责扶贫开发和移民安置的政策研究及信息工作，组织贫困、移民群众生产技能和劳动力转移培训、扶贫移民工作人员培训。</w:t>
      </w:r>
    </w:p>
    <w:p>
      <w:pPr>
        <w:pStyle w:val="3"/>
        <w:keepNext w:val="0"/>
        <w:keepLines w:val="0"/>
        <w:pageBreakBefore w:val="0"/>
        <w:shd w:val="clear" w:color="auto" w:fill="FFFFFF"/>
        <w:wordWrap/>
        <w:overflowPunct/>
        <w:topLinePunct w:val="0"/>
        <w:bidi w:val="0"/>
        <w:spacing w:line="360" w:lineRule="auto"/>
        <w:ind w:firstLine="42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（四）管理和监督全县中型水利水电工程移民迁建安置实施工作，组织移民安置验收、后期扶持和监督评估。</w:t>
      </w:r>
    </w:p>
    <w:p>
      <w:pPr>
        <w:pStyle w:val="3"/>
        <w:keepNext w:val="0"/>
        <w:keepLines w:val="0"/>
        <w:pageBreakBefore w:val="0"/>
        <w:shd w:val="clear" w:color="auto" w:fill="FFFFFF"/>
        <w:wordWrap/>
        <w:overflowPunct/>
        <w:topLinePunct w:val="0"/>
        <w:bidi w:val="0"/>
        <w:spacing w:line="360" w:lineRule="auto"/>
        <w:ind w:firstLine="42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（五）负责扶贫开发和移民信访接待、处理、管理工作，协调、指导有关的社会稳定工作，负责扶贫开发和移民安置、后期扶持政策宣传工作。</w:t>
      </w:r>
    </w:p>
    <w:p>
      <w:pPr>
        <w:pStyle w:val="3"/>
        <w:keepNext w:val="0"/>
        <w:keepLines w:val="0"/>
        <w:pageBreakBefore w:val="0"/>
        <w:shd w:val="clear" w:color="auto" w:fill="FFFFFF"/>
        <w:wordWrap/>
        <w:overflowPunct/>
        <w:topLinePunct w:val="0"/>
        <w:bidi w:val="0"/>
        <w:spacing w:line="360" w:lineRule="auto"/>
        <w:ind w:firstLine="42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（六）承办县委、县政府交办的其他事项。</w:t>
      </w:r>
    </w:p>
    <w:p>
      <w:pPr>
        <w:keepNext w:val="0"/>
        <w:keepLines w:val="0"/>
        <w:pageBreakBefore w:val="0"/>
        <w:wordWrap/>
        <w:overflowPunct/>
        <w:topLinePunct w:val="0"/>
        <w:bidi w:val="0"/>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二、部门基本情况</w:t>
      </w:r>
    </w:p>
    <w:p>
      <w:pPr>
        <w:pStyle w:val="3"/>
        <w:keepNext w:val="0"/>
        <w:keepLines w:val="0"/>
        <w:pageBreakBefore w:val="0"/>
        <w:wordWrap/>
        <w:overflowPunct/>
        <w:topLinePunct w:val="0"/>
        <w:bidi w:val="0"/>
        <w:spacing w:before="0" w:beforeAutospacing="0" w:after="0" w:afterAutospacing="0" w:line="360" w:lineRule="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color w:val="333333"/>
          <w:sz w:val="32"/>
          <w:szCs w:val="32"/>
          <w:lang w:val="en-US" w:eastAsia="zh-CN"/>
        </w:rPr>
        <w:t xml:space="preserve"> </w:t>
      </w:r>
      <w:r>
        <w:rPr>
          <w:rFonts w:hint="eastAsia" w:ascii="仿宋" w:hAnsi="仿宋" w:eastAsia="仿宋" w:cs="仿宋"/>
          <w:b w:val="0"/>
          <w:bCs/>
          <w:color w:val="333333"/>
          <w:sz w:val="32"/>
          <w:szCs w:val="32"/>
          <w:lang w:val="en-US" w:eastAsia="zh-CN"/>
        </w:rPr>
        <w:t>本部门行政编制5名。设主任1名，副主任2名，股及职数2名。事业</w:t>
      </w:r>
      <w:r>
        <w:rPr>
          <w:rFonts w:hint="eastAsia" w:ascii="仿宋" w:hAnsi="仿宋" w:eastAsia="仿宋" w:cs="仿宋"/>
          <w:color w:val="000000" w:themeColor="text1"/>
          <w:sz w:val="32"/>
          <w:szCs w:val="32"/>
          <w14:textFill>
            <w14:solidFill>
              <w14:schemeClr w14:val="tx1"/>
            </w14:solidFill>
          </w14:textFill>
        </w:rPr>
        <w:t>编制数为</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名，年末在职实有人数</w:t>
      </w:r>
      <w:r>
        <w:rPr>
          <w:rFonts w:hint="eastAsia" w:ascii="仿宋" w:hAnsi="仿宋" w:eastAsia="仿宋" w:cs="仿宋"/>
          <w:color w:val="000000" w:themeColor="text1"/>
          <w:sz w:val="32"/>
          <w:szCs w:val="32"/>
          <w:lang w:val="en-US" w:eastAsia="zh-CN"/>
          <w14:textFill>
            <w14:solidFill>
              <w14:schemeClr w14:val="tx1"/>
            </w14:solidFill>
          </w14:textFill>
        </w:rPr>
        <w:t>10人。</w:t>
      </w:r>
    </w:p>
    <w:p>
      <w:pPr>
        <w:keepNext w:val="0"/>
        <w:keepLines w:val="0"/>
        <w:pageBreakBefore w:val="0"/>
        <w:wordWrap/>
        <w:overflowPunct/>
        <w:topLinePunct w:val="0"/>
        <w:bidi w:val="0"/>
        <w:spacing w:line="360" w:lineRule="auto"/>
        <w:ind w:firstLine="640" w:firstLineChars="200"/>
        <w:rPr>
          <w:rFonts w:hint="eastAsia" w:ascii="仿宋" w:hAnsi="仿宋" w:eastAsia="仿宋" w:cs="仿宋"/>
          <w:color w:val="333333"/>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kern w:val="2"/>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right="52" w:rightChars="0"/>
        <w:textAlignment w:val="baseline"/>
        <w:rPr>
          <w:rFonts w:hint="eastAsia"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第二部分 浮梁县乡村振兴局2022年部门预算表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360" w:lineRule="auto"/>
        <w:ind w:firstLine="3550"/>
        <w:textAlignment w:val="baseline"/>
        <w:rPr>
          <w:rFonts w:hint="eastAsia" w:ascii="仿宋" w:hAnsi="仿宋" w:eastAsia="仿宋" w:cs="仿宋"/>
          <w:spacing w:val="17"/>
          <w:sz w:val="32"/>
          <w:szCs w:val="32"/>
        </w:rPr>
      </w:pPr>
      <w:r>
        <w:rPr>
          <w:rFonts w:hint="eastAsia" w:ascii="仿宋" w:hAnsi="仿宋" w:eastAsia="仿宋" w:cs="仿宋"/>
          <w:b/>
          <w:bCs/>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napToGrid/>
          <w:kern w:val="2"/>
          <w:sz w:val="32"/>
          <w:szCs w:val="32"/>
          <w:lang w:val="en-US" w:eastAsia="zh-CN" w:bidi="ar-SA"/>
        </w:rPr>
        <w:t>第三部分 浮梁县乡村振兴局2022年部门预算情况说明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仿宋" w:hAnsi="仿宋" w:eastAsia="仿宋" w:cs="仿宋"/>
          <w:spacing w:val="13"/>
          <w:sz w:val="32"/>
          <w:szCs w:val="32"/>
        </w:rPr>
      </w:pPr>
      <w:r>
        <w:rPr>
          <w:rFonts w:hint="eastAsia" w:ascii="仿宋" w:hAnsi="仿宋" w:eastAsia="仿宋" w:cs="仿宋"/>
          <w:spacing w:val="13"/>
          <w:sz w:val="32"/>
          <w:szCs w:val="32"/>
        </w:rPr>
        <w:t>一、2022年部门预算收支情况说明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(一)收入预算情况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u w:val="none"/>
          <w:lang w:eastAsia="zh-CN"/>
          <w14:textFill>
            <w14:solidFill>
              <w14:schemeClr w14:val="tx1"/>
            </w14:solidFill>
          </w14:textFill>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年收入预算总额</w:t>
      </w:r>
      <w:r>
        <w:rPr>
          <w:rFonts w:hint="eastAsia" w:ascii="仿宋" w:hAnsi="仿宋" w:eastAsia="仿宋" w:cs="仿宋"/>
          <w:color w:val="000000" w:themeColor="text1"/>
          <w:sz w:val="32"/>
          <w:szCs w:val="32"/>
          <w:u w:val="none"/>
          <w:lang w:val="en-US" w:eastAsia="zh-CN"/>
          <w14:textFill>
            <w14:solidFill>
              <w14:schemeClr w14:val="tx1"/>
            </w14:solidFill>
          </w14:textFill>
        </w:rPr>
        <w:t>113.22万</w:t>
      </w:r>
      <w:r>
        <w:rPr>
          <w:rFonts w:hint="eastAsia" w:ascii="仿宋" w:hAnsi="仿宋" w:eastAsia="仿宋" w:cs="仿宋"/>
          <w:sz w:val="32"/>
          <w:szCs w:val="32"/>
        </w:rPr>
        <w:t>元，其中公共财政拨款收入</w:t>
      </w:r>
      <w:r>
        <w:rPr>
          <w:rFonts w:hint="eastAsia" w:ascii="仿宋" w:hAnsi="仿宋" w:eastAsia="仿宋" w:cs="仿宋"/>
          <w:color w:val="000000" w:themeColor="text1"/>
          <w:sz w:val="32"/>
          <w:szCs w:val="32"/>
          <w:u w:val="none"/>
          <w:lang w:val="en-US" w:eastAsia="zh-CN"/>
          <w14:textFill>
            <w14:solidFill>
              <w14:schemeClr w14:val="tx1"/>
            </w14:solidFill>
          </w14:textFill>
        </w:rPr>
        <w:t>113.22</w:t>
      </w:r>
      <w:r>
        <w:rPr>
          <w:rFonts w:hint="eastAsia" w:ascii="仿宋" w:hAnsi="仿宋" w:eastAsia="仿宋" w:cs="仿宋"/>
          <w:sz w:val="32"/>
          <w:szCs w:val="32"/>
        </w:rPr>
        <w:t>万元。预算总额比去年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6.65</w:t>
      </w:r>
      <w:r>
        <w:rPr>
          <w:rFonts w:hint="eastAsia" w:ascii="仿宋" w:hAnsi="仿宋" w:eastAsia="仿宋" w:cs="仿宋"/>
          <w:sz w:val="32"/>
          <w:szCs w:val="32"/>
        </w:rPr>
        <w:t>万元，主要由于</w:t>
      </w:r>
      <w:r>
        <w:rPr>
          <w:rFonts w:hint="eastAsia" w:ascii="仿宋" w:hAnsi="仿宋" w:eastAsia="仿宋" w:cs="仿宋"/>
          <w:color w:val="000000" w:themeColor="text1"/>
          <w:sz w:val="32"/>
          <w:szCs w:val="32"/>
          <w:u w:val="none"/>
          <w:lang w:eastAsia="zh-CN"/>
          <w14:textFill>
            <w14:solidFill>
              <w14:schemeClr w14:val="tx1"/>
            </w14:solidFill>
          </w14:textFill>
        </w:rPr>
        <w:t>人员减少，工资减少。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(二)支出预算情况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2022年支出总预算113.22</w:t>
      </w:r>
      <w:r>
        <w:rPr>
          <w:rFonts w:hint="eastAsia" w:ascii="仿宋" w:hAnsi="仿宋" w:eastAsia="仿宋" w:cs="仿宋"/>
          <w:sz w:val="32"/>
          <w:szCs w:val="32"/>
        </w:rPr>
        <w:t>万元，比去年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6.65</w:t>
      </w:r>
      <w:r>
        <w:rPr>
          <w:rFonts w:hint="eastAsia" w:ascii="仿宋" w:hAnsi="仿宋" w:eastAsia="仿宋" w:cs="仿宋"/>
          <w:sz w:val="32"/>
          <w:szCs w:val="32"/>
        </w:rPr>
        <w:t>万元，主要由于</w:t>
      </w:r>
      <w:r>
        <w:rPr>
          <w:rFonts w:hint="eastAsia" w:ascii="仿宋" w:hAnsi="仿宋" w:eastAsia="仿宋" w:cs="仿宋"/>
          <w:color w:val="000000" w:themeColor="text1"/>
          <w:sz w:val="32"/>
          <w:szCs w:val="32"/>
          <w:u w:val="none"/>
          <w:lang w:eastAsia="zh-CN"/>
          <w14:textFill>
            <w14:solidFill>
              <w14:schemeClr w14:val="tx1"/>
            </w14:solidFill>
          </w14:textFill>
        </w:rPr>
        <w:t>人员减少，工资减少</w:t>
      </w:r>
      <w:r>
        <w:rPr>
          <w:rFonts w:hint="eastAsia" w:ascii="仿宋" w:hAnsi="仿宋" w:eastAsia="仿宋" w:cs="仿宋"/>
          <w:sz w:val="32"/>
          <w:szCs w:val="32"/>
          <w:lang w:eastAsia="zh-CN"/>
        </w:rPr>
        <w:t>。</w:t>
      </w:r>
    </w:p>
    <w:p>
      <w:pPr>
        <w:keepNext w:val="0"/>
        <w:keepLines w:val="0"/>
        <w:pageBreakBefore w:val="0"/>
        <w:wordWrap/>
        <w:overflowPunct/>
        <w:topLinePunct w:val="0"/>
        <w:bidi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按支出项目类别划分：基本支出</w:t>
      </w:r>
      <w:r>
        <w:rPr>
          <w:rFonts w:hint="eastAsia" w:ascii="仿宋" w:hAnsi="仿宋" w:eastAsia="仿宋" w:cs="仿宋"/>
          <w:sz w:val="32"/>
          <w:szCs w:val="32"/>
          <w:lang w:val="en-US" w:eastAsia="zh-CN"/>
        </w:rPr>
        <w:t>91.22</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22</w:t>
      </w:r>
      <w:r>
        <w:rPr>
          <w:rFonts w:hint="eastAsia" w:ascii="仿宋" w:hAnsi="仿宋" w:eastAsia="仿宋" w:cs="仿宋"/>
          <w:sz w:val="32"/>
          <w:szCs w:val="32"/>
        </w:rPr>
        <w:t>万元。</w:t>
      </w:r>
    </w:p>
    <w:p>
      <w:pPr>
        <w:keepNext w:val="0"/>
        <w:keepLines w:val="0"/>
        <w:pageBreakBefore w:val="0"/>
        <w:wordWrap/>
        <w:overflowPunct/>
        <w:topLinePunct w:val="0"/>
        <w:bidi w:val="0"/>
        <w:spacing w:line="360" w:lineRule="auto"/>
        <w:ind w:firstLine="640" w:firstLineChars="200"/>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sz w:val="32"/>
          <w:szCs w:val="32"/>
        </w:rPr>
        <w:t>按支出功能科目分类：</w:t>
      </w:r>
      <w:r>
        <w:rPr>
          <w:rFonts w:hint="eastAsia" w:ascii="仿宋" w:hAnsi="仿宋" w:eastAsia="仿宋" w:cs="仿宋"/>
          <w:b w:val="0"/>
          <w:bCs w:val="0"/>
          <w:color w:val="000000" w:themeColor="text1"/>
          <w:sz w:val="32"/>
          <w:szCs w:val="32"/>
          <w:u w:val="none"/>
          <w14:textFill>
            <w14:solidFill>
              <w14:schemeClr w14:val="tx1"/>
            </w14:solidFill>
          </w14:textFill>
        </w:rPr>
        <w:t>部门支出总表内</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农林水</w:t>
      </w:r>
      <w:r>
        <w:rPr>
          <w:rFonts w:hint="eastAsia" w:ascii="仿宋" w:hAnsi="仿宋" w:eastAsia="仿宋" w:cs="仿宋"/>
          <w:b w:val="0"/>
          <w:bCs w:val="0"/>
          <w:color w:val="000000" w:themeColor="text1"/>
          <w:sz w:val="32"/>
          <w:szCs w:val="32"/>
          <w:u w:val="none"/>
          <w14:textFill>
            <w14:solidFill>
              <w14:schemeClr w14:val="tx1"/>
            </w14:solidFill>
          </w14:textFill>
        </w:rPr>
        <w:t>科目</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104.66</w:t>
      </w:r>
      <w:r>
        <w:rPr>
          <w:rFonts w:hint="eastAsia" w:ascii="仿宋" w:hAnsi="仿宋" w:eastAsia="仿宋" w:cs="仿宋"/>
          <w:b w:val="0"/>
          <w:bCs w:val="0"/>
          <w:color w:val="000000" w:themeColor="text1"/>
          <w:sz w:val="32"/>
          <w:szCs w:val="32"/>
          <w:u w:val="none"/>
          <w14:textFill>
            <w14:solidFill>
              <w14:schemeClr w14:val="tx1"/>
            </w14:solidFill>
          </w14:textFill>
        </w:rPr>
        <w:t>万元。</w:t>
      </w:r>
      <w:r>
        <w:rPr>
          <w:rFonts w:hint="eastAsia" w:ascii="仿宋" w:hAnsi="仿宋" w:eastAsia="仿宋" w:cs="仿宋"/>
          <w:b w:val="0"/>
          <w:bCs w:val="0"/>
          <w:color w:val="000000" w:themeColor="text1"/>
          <w:sz w:val="32"/>
          <w:szCs w:val="32"/>
          <w:u w:val="none"/>
          <w:lang w:eastAsia="zh-CN"/>
          <w14:textFill>
            <w14:solidFill>
              <w14:schemeClr w14:val="tx1"/>
            </w14:solidFill>
          </w14:textFill>
        </w:rPr>
        <w:t>其中：行政运行</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82.66万元；其他巩固脱贫衔接乡村振兴支出22万元；社会保障和就业支出8.55万元。</w:t>
      </w:r>
    </w:p>
    <w:p>
      <w:pPr>
        <w:keepNext w:val="0"/>
        <w:keepLines w:val="0"/>
        <w:pageBreakBefore w:val="0"/>
        <w:wordWrap/>
        <w:overflowPunct/>
        <w:topLinePunct w:val="0"/>
        <w:bidi w:val="0"/>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按经济功能科目分类：</w:t>
      </w:r>
      <w:r>
        <w:rPr>
          <w:rFonts w:hint="eastAsia" w:ascii="仿宋" w:hAnsi="仿宋" w:eastAsia="仿宋" w:cs="仿宋"/>
          <w:color w:val="000000" w:themeColor="text1"/>
          <w:sz w:val="32"/>
          <w:szCs w:val="32"/>
          <w14:textFill>
            <w14:solidFill>
              <w14:schemeClr w14:val="tx1"/>
            </w14:solidFill>
          </w14:textFill>
        </w:rPr>
        <w:t>工资福利支出</w:t>
      </w:r>
      <w:r>
        <w:rPr>
          <w:rFonts w:hint="eastAsia" w:ascii="仿宋" w:hAnsi="仿宋" w:eastAsia="仿宋" w:cs="仿宋"/>
          <w:color w:val="000000" w:themeColor="text1"/>
          <w:sz w:val="32"/>
          <w:szCs w:val="32"/>
          <w:lang w:val="en-US" w:eastAsia="zh-CN"/>
          <w14:textFill>
            <w14:solidFill>
              <w14:schemeClr w14:val="tx1"/>
            </w14:solidFill>
          </w14:textFill>
        </w:rPr>
        <w:t>76.52</w:t>
      </w:r>
      <w:r>
        <w:rPr>
          <w:rFonts w:hint="eastAsia" w:ascii="仿宋" w:hAnsi="仿宋" w:eastAsia="仿宋" w:cs="仿宋"/>
          <w:color w:val="000000" w:themeColor="text1"/>
          <w:sz w:val="32"/>
          <w:szCs w:val="32"/>
          <w14:textFill>
            <w14:solidFill>
              <w14:schemeClr w14:val="tx1"/>
            </w14:solidFill>
          </w14:textFill>
        </w:rPr>
        <w:t>万元，商品服务支出</w:t>
      </w:r>
      <w:r>
        <w:rPr>
          <w:rFonts w:hint="eastAsia" w:ascii="仿宋" w:hAnsi="仿宋" w:eastAsia="仿宋" w:cs="仿宋"/>
          <w:color w:val="000000" w:themeColor="text1"/>
          <w:sz w:val="32"/>
          <w:szCs w:val="32"/>
          <w:lang w:val="en-US" w:eastAsia="zh-CN"/>
          <w14:textFill>
            <w14:solidFill>
              <w14:schemeClr w14:val="tx1"/>
            </w14:solidFill>
          </w14:textFill>
        </w:rPr>
        <w:t>14.7</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项目支出</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(三)财政拨款支出情况</w:t>
      </w:r>
    </w:p>
    <w:p>
      <w:pPr>
        <w:keepNext w:val="0"/>
        <w:keepLines w:val="0"/>
        <w:pageBreakBefore w:val="0"/>
        <w:wordWrap/>
        <w:overflowPunct/>
        <w:topLinePunct w:val="0"/>
        <w:bidi w:val="0"/>
        <w:spacing w:line="360" w:lineRule="auto"/>
        <w:ind w:firstLine="640" w:firstLineChars="200"/>
        <w:rPr>
          <w:rFonts w:hint="eastAsia" w:ascii="仿宋" w:hAnsi="仿宋" w:eastAsia="仿宋" w:cs="仿宋"/>
          <w:sz w:val="32"/>
          <w:szCs w:val="32"/>
          <w:u w:val="single"/>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年公共财政拨款支出预算为</w:t>
      </w:r>
      <w:r>
        <w:rPr>
          <w:rFonts w:hint="eastAsia" w:ascii="仿宋" w:hAnsi="仿宋" w:eastAsia="仿宋" w:cs="仿宋"/>
          <w:sz w:val="32"/>
          <w:szCs w:val="32"/>
          <w:lang w:val="en-US" w:eastAsia="zh-CN"/>
        </w:rPr>
        <w:t>113.22</w:t>
      </w:r>
      <w:r>
        <w:rPr>
          <w:rFonts w:hint="eastAsia" w:ascii="仿宋" w:hAnsi="仿宋" w:eastAsia="仿宋" w:cs="仿宋"/>
          <w:sz w:val="32"/>
          <w:szCs w:val="32"/>
        </w:rPr>
        <w:t>万元，较上年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6.65</w:t>
      </w:r>
      <w:r>
        <w:rPr>
          <w:rFonts w:hint="eastAsia" w:ascii="仿宋" w:hAnsi="仿宋" w:eastAsia="仿宋" w:cs="仿宋"/>
          <w:sz w:val="32"/>
          <w:szCs w:val="32"/>
        </w:rPr>
        <w:t>万元。按支出项目类别划分：基本支出</w:t>
      </w:r>
      <w:r>
        <w:rPr>
          <w:rFonts w:hint="eastAsia" w:ascii="仿宋" w:hAnsi="仿宋" w:eastAsia="仿宋" w:cs="仿宋"/>
          <w:sz w:val="32"/>
          <w:szCs w:val="32"/>
          <w:lang w:val="en-US" w:eastAsia="zh-CN"/>
        </w:rPr>
        <w:t>91.22</w:t>
      </w:r>
      <w:r>
        <w:rPr>
          <w:rFonts w:hint="eastAsia" w:ascii="仿宋" w:hAnsi="仿宋" w:eastAsia="仿宋" w:cs="仿宋"/>
          <w:sz w:val="32"/>
          <w:szCs w:val="32"/>
        </w:rPr>
        <w:t>万元，较上年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18.65万元</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76.52</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14.7</w:t>
      </w:r>
      <w:r>
        <w:rPr>
          <w:rFonts w:hint="eastAsia" w:ascii="仿宋" w:hAnsi="仿宋" w:eastAsia="仿宋" w:cs="仿宋"/>
          <w:sz w:val="32"/>
          <w:szCs w:val="32"/>
        </w:rPr>
        <w:t>万元，对个人和家庭的补助</w:t>
      </w:r>
      <w:r>
        <w:rPr>
          <w:rFonts w:hint="eastAsia" w:ascii="仿宋" w:hAnsi="仿宋" w:eastAsia="仿宋" w:cs="仿宋"/>
          <w:sz w:val="32"/>
          <w:szCs w:val="32"/>
          <w:lang w:val="en-US" w:eastAsia="zh-CN"/>
        </w:rPr>
        <w:t>0</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22</w:t>
      </w:r>
      <w:r>
        <w:rPr>
          <w:rFonts w:hint="eastAsia" w:ascii="仿宋" w:hAnsi="仿宋" w:eastAsia="仿宋" w:cs="仿宋"/>
          <w:sz w:val="32"/>
          <w:szCs w:val="32"/>
        </w:rPr>
        <w:t>万元，较上年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12万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(四)政府性基金情况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2022年无政府性基金。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(五)国有资本经营情况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2022年没有</w:t>
      </w:r>
      <w:bookmarkStart w:id="0" w:name="_GoBack"/>
      <w:bookmarkEnd w:id="0"/>
      <w:r>
        <w:rPr>
          <w:rFonts w:hint="eastAsia" w:ascii="仿宋" w:hAnsi="仿宋" w:eastAsia="仿宋" w:cs="仿宋"/>
          <w:snapToGrid/>
          <w:kern w:val="2"/>
          <w:sz w:val="32"/>
          <w:szCs w:val="32"/>
          <w:lang w:val="en-US" w:eastAsia="zh-CN" w:bidi="ar-SA"/>
        </w:rPr>
        <w:t>使用国有资本经营预算拨款安排的支出。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(六)机关运行经费等重要事项的说明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2022年部门机关运行费预算  14.7 万元，比2021年预算增加2.34万元，增长15.9%。</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(七)政府采购情况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2022年部门所属各单位政府采购总额12万元。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(八)国有资产占有使用情况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截至2021年8月31日，部门共有车辆  0   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2022年部门预算安排无购置车辆，无安排购置单位价值200万元以上大型设备。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项目情况说明</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 xml:space="preserve">       无项目</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仿宋" w:hAnsi="仿宋" w:eastAsia="仿宋" w:cs="仿宋"/>
          <w:spacing w:val="13"/>
          <w:sz w:val="32"/>
          <w:szCs w:val="32"/>
        </w:rPr>
      </w:pPr>
      <w:r>
        <w:rPr>
          <w:rFonts w:hint="eastAsia" w:ascii="仿宋" w:hAnsi="仿宋" w:eastAsia="仿宋" w:cs="仿宋"/>
          <w:spacing w:val="13"/>
          <w:sz w:val="32"/>
          <w:szCs w:val="32"/>
        </w:rPr>
        <w:t>二、2022年"三公”经费预算情况说明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2022年乡村振兴局"三公"经费一般公共预算安排万元。其中: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公务接待费0万元，比上年减3.8万元，主要原因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是:年初预算漏做三公经费。</w:t>
      </w:r>
    </w:p>
    <w:p>
      <w:pPr>
        <w:keepNext w:val="0"/>
        <w:keepLines w:val="0"/>
        <w:pageBreakBefore w:val="0"/>
        <w:widowControl/>
        <w:kinsoku w:val="0"/>
        <w:wordWrap/>
        <w:overflowPunct/>
        <w:topLinePunct w:val="0"/>
        <w:autoSpaceDE w:val="0"/>
        <w:autoSpaceDN w:val="0"/>
        <w:bidi w:val="0"/>
        <w:adjustRightInd w:val="0"/>
        <w:snapToGrid w:val="0"/>
        <w:spacing w:before="173" w:line="360" w:lineRule="auto"/>
        <w:ind w:right="49" w:firstLine="599"/>
        <w:textAlignment w:val="baseline"/>
        <w:rPr>
          <w:rFonts w:hint="eastAsia" w:ascii="仿宋" w:hAnsi="仿宋" w:eastAsia="仿宋" w:cs="仿宋"/>
          <w:spacing w:val="-15"/>
          <w:w w:val="94"/>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仿宋" w:hAnsi="仿宋" w:eastAsia="仿宋" w:cs="仿宋"/>
          <w:spacing w:val="13"/>
          <w:sz w:val="32"/>
          <w:szCs w:val="32"/>
        </w:rPr>
      </w:pPr>
      <w:r>
        <w:rPr>
          <w:rFonts w:hint="eastAsia" w:ascii="仿宋" w:hAnsi="仿宋" w:eastAsia="仿宋" w:cs="仿宋"/>
          <w:spacing w:val="13"/>
          <w:sz w:val="32"/>
          <w:szCs w:val="32"/>
        </w:rPr>
        <w:t>一</w:t>
      </w:r>
      <w:r>
        <w:rPr>
          <w:rFonts w:hint="eastAsia" w:ascii="仿宋" w:hAnsi="仿宋" w:eastAsia="仿宋" w:cs="仿宋"/>
          <w:b w:val="0"/>
          <w:bCs w:val="0"/>
          <w:spacing w:val="13"/>
          <w:sz w:val="32"/>
          <w:szCs w:val="32"/>
        </w:rPr>
        <w:t>、收入科</w:t>
      </w:r>
      <w:r>
        <w:rPr>
          <w:rFonts w:hint="eastAsia" w:ascii="仿宋" w:hAnsi="仿宋" w:eastAsia="仿宋" w:cs="仿宋"/>
          <w:spacing w:val="13"/>
          <w:sz w:val="32"/>
          <w:szCs w:val="32"/>
        </w:rPr>
        <w:t>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各部门结合实际进行解释。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(一)财政拨款:指省级财政当年拨付的资金。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(四)事业单位经营收入:指事业单位在专业业务活动及辅助活动之外开展非独立核算经营活动取得的收入。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(六)上级补助收入:反映事业单位从主管部门和上级单位取得的非财政补助收入。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(七)其他收入:指除财政拨款、事业收入、事业单位经营收入等以外的各项收入。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(八)使用非财政拨款结余:填列历年滚存的非限定用途的非统计财政拨款结余弥补2022年收支差额的数额。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仿宋" w:hAnsi="仿宋" w:eastAsia="仿宋" w:cs="仿宋"/>
          <w:spacing w:val="13"/>
          <w:sz w:val="32"/>
          <w:szCs w:val="32"/>
        </w:rPr>
      </w:pPr>
      <w:r>
        <w:rPr>
          <w:rFonts w:hint="eastAsia" w:ascii="仿宋" w:hAnsi="仿宋" w:eastAsia="仿宋" w:cs="仿宋"/>
          <w:spacing w:val="13"/>
          <w:sz w:val="32"/>
          <w:szCs w:val="32"/>
          <w:lang w:eastAsia="zh-CN"/>
        </w:rPr>
        <w:t>二、</w:t>
      </w:r>
      <w:r>
        <w:rPr>
          <w:rFonts w:hint="eastAsia" w:ascii="仿宋" w:hAnsi="仿宋" w:eastAsia="仿宋" w:cs="仿宋"/>
          <w:spacing w:val="13"/>
          <w:sz w:val="32"/>
          <w:szCs w:val="32"/>
        </w:rPr>
        <w:t>支出科目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仿宋" w:hAnsi="仿宋" w:eastAsia="仿宋" w:cs="仿宋"/>
          <w:b w:val="0"/>
          <w:bCs w:val="0"/>
          <w:spacing w:val="13"/>
          <w:sz w:val="32"/>
          <w:szCs w:val="32"/>
        </w:rPr>
      </w:pPr>
      <w:r>
        <w:rPr>
          <w:rFonts w:hint="eastAsia" w:ascii="仿宋" w:hAnsi="仿宋" w:eastAsia="仿宋" w:cs="仿宋"/>
          <w:b w:val="0"/>
          <w:bCs w:val="0"/>
          <w:spacing w:val="13"/>
          <w:sz w:val="32"/>
          <w:szCs w:val="32"/>
        </w:rPr>
        <w:t>三、部门涉及的专业名词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F72BE"/>
    <w:multiLevelType w:val="singleLevel"/>
    <w:tmpl w:val="D21F72BE"/>
    <w:lvl w:ilvl="0" w:tentative="0">
      <w:start w:val="9"/>
      <w:numFmt w:val="chineseCounting"/>
      <w:lvlText w:val="(%1)"/>
      <w:lvlJc w:val="left"/>
      <w:pPr>
        <w:tabs>
          <w:tab w:val="left" w:pos="312"/>
        </w:tabs>
      </w:pPr>
      <w:rPr>
        <w:rFonts w:hint="eastAsia"/>
      </w:rPr>
    </w:lvl>
  </w:abstractNum>
  <w:abstractNum w:abstractNumId="1">
    <w:nsid w:val="ECF0011C"/>
    <w:multiLevelType w:val="singleLevel"/>
    <w:tmpl w:val="ECF0011C"/>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16B6074E"/>
    <w:rsid w:val="180A0D7A"/>
    <w:rsid w:val="28B74E8B"/>
    <w:rsid w:val="325D7BAC"/>
    <w:rsid w:val="39A42A1E"/>
    <w:rsid w:val="474E6296"/>
    <w:rsid w:val="476D2917"/>
    <w:rsid w:val="4C06072C"/>
    <w:rsid w:val="535A3AA7"/>
    <w:rsid w:val="5F3A1CE8"/>
    <w:rsid w:val="60AA2CCB"/>
    <w:rsid w:val="6C0006DE"/>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Administrator</cp:lastModifiedBy>
  <dcterms:modified xsi:type="dcterms:W3CDTF">2022-03-08T01:34:34Z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2052-11.1.0.11365</vt:lpwstr>
  </property>
  <property fmtid="{D5CDD505-2E9C-101B-9397-08002B2CF9AE}" pid="5" name="ICV">
    <vt:lpwstr>88DC4E5DA5774A45A9990BB4EE0325F1</vt:lpwstr>
  </property>
</Properties>
</file>