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3869"/>
        <w:gridCol w:w="4989"/>
        <w:gridCol w:w="1772"/>
        <w:gridCol w:w="1773"/>
      </w:tblGrid>
      <w:tr w14:paraId="44FA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4174" w:type="dxa"/>
            <w:gridSpan w:val="5"/>
          </w:tcPr>
          <w:p w14:paraId="55BF22CB">
            <w:pPr>
              <w:jc w:val="center"/>
              <w:rPr>
                <w:rFonts w:hint="eastAsia" w:ascii="方正大标宋简体" w:hAnsi="方正大标宋简体" w:eastAsia="方正大标宋简体" w:cs="方正大标宋简体"/>
                <w:sz w:val="44"/>
                <w:szCs w:val="44"/>
                <w:vertAlign w:val="baseline"/>
                <w:lang w:val="en-US" w:eastAsia="zh-CN"/>
              </w:rPr>
            </w:pPr>
            <w:r>
              <w:rPr>
                <w:rFonts w:hint="eastAsia" w:asciiTheme="majorEastAsia" w:hAnsiTheme="majorEastAsia" w:eastAsiaTheme="majorEastAsia" w:cstheme="majorEastAsia"/>
                <w:b/>
                <w:bCs/>
                <w:sz w:val="44"/>
                <w:szCs w:val="44"/>
                <w:vertAlign w:val="baseline"/>
                <w:lang w:val="en-US" w:eastAsia="zh-CN"/>
              </w:rPr>
              <w:t>浮梁县林业局2026年一季度行政处罚信息明细表</w:t>
            </w:r>
          </w:p>
        </w:tc>
      </w:tr>
      <w:tr w14:paraId="5622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71" w:type="dxa"/>
          </w:tcPr>
          <w:p w14:paraId="0D01C28D">
            <w:pPr>
              <w:jc w:val="center"/>
              <w:rPr>
                <w:rFonts w:hint="eastAsia" w:ascii="方正黑体_GBK" w:hAnsi="方正黑体_GBK" w:eastAsia="方正黑体_GBK" w:cs="方正黑体_GBK"/>
                <w:b w:val="0"/>
                <w:bCs w:val="0"/>
                <w:sz w:val="28"/>
                <w:szCs w:val="28"/>
                <w:vertAlign w:val="baseline"/>
                <w:lang w:val="en-US" w:eastAsia="zh-CN"/>
              </w:rPr>
            </w:pPr>
            <w:r>
              <w:rPr>
                <w:rFonts w:hint="eastAsia" w:ascii="方正黑体_GBK" w:hAnsi="方正黑体_GBK" w:eastAsia="方正黑体_GBK" w:cs="方正黑体_GBK"/>
                <w:b w:val="0"/>
                <w:bCs w:val="0"/>
                <w:sz w:val="28"/>
                <w:szCs w:val="28"/>
                <w:vertAlign w:val="baseline"/>
                <w:lang w:val="en-US" w:eastAsia="zh-CN"/>
              </w:rPr>
              <w:t>序号</w:t>
            </w:r>
          </w:p>
        </w:tc>
        <w:tc>
          <w:tcPr>
            <w:tcW w:w="3869" w:type="dxa"/>
          </w:tcPr>
          <w:p w14:paraId="648270F9">
            <w:pPr>
              <w:jc w:val="center"/>
              <w:rPr>
                <w:rFonts w:hint="eastAsia" w:ascii="方正黑体_GBK" w:hAnsi="方正黑体_GBK" w:eastAsia="方正黑体_GBK" w:cs="方正黑体_GBK"/>
                <w:b w:val="0"/>
                <w:bCs w:val="0"/>
                <w:sz w:val="28"/>
                <w:szCs w:val="28"/>
                <w:vertAlign w:val="baseline"/>
                <w:lang w:val="en-US" w:eastAsia="zh-CN"/>
              </w:rPr>
            </w:pPr>
            <w:r>
              <w:rPr>
                <w:rFonts w:hint="eastAsia" w:ascii="方正黑体_GBK" w:hAnsi="方正黑体_GBK" w:eastAsia="方正黑体_GBK" w:cs="方正黑体_GBK"/>
                <w:b w:val="0"/>
                <w:bCs w:val="0"/>
                <w:sz w:val="28"/>
                <w:szCs w:val="28"/>
                <w:vertAlign w:val="baseline"/>
                <w:lang w:val="en-US" w:eastAsia="zh-CN"/>
              </w:rPr>
              <w:t>相对人</w:t>
            </w:r>
          </w:p>
        </w:tc>
        <w:tc>
          <w:tcPr>
            <w:tcW w:w="4989" w:type="dxa"/>
          </w:tcPr>
          <w:p w14:paraId="3234C438">
            <w:pPr>
              <w:jc w:val="center"/>
              <w:rPr>
                <w:rFonts w:hint="eastAsia" w:ascii="方正黑体_GBK" w:hAnsi="方正黑体_GBK" w:eastAsia="方正黑体_GBK" w:cs="方正黑体_GBK"/>
                <w:b w:val="0"/>
                <w:bCs w:val="0"/>
                <w:sz w:val="28"/>
                <w:szCs w:val="28"/>
                <w:vertAlign w:val="baseline"/>
                <w:lang w:val="en-US" w:eastAsia="zh-CN"/>
              </w:rPr>
            </w:pPr>
            <w:r>
              <w:rPr>
                <w:rFonts w:hint="eastAsia" w:ascii="方正黑体_GBK" w:hAnsi="方正黑体_GBK" w:eastAsia="方正黑体_GBK" w:cs="方正黑体_GBK"/>
                <w:b w:val="0"/>
                <w:bCs w:val="0"/>
                <w:sz w:val="28"/>
                <w:szCs w:val="28"/>
                <w:vertAlign w:val="baseline"/>
                <w:lang w:val="en-US" w:eastAsia="zh-CN"/>
              </w:rPr>
              <w:t>案由</w:t>
            </w:r>
          </w:p>
        </w:tc>
        <w:tc>
          <w:tcPr>
            <w:tcW w:w="1772" w:type="dxa"/>
          </w:tcPr>
          <w:p w14:paraId="690039BD">
            <w:pPr>
              <w:jc w:val="center"/>
              <w:rPr>
                <w:rFonts w:hint="eastAsia" w:ascii="方正黑体_GBK" w:hAnsi="方正黑体_GBK" w:eastAsia="方正黑体_GBK" w:cs="方正黑体_GBK"/>
                <w:b w:val="0"/>
                <w:bCs w:val="0"/>
                <w:sz w:val="28"/>
                <w:szCs w:val="28"/>
                <w:vertAlign w:val="baseline"/>
                <w:lang w:val="en-US" w:eastAsia="zh-CN"/>
              </w:rPr>
            </w:pPr>
            <w:r>
              <w:rPr>
                <w:rFonts w:hint="eastAsia" w:ascii="方正黑体_GBK" w:hAnsi="方正黑体_GBK" w:eastAsia="方正黑体_GBK" w:cs="方正黑体_GBK"/>
                <w:b w:val="0"/>
                <w:bCs w:val="0"/>
                <w:sz w:val="28"/>
                <w:szCs w:val="28"/>
                <w:vertAlign w:val="baseline"/>
                <w:lang w:val="en-US" w:eastAsia="zh-CN"/>
              </w:rPr>
              <w:t>处罚事项</w:t>
            </w:r>
          </w:p>
        </w:tc>
        <w:tc>
          <w:tcPr>
            <w:tcW w:w="1773" w:type="dxa"/>
          </w:tcPr>
          <w:p w14:paraId="1D8F8BDF">
            <w:pPr>
              <w:jc w:val="center"/>
              <w:rPr>
                <w:rFonts w:hint="eastAsia" w:ascii="方正黑体_GBK" w:hAnsi="方正黑体_GBK" w:eastAsia="方正黑体_GBK" w:cs="方正黑体_GBK"/>
                <w:b w:val="0"/>
                <w:bCs w:val="0"/>
                <w:sz w:val="28"/>
                <w:szCs w:val="28"/>
                <w:vertAlign w:val="baseline"/>
                <w:lang w:val="en-US" w:eastAsia="zh-CN"/>
              </w:rPr>
            </w:pPr>
            <w:r>
              <w:rPr>
                <w:rFonts w:hint="eastAsia" w:ascii="方正黑体_GBK" w:hAnsi="方正黑体_GBK" w:eastAsia="方正黑体_GBK" w:cs="方正黑体_GBK"/>
                <w:b w:val="0"/>
                <w:bCs w:val="0"/>
                <w:sz w:val="28"/>
                <w:szCs w:val="28"/>
                <w:vertAlign w:val="baseline"/>
                <w:lang w:val="en-US" w:eastAsia="zh-CN"/>
              </w:rPr>
              <w:t>备注</w:t>
            </w:r>
          </w:p>
        </w:tc>
      </w:tr>
      <w:tr w14:paraId="7C8F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atLeast"/>
        </w:trPr>
        <w:tc>
          <w:tcPr>
            <w:tcW w:w="1771" w:type="dxa"/>
          </w:tcPr>
          <w:p w14:paraId="0FFBC3A1">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lang w:val="en-US" w:eastAsia="zh-CN"/>
              </w:rPr>
            </w:pPr>
          </w:p>
        </w:tc>
        <w:tc>
          <w:tcPr>
            <w:tcW w:w="3869" w:type="dxa"/>
          </w:tcPr>
          <w:p w14:paraId="3B1D570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08791B0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当事人于2024年10月20日在未办理了林地使用手续情况下,在浮梁县黄坛乡黄坛村“望湖尖”山场非法开挖林地.2026年1月14日接上级交办浮梁县林业局林业执法人员吴飞、夏世明会同黄坛乡林长办及当事人赶赴浮梁县黄坛乡黄坛村‘望湖尖’山场进行现场调查核实，后经本机关聘请景德镇市清林林业工程咨询有限公司在现场勘测，浮梁县黄坛乡黄坛村‘望湖尖’山场毁坏林地面积180平方米(0.27亩）属一般商品林，林地土层遭受轻度毁坏，情况属实。</w:t>
            </w:r>
          </w:p>
        </w:tc>
        <w:tc>
          <w:tcPr>
            <w:tcW w:w="1772" w:type="dxa"/>
          </w:tcPr>
          <w:p w14:paraId="3BF88C4C">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 1、责令限期6个月恢复植被（2026年8月10日以前恢复原状）。2、处每平方米恢复林地生产条件费用20元和恢复植被费每平方10元共计30元，处一倍罚款（非法占用林地面积180平方米×30元）合计人民币5400元。</w:t>
            </w:r>
          </w:p>
        </w:tc>
        <w:tc>
          <w:tcPr>
            <w:tcW w:w="1773" w:type="dxa"/>
          </w:tcPr>
          <w:p w14:paraId="2934B30D">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浮林罚决字2026第00</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r>
      <w:tr w14:paraId="10B8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1B755792">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1C7AF7EE">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2D694CB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当事人于2024年4月16日在未办理了林地使用手续情况下,在浮梁县黄坛乡港口村黄源组‘八夫里’山场非法开挖林地.2026年1月15日接上级交办浮梁县林业局林业执法人员吴飞、夏世明会同黄坛乡林长办及当事人赶赴浮梁县黄坛乡港口村黄源组‘八夫里’山场进行现场调查核实，后经本机关聘请景德镇市清林林业工程咨询有限公司在现场勘测，浮梁县黄坛乡港口村黄源组‘八夫里’山场开挖林地毁坏林地面积485平方米(0.726亩）属一般商品林，林地土层遭受重度毁坏,情况属实。</w:t>
            </w:r>
          </w:p>
        </w:tc>
        <w:tc>
          <w:tcPr>
            <w:tcW w:w="1772" w:type="dxa"/>
          </w:tcPr>
          <w:p w14:paraId="17D07816">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1、责令限期6个月恢复植被。2、处每平方米恢复林地生产条件费用35元和恢复植被费每平方米10元共计人民币45元，处一倍罚款（非法占用林地面积485平方米×45元）合计人民币21825元。</w:t>
            </w:r>
          </w:p>
        </w:tc>
        <w:tc>
          <w:tcPr>
            <w:tcW w:w="1773" w:type="dxa"/>
          </w:tcPr>
          <w:p w14:paraId="117349E9">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浮林罚决字2026第003号</w:t>
            </w:r>
          </w:p>
        </w:tc>
      </w:tr>
      <w:tr w14:paraId="2E79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767C3FD0">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4A827AA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55C10B29">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当事人于2025年9月10日在浮梁县三龙镇芦田村箭塘组自家田边山脚下加装电线铁丝防止野猪侵害水稻.2026年2月9日，浮梁县林业局林业执法人员吴飞、夏世明,现场调查核实，当事人非法使用禁猎工具（电击），没有猎获物，情况属实。</w:t>
            </w:r>
          </w:p>
        </w:tc>
        <w:tc>
          <w:tcPr>
            <w:tcW w:w="1772" w:type="dxa"/>
          </w:tcPr>
          <w:p w14:paraId="0147C013">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处罚金2000元人民币</w:t>
            </w:r>
          </w:p>
        </w:tc>
        <w:tc>
          <w:tcPr>
            <w:tcW w:w="1773" w:type="dxa"/>
          </w:tcPr>
          <w:p w14:paraId="2944D726">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r>
      <w:tr w14:paraId="5702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540EA3DD">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1D56826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243B77F3">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2026年1月26日当事人在浮梁县庄湾乡庄湾村步碓下组自家菜园地边上架设鱼网(网捕)防止飞鸟及飞禽侵害自己菜园里的蔬菜。2026年2月9日我局林业执法工作人员吴飞、夏世明赶赴浮梁县庄湾乡步碓下组现场调查核实，当事人在浮梁县庄湾乡步碓下组自家菜园地边上架设鱼网有捕获麻雀1只，情况属实。</w:t>
            </w:r>
          </w:p>
        </w:tc>
        <w:tc>
          <w:tcPr>
            <w:tcW w:w="1772" w:type="dxa"/>
          </w:tcPr>
          <w:p w14:paraId="00724145">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对当事人王四好非法捕获麻雀1只价值300元人民币1倍的罚款，共计罚金人民币300元。</w:t>
            </w:r>
          </w:p>
        </w:tc>
        <w:tc>
          <w:tcPr>
            <w:tcW w:w="1773" w:type="dxa"/>
          </w:tcPr>
          <w:p w14:paraId="710BDA72">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r>
      <w:tr w14:paraId="3864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6D5D982F">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299CCCE9">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7F29ED55">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2025年12月20日当事人朱志峰在浮梁县庄湾乡仓下村马家坞组自家菜园地边上架设鱼网防止飞鸟及飞禽侵害自己菜园里的蔬菜。2026年2月9日我局林业执法工作人员吴飞、夏世明赶赴浮梁县庄湾乡仓下村马家坞组组现场调查核实，当事人在浮梁县庄湾乡仓下村马家坞组自家菜园地边上架设鱼网,有猎获物麻雀2只，情况属实。</w:t>
            </w:r>
          </w:p>
        </w:tc>
        <w:tc>
          <w:tcPr>
            <w:tcW w:w="1772" w:type="dxa"/>
          </w:tcPr>
          <w:p w14:paraId="7F81D88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对当事人朱志峰非法捕获麻雀2只处每只1只价值300元人民币2倍的罚款，共计罚金人民币600元。</w:t>
            </w:r>
          </w:p>
        </w:tc>
        <w:tc>
          <w:tcPr>
            <w:tcW w:w="1773" w:type="dxa"/>
          </w:tcPr>
          <w:p w14:paraId="4E191B26">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r>
      <w:tr w14:paraId="1DA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57DD5FAD">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69C8D9E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法人及非法人组织</w:t>
            </w:r>
          </w:p>
        </w:tc>
        <w:tc>
          <w:tcPr>
            <w:tcW w:w="4989" w:type="dxa"/>
          </w:tcPr>
          <w:p w14:paraId="4474DDB4">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你（你单位)于2025年3月15日在办理了林地使用手续情况下,在浮梁县黄坛乡胡村组“大同里”山场超范围弃土占用林地。2026年3月26日接上级交办浮梁县林业局林业执法人员吴飞、夏世明会同黄坛乡林长办及当事人赶赴浮梁县黄坛乡胡村组山场进行现场调查核实，后经本机关聘请江西景德镇司法鉴定中心在现场勘测，浮梁县黄坛乡胡村组“大同里“山场超范围弃土林地面积为1098平方米(1.647亩）属一般商品林，林地土层遭受严重毁坏，情况属实。违反了《中华人民共和国森林法》第三十七条第一款之规定，属擅自改变林地用途。</w:t>
            </w:r>
          </w:p>
        </w:tc>
        <w:tc>
          <w:tcPr>
            <w:tcW w:w="1772" w:type="dxa"/>
          </w:tcPr>
          <w:p w14:paraId="642D082C">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1、责令限期6个月恢复植被（2026年11月13日以前恢复原状）。2、处每平方米恢复林地生产条件费用35元和恢复植被费每平方10元共计45元，处一倍罚款（非法占用林地面积1098平方米×45元）合计人民币49410元。</w:t>
            </w:r>
          </w:p>
        </w:tc>
        <w:tc>
          <w:tcPr>
            <w:tcW w:w="1773" w:type="dxa"/>
          </w:tcPr>
          <w:p w14:paraId="381A41F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r>
      <w:tr w14:paraId="43C6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251D8AE4">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310ED2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0AC19B13">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你（你单位)于2026年2月20日在浮梁县黄坛乡南溪村新坑组‘干坑坞山场’非法安装捕猎工具捕猎夹。2026年3月4日我局接浮梁县三龙派出所移交当事人洪军明非法禁止使用禁猎工具(捕猎夹)案，没有猎获物，情况属实。</w:t>
            </w:r>
          </w:p>
        </w:tc>
        <w:tc>
          <w:tcPr>
            <w:tcW w:w="1772" w:type="dxa"/>
          </w:tcPr>
          <w:p w14:paraId="62691A29">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对当事人行为属非法禁止使用禁猎工具(捕猎夹)没有猎获物，处罚金人民币2000元。</w:t>
            </w:r>
          </w:p>
        </w:tc>
        <w:tc>
          <w:tcPr>
            <w:tcW w:w="1773" w:type="dxa"/>
          </w:tcPr>
          <w:p w14:paraId="414B1793">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r>
      <w:tr w14:paraId="3FB3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56EF662A">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5C348282">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3B73EE9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你（你单位)杨超于2025年12月16日在未办理了林地使用手续情况下,在浮梁县黄坛乡港口村梅树山场非法开挖林地.2026年4月12日接黄坛乡林长办举报，我局于2026年4月21日派林业执法人员吴飞、夏世明会同黄坛乡林长办及当事人赶赴浮梁县黄坛乡港口村梅树组山场进行调查核实，后经本机关聘请景德镇市清林林业工程咨询有限公司在现场勘测，浮梁县黄坛乡港口村港口村梅树组山场开挖林地毁坏林地面积为1390平方米(2.085亩）属一般商品林，林地原有土层遭受轻度毁坏,情况属实。</w:t>
            </w:r>
          </w:p>
        </w:tc>
        <w:tc>
          <w:tcPr>
            <w:tcW w:w="1772" w:type="dxa"/>
          </w:tcPr>
          <w:p w14:paraId="6D8FEB2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对当事人陈冬盛非法捕获野猪1头，处以1头野猪价值500元人民币1倍的罚款，共计罚金人民币500元。</w:t>
            </w:r>
          </w:p>
        </w:tc>
        <w:tc>
          <w:tcPr>
            <w:tcW w:w="1773" w:type="dxa"/>
          </w:tcPr>
          <w:p w14:paraId="2FFD812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号</w:t>
            </w:r>
          </w:p>
        </w:tc>
      </w:tr>
      <w:tr w14:paraId="3276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4468B472">
            <w:pPr>
              <w:numPr>
                <w:ilvl w:val="0"/>
                <w:numId w:val="1"/>
              </w:numPr>
              <w:ind w:left="425" w:leftChars="0" w:hanging="425" w:firstLineChars="0"/>
              <w:jc w:val="center"/>
              <w:rPr>
                <w:rFonts w:hint="eastAsia" w:asciiTheme="minorEastAsia" w:hAnsiTheme="minorEastAsia" w:eastAsiaTheme="minorEastAsia" w:cstheme="minorEastAsia"/>
                <w:sz w:val="24"/>
                <w:szCs w:val="24"/>
                <w:vertAlign w:val="baseline"/>
              </w:rPr>
            </w:pPr>
          </w:p>
        </w:tc>
        <w:tc>
          <w:tcPr>
            <w:tcW w:w="3869" w:type="dxa"/>
          </w:tcPr>
          <w:p w14:paraId="1ACA7338">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自然人</w:t>
            </w:r>
          </w:p>
        </w:tc>
        <w:tc>
          <w:tcPr>
            <w:tcW w:w="4989" w:type="dxa"/>
          </w:tcPr>
          <w:p w14:paraId="49157433">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你（你单位)杨超于2025年12月16日在未办理了林地使用手续情况下,在浮梁县黄坛乡港口村梅树山场非法开挖林地.2026年4月12日接黄坛乡林长办举报，我局于2026年4月21日派林业执法人员吴飞、夏世明会同黄坛乡林长办及当事人赶赴浮梁县黄坛乡港口村梅树组山场进行调查核实，后经本机关聘请景德镇市清林林业工程咨询有限公司在现场勘测，浮梁县黄坛乡港口村港口村梅树组山场开挖林地毁坏林地面积为1390平方米(2.085亩）属一般商品林，林地原有土层遭受轻度毁坏,情况属实。</w:t>
            </w:r>
          </w:p>
        </w:tc>
        <w:tc>
          <w:tcPr>
            <w:tcW w:w="1772" w:type="dxa"/>
          </w:tcPr>
          <w:p w14:paraId="0CA695A4">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1、责令限期6个月恢复植被。2、处每平方米恢复林地生产条件费用20元和恢复植被费每平方米10元共计人民币30元，处一倍罚款（非法占用林地面积1390平方米×30元）合计人民币41700元。</w:t>
            </w:r>
          </w:p>
        </w:tc>
        <w:tc>
          <w:tcPr>
            <w:tcW w:w="1773" w:type="dxa"/>
          </w:tcPr>
          <w:p w14:paraId="414D8E2B">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浮林罚决字2026第0</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r>
      <w:tr w14:paraId="0E91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198855FD">
            <w:pPr>
              <w:numPr>
                <w:ilvl w:val="0"/>
                <w:numId w:val="1"/>
              </w:numPr>
              <w:ind w:left="425" w:leftChars="0" w:hanging="425" w:firstLineChars="0"/>
              <w:jc w:val="center"/>
              <w:rPr>
                <w:rFonts w:hint="eastAsia" w:ascii="仿宋_GB2312" w:hAnsi="仿宋_GB2312" w:eastAsia="仿宋_GB2312" w:cs="仿宋_GB2312"/>
                <w:sz w:val="32"/>
                <w:szCs w:val="32"/>
                <w:vertAlign w:val="baseline"/>
              </w:rPr>
            </w:pPr>
          </w:p>
        </w:tc>
        <w:tc>
          <w:tcPr>
            <w:tcW w:w="3869" w:type="dxa"/>
          </w:tcPr>
          <w:p w14:paraId="668CD8E0">
            <w:pPr>
              <w:jc w:val="center"/>
              <w:rPr>
                <w:rFonts w:hint="eastAsia" w:ascii="仿宋_GB2312" w:hAnsi="仿宋_GB2312" w:eastAsia="仿宋_GB2312" w:cs="仿宋_GB2312"/>
                <w:sz w:val="32"/>
                <w:szCs w:val="32"/>
                <w:vertAlign w:val="baseline"/>
              </w:rPr>
            </w:pPr>
          </w:p>
        </w:tc>
        <w:tc>
          <w:tcPr>
            <w:tcW w:w="4989" w:type="dxa"/>
          </w:tcPr>
          <w:p w14:paraId="22328B95">
            <w:pPr>
              <w:jc w:val="center"/>
              <w:rPr>
                <w:rFonts w:hint="eastAsia" w:ascii="仿宋_GB2312" w:hAnsi="仿宋_GB2312" w:eastAsia="仿宋_GB2312" w:cs="仿宋_GB2312"/>
                <w:sz w:val="32"/>
                <w:szCs w:val="32"/>
                <w:vertAlign w:val="baseline"/>
              </w:rPr>
            </w:pPr>
          </w:p>
        </w:tc>
        <w:tc>
          <w:tcPr>
            <w:tcW w:w="1772" w:type="dxa"/>
          </w:tcPr>
          <w:p w14:paraId="7D30C256">
            <w:pPr>
              <w:jc w:val="center"/>
              <w:rPr>
                <w:rFonts w:hint="eastAsia" w:ascii="仿宋_GB2312" w:hAnsi="仿宋_GB2312" w:eastAsia="仿宋_GB2312" w:cs="仿宋_GB2312"/>
                <w:sz w:val="32"/>
                <w:szCs w:val="32"/>
                <w:vertAlign w:val="baseline"/>
              </w:rPr>
            </w:pPr>
          </w:p>
        </w:tc>
        <w:tc>
          <w:tcPr>
            <w:tcW w:w="1773" w:type="dxa"/>
          </w:tcPr>
          <w:p w14:paraId="61A2D992">
            <w:pPr>
              <w:jc w:val="center"/>
              <w:rPr>
                <w:rFonts w:hint="eastAsia" w:ascii="仿宋_GB2312" w:hAnsi="仿宋_GB2312" w:eastAsia="仿宋_GB2312" w:cs="仿宋_GB2312"/>
                <w:sz w:val="32"/>
                <w:szCs w:val="32"/>
                <w:vertAlign w:val="baseline"/>
              </w:rPr>
            </w:pPr>
            <w:bookmarkStart w:id="0" w:name="_GoBack"/>
            <w:bookmarkEnd w:id="0"/>
          </w:p>
        </w:tc>
      </w:tr>
      <w:tr w14:paraId="789B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71" w:type="dxa"/>
          </w:tcPr>
          <w:p w14:paraId="716C4B76">
            <w:pPr>
              <w:numPr>
                <w:ilvl w:val="0"/>
                <w:numId w:val="1"/>
              </w:numPr>
              <w:ind w:left="425" w:leftChars="0" w:hanging="425" w:firstLineChars="0"/>
              <w:jc w:val="center"/>
              <w:rPr>
                <w:rFonts w:hint="eastAsia" w:ascii="仿宋_GB2312" w:hAnsi="仿宋_GB2312" w:eastAsia="仿宋_GB2312" w:cs="仿宋_GB2312"/>
                <w:sz w:val="32"/>
                <w:szCs w:val="32"/>
                <w:vertAlign w:val="baseline"/>
              </w:rPr>
            </w:pPr>
          </w:p>
        </w:tc>
        <w:tc>
          <w:tcPr>
            <w:tcW w:w="3869" w:type="dxa"/>
          </w:tcPr>
          <w:p w14:paraId="4C921C5E">
            <w:pPr>
              <w:jc w:val="center"/>
              <w:rPr>
                <w:rFonts w:hint="eastAsia" w:ascii="仿宋_GB2312" w:hAnsi="仿宋_GB2312" w:eastAsia="仿宋_GB2312" w:cs="仿宋_GB2312"/>
                <w:sz w:val="32"/>
                <w:szCs w:val="32"/>
                <w:vertAlign w:val="baseline"/>
              </w:rPr>
            </w:pPr>
          </w:p>
        </w:tc>
        <w:tc>
          <w:tcPr>
            <w:tcW w:w="4989" w:type="dxa"/>
          </w:tcPr>
          <w:p w14:paraId="3D80066D">
            <w:pPr>
              <w:jc w:val="center"/>
              <w:rPr>
                <w:rFonts w:hint="eastAsia" w:ascii="仿宋_GB2312" w:hAnsi="仿宋_GB2312" w:eastAsia="仿宋_GB2312" w:cs="仿宋_GB2312"/>
                <w:sz w:val="32"/>
                <w:szCs w:val="32"/>
                <w:vertAlign w:val="baseline"/>
              </w:rPr>
            </w:pPr>
          </w:p>
        </w:tc>
        <w:tc>
          <w:tcPr>
            <w:tcW w:w="1772" w:type="dxa"/>
          </w:tcPr>
          <w:p w14:paraId="0489F7CA">
            <w:pPr>
              <w:jc w:val="center"/>
              <w:rPr>
                <w:rFonts w:hint="eastAsia" w:ascii="仿宋_GB2312" w:hAnsi="仿宋_GB2312" w:eastAsia="仿宋_GB2312" w:cs="仿宋_GB2312"/>
                <w:sz w:val="32"/>
                <w:szCs w:val="32"/>
                <w:vertAlign w:val="baseline"/>
              </w:rPr>
            </w:pPr>
          </w:p>
        </w:tc>
        <w:tc>
          <w:tcPr>
            <w:tcW w:w="1773" w:type="dxa"/>
          </w:tcPr>
          <w:p w14:paraId="35D44BEF">
            <w:pPr>
              <w:jc w:val="center"/>
              <w:rPr>
                <w:rFonts w:hint="eastAsia" w:ascii="仿宋_GB2312" w:hAnsi="仿宋_GB2312" w:eastAsia="仿宋_GB2312" w:cs="仿宋_GB2312"/>
                <w:sz w:val="32"/>
                <w:szCs w:val="32"/>
                <w:vertAlign w:val="baseline"/>
              </w:rPr>
            </w:pPr>
          </w:p>
        </w:tc>
      </w:tr>
    </w:tbl>
    <w:p w14:paraId="501B664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EE0AD0E-BFE2-4056-BAC6-E15A73F0EA73}"/>
  </w:font>
  <w:font w:name="方正大标宋简体">
    <w:panose1 w:val="02000000000000000000"/>
    <w:charset w:val="86"/>
    <w:family w:val="auto"/>
    <w:pitch w:val="default"/>
    <w:sig w:usb0="A00002BF" w:usb1="184F6CFA" w:usb2="00000012" w:usb3="00000000" w:csb0="00040001" w:csb1="00000000"/>
    <w:embedRegular r:id="rId2" w:fontKey="{CB91EC91-9B0A-41E4-A02E-ABCA82E59B81}"/>
  </w:font>
  <w:font w:name="方正黑体_GBK">
    <w:panose1 w:val="02010600010101010101"/>
    <w:charset w:val="86"/>
    <w:family w:val="auto"/>
    <w:pitch w:val="default"/>
    <w:sig w:usb0="00000001" w:usb1="080E0000" w:usb2="00000000" w:usb3="00000000" w:csb0="00040000" w:csb1="00000000"/>
    <w:embedRegular r:id="rId3" w:fontKey="{9050CA1C-FAC0-49BE-9579-1D7AC8AA8986}"/>
  </w:font>
  <w:font w:name="仿宋_GB2312">
    <w:panose1 w:val="02010609030101010101"/>
    <w:charset w:val="86"/>
    <w:family w:val="auto"/>
    <w:pitch w:val="default"/>
    <w:sig w:usb0="00000001" w:usb1="080E0000" w:usb2="00000000" w:usb3="00000000" w:csb0="00040000" w:csb1="00000000"/>
    <w:embedRegular r:id="rId4" w:fontKey="{4C73DFD4-028F-47D1-9178-22DB32EAF37D}"/>
  </w:font>
  <w:font w:name="WPSEMBED1">
    <w:panose1 w:val="02000000000000000000"/>
    <w:charset w:val="86"/>
    <w:family w:val="auto"/>
    <w:pitch w:val="default"/>
    <w:sig w:usb0="A00002BF" w:usb1="184F6CFA" w:usb2="00000012" w:usb3="00000000" w:csb0="00040001" w:csb1="00000000"/>
  </w:font>
  <w:font w:name="WPSEMBED2">
    <w:panose1 w:val="0201060001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2276F"/>
    <w:multiLevelType w:val="singleLevel"/>
    <w:tmpl w:val="9DD2276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50238"/>
    <w:rsid w:val="2ED72F60"/>
    <w:rsid w:val="2F3C6959"/>
    <w:rsid w:val="325B584F"/>
    <w:rsid w:val="3D8A1F8A"/>
    <w:rsid w:val="48B6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Words>
  <Characters>37</Characters>
  <Lines>0</Lines>
  <Paragraphs>0</Paragraphs>
  <TotalTime>8</TotalTime>
  <ScaleCrop>false</ScaleCrop>
  <LinksUpToDate>false</LinksUpToDate>
  <CharactersWithSpaces>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2026-06-02T02:28:00Z</dcterms:created>
  <dc:creator>SFJ</dc:creator>
  <cp:lastModifiedBy>C聚离j距离p</cp:lastModifiedBy>
  <dcterms:modified xsi:type="dcterms:W3CDTF">2026-06-02T08:28:43Z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eyJoZGlkIjoiOTBkNmIyNmM5NDY0ZDRiN2UwMzFlNjVmNGQxNmY2ZTAiLCJ1c2VySWQiOiI2MTI4OTI4NDYifQ==</vt:lpwstr>
  </property>
  <property fmtid="{D5CDD505-2E9C-101B-9397-08002B2CF9AE}" pid="4" name="ICV">
    <vt:lpwstr>3AB37CE470D14BFBA051CC052E8CA91F_12</vt:lpwstr>
  </property>
</Properties>
</file>