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rPr>
      </w:pPr>
    </w:p>
    <w:p>
      <w:pPr>
        <w:jc w:val="center"/>
        <w:rPr>
          <w:rFonts w:ascii="仿宋" w:hAnsi="仿宋" w:eastAsia="仿宋"/>
        </w:rPr>
      </w:pPr>
      <w:r>
        <w:rPr>
          <w:rFonts w:ascii="仿宋" w:hAnsi="仿宋" w:eastAsia="仿宋"/>
          <w:color w:val="FF0000"/>
        </w:rPr>
        <w:pict>
          <v:shape id="_x0000_i1025" o:spt="136" type="#_x0000_t136" style="height:48pt;width:439.5pt;" fillcolor="#FF0000" filled="t" stroked="t" coordsize="21600,21600">
            <v:path/>
            <v:fill on="t" focussize="0,0"/>
            <v:stroke color="#FF0000"/>
            <v:imagedata o:title=""/>
            <o:lock v:ext="edit"/>
            <v:textpath on="t" fitshape="t" fitpath="t" trim="t" xscale="f" string="浮 梁 县 林 长 制 办 公 室" style="font-family:华文中宋;font-size:36pt;v-text-align:center;"/>
            <w10:wrap type="none"/>
            <w10:anchorlock/>
          </v:shape>
        </w:pict>
      </w:r>
    </w:p>
    <w:p>
      <w:pPr>
        <w:ind w:right="-230" w:rightChars="-72"/>
        <w:jc w:val="left"/>
        <w:rPr>
          <w:rFonts w:ascii="仿宋" w:hAnsi="仿宋" w:eastAsia="仿宋"/>
          <w:color w:val="FF0000"/>
          <w:u w:val="double"/>
        </w:rPr>
      </w:pPr>
      <w:r>
        <w:rPr>
          <w:rFonts w:hint="eastAsia" w:ascii="仿宋" w:hAnsi="仿宋" w:eastAsia="仿宋"/>
          <w:color w:val="FF0000"/>
          <w:u w:val="double"/>
        </w:rPr>
        <w:t xml:space="preserve">                                                         </w:t>
      </w:r>
    </w:p>
    <w:p>
      <w:pPr>
        <w:jc w:val="center"/>
        <w:rPr>
          <w:rFonts w:ascii="方正小标宋_GBK" w:hAnsi="仿宋" w:eastAsia="方正小标宋_GBK" w:cs="仿宋"/>
        </w:rPr>
      </w:pPr>
    </w:p>
    <w:p>
      <w:pPr>
        <w:jc w:val="right"/>
        <w:rPr>
          <w:rFonts w:hAnsi="仿宋"/>
        </w:rPr>
      </w:pPr>
      <w:r>
        <w:rPr>
          <w:rFonts w:hint="eastAsia" w:hAnsi="仿宋"/>
        </w:rPr>
        <w:t>浮林长办字〔2020〕8号</w:t>
      </w:r>
    </w:p>
    <w:p>
      <w:pPr>
        <w:ind w:left="320" w:hanging="320" w:hangingChars="100"/>
        <w:rPr>
          <w:rFonts w:ascii="仿宋" w:hAnsi="仿宋"/>
        </w:rPr>
      </w:pPr>
    </w:p>
    <w:p>
      <w:pPr>
        <w:adjustRightInd w:val="0"/>
        <w:snapToGrid w:val="0"/>
        <w:spacing w:line="720" w:lineRule="exact"/>
        <w:jc w:val="center"/>
        <w:rPr>
          <w:rFonts w:ascii="方正小标宋_GBK" w:eastAsia="方正小标宋_GBK"/>
          <w:sz w:val="44"/>
          <w:szCs w:val="44"/>
        </w:rPr>
      </w:pPr>
      <w:r>
        <w:rPr>
          <w:rFonts w:hint="eastAsia" w:ascii="方正小标宋_GBK" w:eastAsia="方正小标宋_GBK"/>
          <w:sz w:val="44"/>
          <w:szCs w:val="44"/>
        </w:rPr>
        <w:t>通      知</w:t>
      </w:r>
    </w:p>
    <w:p>
      <w:pPr>
        <w:adjustRightInd w:val="0"/>
        <w:snapToGrid w:val="0"/>
        <w:spacing w:line="600" w:lineRule="exact"/>
      </w:pPr>
    </w:p>
    <w:p>
      <w:pPr>
        <w:adjustRightInd w:val="0"/>
        <w:snapToGrid w:val="0"/>
        <w:spacing w:line="600" w:lineRule="exact"/>
      </w:pPr>
      <w:r>
        <w:rPr>
          <w:rFonts w:hint="eastAsia"/>
        </w:rPr>
        <w:t>各乡（镇）林长办：</w:t>
      </w:r>
    </w:p>
    <w:p>
      <w:pPr>
        <w:adjustRightInd w:val="0"/>
        <w:snapToGrid w:val="0"/>
        <w:spacing w:line="600" w:lineRule="exact"/>
        <w:ind w:firstLine="640" w:firstLineChars="200"/>
      </w:pPr>
      <w:r>
        <w:rPr>
          <w:rFonts w:hint="eastAsia"/>
        </w:rPr>
        <w:t>《浮梁县2020年林长制工作要点》、《浮梁县林长巡林工作制度实施办法》、《浮梁县“护绿提质2020行动”实施方案》和《浮梁县2020年度林长制及森林资源目标责任制考核评分标准》等文件已经浮梁县2020年生态环境保护委员会第一次全体会议暨县级总河（湖）长、总林长会议审议通过，现印发给你们。请结合实际，认真抓好贯彻落实。</w:t>
      </w:r>
    </w:p>
    <w:p>
      <w:pPr>
        <w:adjustRightInd w:val="0"/>
        <w:snapToGrid w:val="0"/>
        <w:spacing w:line="600" w:lineRule="exact"/>
        <w:ind w:firstLine="629"/>
      </w:pPr>
    </w:p>
    <w:p>
      <w:pPr>
        <w:adjustRightInd w:val="0"/>
        <w:snapToGrid w:val="0"/>
        <w:spacing w:line="600" w:lineRule="exact"/>
        <w:ind w:firstLine="4800" w:firstLineChars="1500"/>
        <w:rPr>
          <w:rFonts w:ascii="仿宋" w:hAnsi="仿宋" w:eastAsia="仿宋"/>
          <w:kern w:val="0"/>
        </w:rPr>
      </w:pPr>
    </w:p>
    <w:p>
      <w:pPr>
        <w:adjustRightInd w:val="0"/>
        <w:snapToGrid w:val="0"/>
        <w:spacing w:line="600" w:lineRule="exact"/>
        <w:ind w:firstLine="5177" w:firstLineChars="1618"/>
      </w:pPr>
      <w:r>
        <w:rPr>
          <w:rFonts w:hint="eastAsia" w:ascii="仿宋" w:hAnsi="仿宋" w:eastAsia="仿宋"/>
          <w:kern w:val="0"/>
        </w:rPr>
        <w:t>浮梁县林长办公室</w:t>
      </w:r>
    </w:p>
    <w:p>
      <w:pPr>
        <w:wordWrap w:val="0"/>
        <w:ind w:right="1059" w:rightChars="331"/>
        <w:jc w:val="right"/>
        <w:rPr>
          <w:rFonts w:ascii="仿宋" w:hAnsi="仿宋" w:eastAsia="仿宋"/>
        </w:rPr>
      </w:pPr>
      <w:r>
        <w:rPr>
          <w:rFonts w:hint="eastAsia" w:ascii="仿宋" w:hAnsi="仿宋" w:eastAsia="仿宋"/>
        </w:rPr>
        <w:t xml:space="preserve"> 2020年7月7日</w:t>
      </w:r>
    </w:p>
    <w:p>
      <w:pPr>
        <w:tabs>
          <w:tab w:val="left" w:pos="7938"/>
        </w:tabs>
        <w:spacing w:line="700" w:lineRule="exact"/>
      </w:pPr>
    </w:p>
    <w:p>
      <w:pPr>
        <w:tabs>
          <w:tab w:val="left" w:pos="7938"/>
        </w:tabs>
        <w:spacing w:line="700" w:lineRule="exact"/>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000000" w:sz="4" w:space="0"/>
        </w:tblBorders>
        <w:tblLayout w:type="autofit"/>
        <w:tblCellMar>
          <w:top w:w="0" w:type="dxa"/>
          <w:left w:w="108" w:type="dxa"/>
          <w:bottom w:w="0" w:type="dxa"/>
          <w:right w:w="108" w:type="dxa"/>
        </w:tblCellMar>
      </w:tblPr>
      <w:tblGrid>
        <w:gridCol w:w="4246"/>
        <w:gridCol w:w="4651"/>
      </w:tblGrid>
      <w:tr>
        <w:tblPrEx>
          <w:tblBorders>
            <w:top w:val="single" w:color="auto" w:sz="4" w:space="0"/>
            <w:left w:val="none" w:color="auto" w:sz="0" w:space="0"/>
            <w:bottom w:val="single" w:color="auto" w:sz="4" w:space="0"/>
            <w:right w:val="none" w:color="auto" w:sz="0" w:space="0"/>
            <w:insideH w:val="single" w:color="auto" w:sz="4" w:space="0"/>
            <w:insideV w:val="single" w:color="000000" w:sz="4" w:space="0"/>
          </w:tblBorders>
          <w:tblCellMar>
            <w:top w:w="0" w:type="dxa"/>
            <w:left w:w="108" w:type="dxa"/>
            <w:bottom w:w="0" w:type="dxa"/>
            <w:right w:w="108" w:type="dxa"/>
          </w:tblCellMar>
        </w:tblPrEx>
        <w:tc>
          <w:tcPr>
            <w:tcW w:w="4246" w:type="dxa"/>
            <w:tcBorders>
              <w:top w:val="single" w:color="auto" w:sz="4" w:space="0"/>
              <w:left w:val="nil"/>
              <w:bottom w:val="single" w:color="auto" w:sz="4" w:space="0"/>
              <w:right w:val="nil"/>
            </w:tcBorders>
          </w:tcPr>
          <w:p>
            <w:pPr>
              <w:ind w:firstLine="140" w:firstLineChars="50"/>
              <w:rPr>
                <w:rFonts w:ascii="仿宋" w:hAnsi="仿宋" w:eastAsia="仿宋"/>
                <w:sz w:val="28"/>
                <w:szCs w:val="28"/>
              </w:rPr>
            </w:pPr>
            <w:r>
              <w:rPr>
                <w:rFonts w:hint="eastAsia" w:ascii="仿宋" w:hAnsi="仿宋" w:eastAsia="仿宋"/>
                <w:kern w:val="0"/>
                <w:sz w:val="28"/>
                <w:szCs w:val="28"/>
              </w:rPr>
              <w:t>浮梁县林长办公室</w:t>
            </w:r>
          </w:p>
        </w:tc>
        <w:tc>
          <w:tcPr>
            <w:tcW w:w="4651" w:type="dxa"/>
            <w:tcBorders>
              <w:top w:val="single" w:color="auto" w:sz="4" w:space="0"/>
              <w:left w:val="nil"/>
              <w:bottom w:val="single" w:color="auto" w:sz="4" w:space="0"/>
              <w:right w:val="nil"/>
            </w:tcBorders>
          </w:tcPr>
          <w:p>
            <w:pPr>
              <w:ind w:right="138"/>
              <w:jc w:val="right"/>
              <w:rPr>
                <w:rFonts w:ascii="仿宋" w:hAnsi="仿宋" w:eastAsia="仿宋"/>
                <w:sz w:val="28"/>
                <w:szCs w:val="28"/>
              </w:rPr>
            </w:pPr>
            <w:r>
              <w:rPr>
                <w:rFonts w:hint="eastAsia" w:ascii="仿宋" w:hAnsi="仿宋" w:eastAsia="仿宋"/>
                <w:kern w:val="0"/>
                <w:sz w:val="28"/>
                <w:szCs w:val="28"/>
              </w:rPr>
              <w:t>2020年7月7日印发</w:t>
            </w:r>
          </w:p>
        </w:tc>
      </w:tr>
    </w:tbl>
    <w:p>
      <w:pPr>
        <w:spacing w:line="600" w:lineRule="exact"/>
        <w:jc w:val="center"/>
        <w:rPr>
          <w:rFonts w:ascii="方正小标宋_GBK" w:eastAsia="方正小标宋_GBK"/>
          <w:sz w:val="44"/>
          <w:szCs w:val="44"/>
        </w:rPr>
      </w:pPr>
      <w:r>
        <w:rPr>
          <w:rFonts w:hint="eastAsia" w:ascii="方正小标宋_GBK" w:hAnsi="方正小标宋_GBK" w:eastAsia="方正小标宋_GBK" w:cs="方正小标宋_GBK"/>
          <w:sz w:val="44"/>
          <w:szCs w:val="44"/>
        </w:rPr>
        <w:t>浮梁县2020年林长制工作要点</w:t>
      </w:r>
      <w:bookmarkStart w:id="0" w:name="_GoBack"/>
      <w:bookmarkEnd w:id="0"/>
    </w:p>
    <w:p>
      <w:pPr>
        <w:widowControl/>
        <w:shd w:val="clear" w:color="auto" w:fill="FFFFFF"/>
        <w:spacing w:after="150" w:line="360" w:lineRule="auto"/>
        <w:jc w:val="center"/>
        <w:rPr>
          <w:rFonts w:ascii="方正小标宋_GBK" w:hAnsi="方正小标宋_GBK" w:eastAsia="方正小标宋_GBK" w:cs="方正小标宋_GBK"/>
          <w:sz w:val="44"/>
          <w:szCs w:val="44"/>
        </w:rPr>
      </w:pPr>
    </w:p>
    <w:p>
      <w:pPr>
        <w:widowControl/>
        <w:shd w:val="clear" w:color="auto" w:fill="FFFFFF"/>
        <w:spacing w:line="600" w:lineRule="exact"/>
        <w:jc w:val="center"/>
        <w:rPr>
          <w:rFonts w:ascii="方正小标宋_GBK" w:hAnsi="方正小标宋_GBK" w:eastAsia="方正小标宋_GBK" w:cs="方正小标宋_GBK"/>
          <w:sz w:val="36"/>
          <w:szCs w:val="36"/>
        </w:rPr>
      </w:pPr>
    </w:p>
    <w:p>
      <w:pPr>
        <w:widowControl/>
        <w:shd w:val="clear" w:color="auto" w:fill="FFFFFF"/>
        <w:spacing w:after="150" w:line="600" w:lineRule="exact"/>
        <w:ind w:firstLine="664" w:firstLineChars="200"/>
        <w:rPr>
          <w:rFonts w:hAnsi="仿宋_GB2312" w:cs="仿宋_GB2312"/>
        </w:rPr>
      </w:pPr>
      <w:r>
        <w:rPr>
          <w:rFonts w:hint="eastAsia" w:hAnsi="仿宋_GB2312" w:cs="仿宋_GB2312"/>
          <w:spacing w:val="6"/>
        </w:rPr>
        <w:t>2020年，</w:t>
      </w:r>
      <w:r>
        <w:rPr>
          <w:rFonts w:hint="eastAsia" w:hAnsi="仿宋_GB2312" w:cs="仿宋_GB2312"/>
        </w:rPr>
        <w:t>全县林长制工作思路是：以习近平生态文明思想为指导，全面贯彻党的</w:t>
      </w:r>
      <w:r>
        <w:rPr>
          <w:rFonts w:hint="eastAsia" w:hAnsi="仿宋_GB2312" w:cs="仿宋_GB2312"/>
          <w:color w:val="000000"/>
          <w:spacing w:val="-2"/>
        </w:rPr>
        <w:t>十九大和十九届二中、三中、四中全会以及习近平总书记视察江西时的重要讲话精神，</w:t>
      </w:r>
      <w:r>
        <w:rPr>
          <w:rFonts w:hint="eastAsia" w:hAnsi="仿宋_GB2312" w:cs="仿宋_GB2312"/>
        </w:rPr>
        <w:t>认真执行新修订的《森林法》和《浮梁县林长制实施方案》，坚持以落实保护发展森林资源目标责任制为核心，以强化森林资源源头管理为重点，以运用现代科技手段为支撑，增强创新意识，完善管理机制，加强督查考核，推动林长制工作制度化、规范化、信息化，努力做好“增绿、管绿、用绿、护绿、活绿”文章，全面提升林业治理体系和治理能力现代化水平，推动我县林业高质量发展。</w:t>
      </w:r>
    </w:p>
    <w:p>
      <w:pPr>
        <w:widowControl/>
        <w:shd w:val="clear" w:color="auto" w:fill="FFFFFF"/>
        <w:spacing w:after="150" w:line="600" w:lineRule="exact"/>
        <w:ind w:firstLine="640" w:firstLineChars="200"/>
        <w:rPr>
          <w:rFonts w:hAnsi="仿宋_GB2312" w:cs="仿宋_GB2312"/>
        </w:rPr>
      </w:pPr>
      <w:r>
        <w:rPr>
          <w:rFonts w:hint="eastAsia" w:ascii="黑体" w:hAnsi="黑体" w:eastAsia="黑体" w:cs="仿宋_GB2312"/>
          <w:bCs/>
        </w:rPr>
        <w:t>一、推动各级林长履职尽责。</w:t>
      </w:r>
      <w:r>
        <w:rPr>
          <w:rFonts w:hint="eastAsia" w:hAnsi="仿宋_GB2312" w:cs="仿宋_GB2312"/>
        </w:rPr>
        <w:t>通过召开总林长会、签发总林长令、林长巡林、林长批示等方式，推动各级林长主动指导林业改革发展、协调解决森林资源保护发展问题。落实《江西省林长巡林工作制度》，建立林长责任区域森林资源清单制度和林长工作提示告知机制，提醒各级林长特别是乡村两级林长履职尽责。建立森林督查与林长履职挂钩机制，通过森林督查反映林长责任区森林资源保护情况。组织开展林长制及森林资源目标责任制考核，强化考核结果运用。</w:t>
      </w:r>
    </w:p>
    <w:p>
      <w:pPr>
        <w:widowControl/>
        <w:shd w:val="clear" w:color="auto" w:fill="FFFFFF"/>
        <w:spacing w:after="150" w:line="600" w:lineRule="exact"/>
        <w:ind w:firstLine="640" w:firstLineChars="200"/>
        <w:rPr>
          <w:rFonts w:hAnsi="仿宋_GB2312" w:cs="仿宋_GB2312"/>
        </w:rPr>
      </w:pPr>
      <w:r>
        <w:rPr>
          <w:rFonts w:hint="eastAsia" w:ascii="黑体" w:hAnsi="黑体" w:eastAsia="黑体" w:cs="仿宋_GB2312"/>
          <w:bCs/>
        </w:rPr>
        <w:t>二、完善森林资源源头管理机制</w:t>
      </w:r>
      <w:r>
        <w:rPr>
          <w:rFonts w:hint="eastAsia" w:hAnsi="仿宋_GB2312" w:cs="仿宋_GB2312"/>
          <w:b/>
          <w:bCs/>
        </w:rPr>
        <w:t>。</w:t>
      </w:r>
      <w:r>
        <w:rPr>
          <w:rFonts w:hint="eastAsia" w:hAnsi="仿宋_GB2312" w:cs="仿宋_GB2312"/>
        </w:rPr>
        <w:t>深入推进森林资源源头管理网格化、规范化、信息化建设。进一步完善以村级林长、基层监管员和专职护林员为主体的“一长两员”源头管理架构，确保每一块林地、每一棵林木都有人管护。启动林长制智慧平台建设，全面应用巡护信息系统,落实护林员巡山“疑似问题台账”制度，实现护林员制度化、规范化、信息化管理，努力做到问题早发现、及时报、快查处。强化“一长两员”队伍履职监管和考核,确保“一长两员”发挥作用。以第七次森林资源二类调查成果为基础,积极抓好森林资源管理“一张图”年度更新、森林资源年度出数和森林督查常态化。</w:t>
      </w:r>
    </w:p>
    <w:p>
      <w:pPr>
        <w:widowControl/>
        <w:shd w:val="clear" w:color="auto" w:fill="FFFFFF"/>
        <w:spacing w:after="150" w:line="600" w:lineRule="exact"/>
        <w:ind w:firstLine="640" w:firstLineChars="200"/>
        <w:rPr>
          <w:rFonts w:hAnsi="仿宋_GB2312" w:cs="仿宋_GB2312"/>
        </w:rPr>
      </w:pPr>
      <w:r>
        <w:rPr>
          <w:rFonts w:hint="eastAsia" w:ascii="黑体" w:hAnsi="黑体" w:eastAsia="黑体" w:cs="仿宋_GB2312"/>
          <w:bCs/>
        </w:rPr>
        <w:t>三、开展“护绿提质2020行动”</w:t>
      </w:r>
      <w:r>
        <w:rPr>
          <w:rFonts w:hint="eastAsia" w:hAnsi="仿宋_GB2312" w:cs="仿宋_GB2312"/>
          <w:b/>
          <w:bCs/>
        </w:rPr>
        <w:t>。</w:t>
      </w:r>
      <w:r>
        <w:rPr>
          <w:rFonts w:hint="eastAsia" w:hAnsi="仿宋_GB2312" w:cs="仿宋_GB2312"/>
        </w:rPr>
        <w:t>巩固“护绿提质2019行动”成果,以专项行动为抓手,推动林长制取得实效。完成全县“十四五”森林采伐限额编制工作,组织国有林场等经营单位编制并严格执行森林经营方案。深入开展森林督查等问题整改“回头看”,组织开展2020年森林督查和自然保护区整治等专项行动,加大破坏森林资源和野生动物栖息地问题的查处力度,强化野生动植物保护管理。大力抓好森林防火,扎实开展松材线虫病防控“三年攻坚战”行动,积极开展野生动物疫源疫病防控,切实提高林业防灾减灾能力。深入推进重点区域森林“四化”建设,完成1100亩建设任务。实施森林质量精准提升工程,完成人工造林4600亩、封山育林30000亩、低产低效林改造(退化林修复)7500亩、森林抚育13.2万亩。大力发展林下经济产业,新造高产油茶1500亩、香精香料及其他林化原料林700亩、森林药材400亩，完成毛竹低产林及笋用林(笋材两用林)改造7000亩；创建</w:t>
      </w:r>
    </w:p>
    <w:p>
      <w:pPr>
        <w:widowControl/>
        <w:shd w:val="clear" w:color="auto" w:fill="FFFFFF"/>
        <w:spacing w:after="150" w:line="600" w:lineRule="exact"/>
        <w:jc w:val="left"/>
        <w:rPr>
          <w:rFonts w:hAnsi="仿宋_GB2312" w:cs="仿宋_GB2312"/>
        </w:rPr>
      </w:pPr>
      <w:r>
        <w:rPr>
          <w:rFonts w:hint="eastAsia" w:hAnsi="仿宋_GB2312" w:cs="仿宋_GB2312"/>
        </w:rPr>
        <w:t>15个省级森林乡村，并申报推荐9国家森林乡村。</w:t>
      </w:r>
    </w:p>
    <w:p>
      <w:pPr>
        <w:widowControl/>
        <w:shd w:val="clear" w:color="auto" w:fill="FFFFFF"/>
        <w:spacing w:after="150" w:line="600" w:lineRule="exact"/>
        <w:ind w:firstLine="640" w:firstLineChars="200"/>
        <w:rPr>
          <w:rFonts w:hAnsi="仿宋_GB2312" w:cs="仿宋_GB2312"/>
        </w:rPr>
      </w:pPr>
      <w:r>
        <w:rPr>
          <w:rFonts w:hint="eastAsia" w:ascii="黑体" w:hAnsi="黑体" w:eastAsia="黑体" w:cs="仿宋_GB2312"/>
          <w:bCs/>
        </w:rPr>
        <w:t>四、发挥林长办作用。</w:t>
      </w:r>
      <w:r>
        <w:rPr>
          <w:rFonts w:hint="eastAsia" w:hAnsi="仿宋_GB2312" w:cs="仿宋_GB2312"/>
        </w:rPr>
        <w:t>开展县乡两级林长办标准化建设，充实林长办人员力量。乡镇增挂林长办牌子，确定1名专职副主任、1名专职林政管理员和1名森林资源监测员，并保障工作经费，对办公场所、工作制度、事件处理、管理台账、监管平台等实行标准化管理，强化林长办自身建设。充分发挥林长办与同级林长的工作请示汇报作用、与同级协作部门的工作沟通协调作用、对下级林长的工作督查督办作用，切实增强林长办工作的主动性、创新性和高效性。</w:t>
      </w:r>
    </w:p>
    <w:p>
      <w:pPr>
        <w:widowControl/>
        <w:shd w:val="clear" w:color="auto" w:fill="FFFFFF"/>
        <w:spacing w:after="150" w:line="600" w:lineRule="exact"/>
        <w:ind w:firstLine="640" w:firstLineChars="200"/>
        <w:rPr>
          <w:rFonts w:hAnsi="仿宋_GB2312" w:cs="仿宋_GB2312"/>
        </w:rPr>
      </w:pPr>
      <w:r>
        <w:rPr>
          <w:rFonts w:hint="eastAsia" w:ascii="黑体" w:hAnsi="黑体" w:eastAsia="黑体" w:cs="仿宋_GB2312"/>
          <w:bCs/>
        </w:rPr>
        <w:t>五、开展林长制宣传推介活动。</w:t>
      </w:r>
      <w:r>
        <w:rPr>
          <w:rFonts w:hint="eastAsia" w:hAnsi="仿宋_GB2312" w:cs="仿宋_GB2312"/>
        </w:rPr>
        <w:t>进一步加大林长制宣传力度，及时总结宣传林长制工作的创新做法、成功经验和明显成效，完善五个林长制试点乡镇林长制示范工作，为各地考察团提供示范样板。组织开展媒体记者集中采访、2020年度“浮梁最美护林员”评选、林业节日等形式多样的林长制宣传活动，打造浮梁林长制品牌。及时完善林长制公示、宣传内容，公开林长名单及责任区域、村级“一长两员”职责，广泛接受社会监督。</w:t>
      </w:r>
    </w:p>
    <w:p>
      <w:pPr>
        <w:widowControl/>
        <w:spacing w:line="600" w:lineRule="exact"/>
        <w:jc w:val="left"/>
        <w:rPr>
          <w:rFonts w:hAnsi="仿宋_GB2312" w:cs="仿宋_GB2312"/>
        </w:rPr>
      </w:pPr>
      <w:r>
        <w:rPr>
          <w:rFonts w:hAnsi="仿宋_GB2312" w:cs="仿宋_GB2312"/>
        </w:rPr>
        <w:br w:type="page"/>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浮梁县林长巡林工作制度实施办法</w:t>
      </w:r>
    </w:p>
    <w:p>
      <w:pPr>
        <w:spacing w:line="600" w:lineRule="exact"/>
        <w:rPr>
          <w:rFonts w:hAnsi="仿宋_GB2312" w:cs="仿宋_GB2312"/>
        </w:rPr>
      </w:pPr>
    </w:p>
    <w:p>
      <w:pPr>
        <w:spacing w:line="600" w:lineRule="exact"/>
        <w:ind w:firstLine="640" w:firstLineChars="200"/>
      </w:pPr>
      <w:r>
        <w:rPr>
          <w:rFonts w:hint="eastAsia" w:ascii="黑体" w:hAnsi="黑体" w:eastAsia="黑体"/>
        </w:rPr>
        <w:t xml:space="preserve">第一条 </w:t>
      </w:r>
      <w:r>
        <w:rPr>
          <w:rFonts w:hint="eastAsia" w:hAnsi="仿宋_GB2312" w:cs="仿宋_GB2312"/>
        </w:rPr>
        <w:t xml:space="preserve"> 为全面落实林长巡林工作制度</w:t>
      </w:r>
      <w:r>
        <w:rPr>
          <w:rFonts w:hint="eastAsia"/>
        </w:rPr>
        <w:t>，根据省委办公厅、省政府办公厅印发的《关于全面推行林长制的意见》、省林长办印发的《江西省林长巡林工作制度》和《浮梁县林长制实施方案》的精神，结合工作实际，制定本办法。</w:t>
      </w:r>
    </w:p>
    <w:p>
      <w:pPr>
        <w:spacing w:line="600" w:lineRule="exact"/>
        <w:ind w:firstLine="640" w:firstLineChars="200"/>
      </w:pPr>
      <w:r>
        <w:rPr>
          <w:rFonts w:hint="eastAsia" w:ascii="黑体" w:hAnsi="黑体" w:eastAsia="黑体"/>
        </w:rPr>
        <w:t xml:space="preserve">第二条  </w:t>
      </w:r>
      <w:r>
        <w:rPr>
          <w:rFonts w:hint="eastAsia"/>
        </w:rPr>
        <w:t>本办法适用于县、乡、村三级林长。</w:t>
      </w:r>
    </w:p>
    <w:p>
      <w:pPr>
        <w:spacing w:line="600" w:lineRule="exact"/>
        <w:ind w:firstLine="640" w:firstLineChars="200"/>
      </w:pPr>
      <w:r>
        <w:rPr>
          <w:rFonts w:hint="eastAsia" w:ascii="黑体" w:hAnsi="黑体" w:eastAsia="黑体"/>
        </w:rPr>
        <w:t xml:space="preserve">第三条  </w:t>
      </w:r>
      <w:r>
        <w:rPr>
          <w:rFonts w:hint="eastAsia" w:hAnsi="仿宋_GB2312" w:cs="仿宋_GB2312"/>
        </w:rPr>
        <w:t>本办法所称</w:t>
      </w:r>
      <w:r>
        <w:rPr>
          <w:rFonts w:hint="eastAsia"/>
        </w:rPr>
        <w:t>林长，是指县级总林长、第一副总林长、副总林长、林区长，以及乡、村两级的林长、副林长。</w:t>
      </w:r>
    </w:p>
    <w:p>
      <w:pPr>
        <w:spacing w:line="600" w:lineRule="exact"/>
        <w:ind w:firstLine="640" w:firstLineChars="200"/>
      </w:pPr>
      <w:r>
        <w:rPr>
          <w:rFonts w:hint="eastAsia" w:ascii="黑体" w:hAnsi="黑体" w:eastAsia="黑体"/>
        </w:rPr>
        <w:t>第四条</w:t>
      </w:r>
      <w:r>
        <w:rPr>
          <w:rFonts w:hint="eastAsia"/>
        </w:rPr>
        <w:t xml:space="preserve">  本办法所称巡林，是指各级林长通过巡访、查看、调研等方式，督促指导责任区域森林资源保护发展工作，发现并协调解决森林资源保护发展中存在的问题。</w:t>
      </w:r>
    </w:p>
    <w:p>
      <w:pPr>
        <w:spacing w:line="600" w:lineRule="exact"/>
        <w:ind w:firstLine="640" w:firstLineChars="200"/>
      </w:pPr>
      <w:r>
        <w:rPr>
          <w:rFonts w:hint="eastAsia" w:ascii="黑体" w:hAnsi="黑体" w:eastAsia="黑体"/>
        </w:rPr>
        <w:t>第五条</w:t>
      </w:r>
      <w:r>
        <w:rPr>
          <w:rFonts w:hint="eastAsia"/>
        </w:rPr>
        <w:t xml:space="preserve">  县级林长办公室负责做好同级林长巡林的服务保障工作，并负责做好乡、村两级林长巡林的检查监督、统计汇总和考核评价等相关工作。县林业局对每个林区安排一名科级干部作为一对一对接林区长的联络员，协助林区长开展巡林工作。</w:t>
      </w:r>
    </w:p>
    <w:p>
      <w:pPr>
        <w:spacing w:line="600" w:lineRule="exact"/>
        <w:ind w:firstLine="640" w:firstLineChars="200"/>
      </w:pPr>
      <w:r>
        <w:rPr>
          <w:rFonts w:hint="eastAsia" w:ascii="黑体" w:hAnsi="黑体" w:eastAsia="黑体"/>
        </w:rPr>
        <w:t>第六条</w:t>
      </w:r>
      <w:r>
        <w:rPr>
          <w:rFonts w:hint="eastAsia"/>
        </w:rPr>
        <w:t xml:space="preserve">  根据工作实际，林长巡林可采取集中巡林和日常巡林两种方式。集中巡林应根据森林资源保护发展重点期工作需要，由县总林长签发总林长令，集中统一开展;日常巡林可</w:t>
      </w:r>
      <w:r>
        <w:rPr>
          <w:rFonts w:hint="eastAsia"/>
          <w:lang w:val="en-US" w:eastAsia="zh-CN"/>
        </w:rPr>
        <w:t>根据</w:t>
      </w:r>
      <w:r>
        <w:rPr>
          <w:rFonts w:hint="eastAsia"/>
        </w:rPr>
        <w:t>森林资源保护发展专项工作需要，由各级林长不定期开展。</w:t>
      </w:r>
    </w:p>
    <w:p>
      <w:pPr>
        <w:spacing w:line="600" w:lineRule="exact"/>
        <w:ind w:firstLine="640" w:firstLineChars="200"/>
      </w:pPr>
      <w:r>
        <w:rPr>
          <w:rFonts w:hint="eastAsia" w:ascii="黑体" w:hAnsi="黑体" w:eastAsia="黑体"/>
        </w:rPr>
        <w:t xml:space="preserve">第七条  </w:t>
      </w:r>
      <w:r>
        <w:rPr>
          <w:rFonts w:hint="eastAsia"/>
        </w:rPr>
        <w:t>县林长办公室建立和完善同级林长责任区域森林资源清单和林长工作提示制度，定期和不定期向林长提供《林长责任区域森林资源清单》(以下简称《资源清单》)和《林长工作提示单》(以下简称《提示单》)。</w:t>
      </w:r>
    </w:p>
    <w:p>
      <w:pPr>
        <w:spacing w:line="600" w:lineRule="exact"/>
        <w:ind w:firstLine="640" w:firstLineChars="200"/>
      </w:pPr>
      <w:r>
        <w:rPr>
          <w:rFonts w:hint="eastAsia"/>
        </w:rPr>
        <w:t>《资源清单》是指林长责任区域森林资源基本情况，以及一段时期内的变动情况。第一次《资源清单》内容为林长责任区域森林资源、湿地基本情况，包括森林覆盖率、活立木蓄积量、乔木林单位面积蓄积量、林地面积、森林面积、享受各级森林生态效益补偿的生态公益林和天然商品林面积、各类自然保护地面积、古树名木情况、湿地面积等。相关数据为最新森林资源二类调查数据或者森林资源年度更新数据。之后的《资源清单》内容主要是林长履职期间责任区域内森林资源保护发展情况、森林资源变动(林地征占用、林木采伐和森林督查等)情况，以及存在问题和整改情况等。原则上《资源清单》在森林资源年度更新出数后，每年提供一次。</w:t>
      </w:r>
    </w:p>
    <w:p>
      <w:pPr>
        <w:spacing w:line="600" w:lineRule="exact"/>
        <w:ind w:firstLine="640" w:firstLineChars="200"/>
      </w:pPr>
      <w:r>
        <w:rPr>
          <w:rFonts w:hint="eastAsia"/>
        </w:rPr>
        <w:t>《提示单》是指因责任区域内森林资源保护发展专项工作需要，提醒告知相关林长及时开展巡林，督促指导协调解决相关问题，确保重点工作顺利推进。</w:t>
      </w:r>
    </w:p>
    <w:p>
      <w:pPr>
        <w:spacing w:line="600" w:lineRule="exact"/>
        <w:ind w:firstLine="640" w:firstLineChars="200"/>
      </w:pPr>
      <w:r>
        <w:rPr>
          <w:rFonts w:hint="eastAsia" w:ascii="黑体" w:hAnsi="黑体" w:eastAsia="黑体"/>
        </w:rPr>
        <w:t xml:space="preserve">第八条  </w:t>
      </w:r>
      <w:r>
        <w:rPr>
          <w:rFonts w:hint="eastAsia"/>
        </w:rPr>
        <w:t>全县三级林长应加大对责任区域内森林资源保护发展工作的巡林力度。县级林长每季度巡林不少于1次，乡级林长每月巡林不少于1次，村级林长每周巡林不少于1次。森林资源保护发展问题较多或较严重的责任区域，相应林长应加密巡林频次。</w:t>
      </w:r>
    </w:p>
    <w:p>
      <w:pPr>
        <w:spacing w:line="600" w:lineRule="exact"/>
        <w:ind w:firstLine="640" w:firstLineChars="200"/>
      </w:pPr>
      <w:r>
        <w:rPr>
          <w:rFonts w:hint="eastAsia" w:ascii="黑体" w:hAnsi="黑体" w:eastAsia="黑体"/>
        </w:rPr>
        <w:t>第九条</w:t>
      </w:r>
      <w:r>
        <w:rPr>
          <w:rFonts w:hint="eastAsia"/>
        </w:rPr>
        <w:t xml:space="preserve">  根据各级林长职责，林长巡林主要内容包括:</w:t>
      </w:r>
    </w:p>
    <w:p>
      <w:pPr>
        <w:spacing w:line="600" w:lineRule="exact"/>
        <w:ind w:firstLine="640" w:firstLineChars="200"/>
      </w:pPr>
      <w:r>
        <w:rPr>
          <w:rFonts w:hint="eastAsia"/>
        </w:rPr>
        <w:t>(一)贯彻落实中央和省委、省政府，市委、市政府，县委、县政府生态文明建设的决策部署情况;</w:t>
      </w:r>
    </w:p>
    <w:p>
      <w:pPr>
        <w:spacing w:line="600" w:lineRule="exact"/>
        <w:ind w:firstLine="640" w:firstLineChars="200"/>
      </w:pPr>
      <w:r>
        <w:rPr>
          <w:rFonts w:hint="eastAsia"/>
        </w:rPr>
        <w:t>(二)上级生态环境督查发现问题整改及下级林长保护发展森林资源责任制落实情;</w:t>
      </w:r>
    </w:p>
    <w:p>
      <w:pPr>
        <w:spacing w:line="600" w:lineRule="exact"/>
        <w:ind w:firstLine="640" w:firstLineChars="200"/>
      </w:pPr>
      <w:r>
        <w:rPr>
          <w:rFonts w:hint="eastAsia"/>
        </w:rPr>
        <w:t>(三)森林资源监管体系建设及“一长两员”履职情况，林长制巡护信息系统使用情况，护林员巡山“疑似问题台账”执行情况;</w:t>
      </w:r>
    </w:p>
    <w:p>
      <w:pPr>
        <w:spacing w:line="600" w:lineRule="exact"/>
        <w:ind w:firstLine="640" w:firstLineChars="200"/>
      </w:pPr>
      <w:r>
        <w:rPr>
          <w:rFonts w:hint="eastAsia"/>
        </w:rPr>
        <w:t>(四)林地林木管理、天然林和公益林保护、野生动植物保护管理、自然保护地管理、古树名木保护、湿地保护、森林防火和林业有害生物防控等情况，以及涉林案件查处情况;</w:t>
      </w:r>
    </w:p>
    <w:p>
      <w:pPr>
        <w:spacing w:line="600" w:lineRule="exact"/>
        <w:ind w:firstLine="640" w:firstLineChars="200"/>
      </w:pPr>
      <w:r>
        <w:rPr>
          <w:rFonts w:hint="eastAsia"/>
        </w:rPr>
        <w:t>(五)国土绿化、重点区域森林绿化美化彩化珍贵化建设、低产低效林改造、森林抚育等森林质量提升工作情况;</w:t>
      </w:r>
    </w:p>
    <w:p>
      <w:pPr>
        <w:spacing w:line="600" w:lineRule="exact"/>
        <w:ind w:firstLine="640" w:firstLineChars="200"/>
      </w:pPr>
      <w:r>
        <w:rPr>
          <w:rFonts w:hint="eastAsia"/>
        </w:rPr>
        <w:t>(六)其他涉及森林资源保护发展工作情况。</w:t>
      </w:r>
    </w:p>
    <w:p>
      <w:pPr>
        <w:spacing w:line="600" w:lineRule="exact"/>
        <w:ind w:firstLine="640" w:firstLineChars="200"/>
        <w:rPr>
          <w:rFonts w:hAnsi="仿宋_GB2312" w:cs="仿宋_GB2312"/>
        </w:rPr>
      </w:pPr>
      <w:r>
        <w:rPr>
          <w:rFonts w:hint="eastAsia" w:ascii="黑体" w:hAnsi="黑体" w:eastAsia="黑体"/>
        </w:rPr>
        <w:t>第十条</w:t>
      </w:r>
      <w:r>
        <w:rPr>
          <w:rFonts w:hint="eastAsia"/>
        </w:rPr>
        <w:t xml:space="preserve">  林长巡林结</w:t>
      </w:r>
      <w:r>
        <w:rPr>
          <w:rFonts w:hint="eastAsia" w:hAnsi="仿宋_GB2312" w:cs="仿宋_GB2312"/>
        </w:rPr>
        <w:t>束后</w:t>
      </w:r>
      <w:r>
        <w:rPr>
          <w:rFonts w:hint="eastAsia"/>
        </w:rPr>
        <w:t>，同级林长办公室应及时整理巡林记录，并存档备查。对巡林发现的问题，林长办公室应建立问题台账，实行销号管理，及时将问题移交相关单位调查</w:t>
      </w:r>
      <w:r>
        <w:rPr>
          <w:rFonts w:hint="eastAsia" w:hAnsi="仿宋_GB2312" w:cs="仿宋_GB2312"/>
        </w:rPr>
        <w:t>处理</w:t>
      </w:r>
      <w:r>
        <w:rPr>
          <w:rFonts w:hint="eastAsia"/>
        </w:rPr>
        <w:t>，并向相应林长报告处理或整改情况。加强信息报送，</w:t>
      </w:r>
      <w:r>
        <w:rPr>
          <w:rFonts w:hint="eastAsia" w:hAnsi="仿宋_GB2312" w:cs="仿宋_GB2312"/>
        </w:rPr>
        <w:t>各乡镇林长办要统计好乡村两级林长年度巡林情况，并按照要求向县林长办填报相关信息，分别于每年的4月、7月、10月、12月20日前报县林长办；县林长办按省林长办要求将县、乡、村三级林长巡林情况，分别于每年的4月、7月、10月、12月底前报省林长办。</w:t>
      </w:r>
    </w:p>
    <w:p>
      <w:pPr>
        <w:spacing w:line="600" w:lineRule="exact"/>
        <w:ind w:firstLine="640" w:firstLineChars="200"/>
      </w:pPr>
      <w:r>
        <w:rPr>
          <w:rFonts w:hint="eastAsia" w:ascii="黑体" w:hAnsi="黑体" w:eastAsia="黑体"/>
        </w:rPr>
        <w:t xml:space="preserve">第十一条  </w:t>
      </w:r>
      <w:r>
        <w:rPr>
          <w:rFonts w:hint="eastAsia"/>
        </w:rPr>
        <w:t>县林长办公室在年度考核评价全县林长制工作时应将林长巡林情况作为重要内容，重点考核林长巡林工作推进情况以及发现问题的解决和处理到位情况等，并通报考核评价结果。</w:t>
      </w:r>
    </w:p>
    <w:p>
      <w:pPr>
        <w:spacing w:line="600" w:lineRule="exact"/>
        <w:ind w:firstLine="640" w:firstLineChars="200"/>
      </w:pPr>
      <w:r>
        <w:rPr>
          <w:rFonts w:hint="eastAsia" w:ascii="黑体" w:hAnsi="黑体" w:eastAsia="黑体"/>
        </w:rPr>
        <w:t xml:space="preserve">第十二条  </w:t>
      </w:r>
      <w:r>
        <w:rPr>
          <w:rFonts w:hint="eastAsia"/>
        </w:rPr>
        <w:t>县林长办公室应加强对乡、村两级林长巡林工作履职尽责的检查监督。如未按规定频次和内容开展巡林，或未按规定及时协调解决森林资源保护发展相关问题，应当给予通报批评;造成严重后果的，由相关部门依法依规追责。</w:t>
      </w:r>
    </w:p>
    <w:p>
      <w:pPr>
        <w:spacing w:line="600" w:lineRule="exact"/>
        <w:ind w:firstLine="640" w:firstLineChars="200"/>
      </w:pPr>
      <w:r>
        <w:rPr>
          <w:rFonts w:hint="eastAsia" w:ascii="黑体" w:hAnsi="黑体" w:eastAsia="黑体"/>
        </w:rPr>
        <w:t xml:space="preserve">第十三条  </w:t>
      </w:r>
      <w:r>
        <w:rPr>
          <w:rFonts w:hint="eastAsia"/>
        </w:rPr>
        <w:t>县、乡林长办公室应积极总结和大力宣传林长履职尽责的典型做法、有效措施及取得成效。</w:t>
      </w:r>
    </w:p>
    <w:p>
      <w:pPr>
        <w:spacing w:line="600" w:lineRule="exact"/>
        <w:ind w:firstLine="640" w:firstLineChars="200"/>
      </w:pPr>
      <w:r>
        <w:rPr>
          <w:rFonts w:hint="eastAsia" w:ascii="黑体" w:hAnsi="黑体" w:eastAsia="黑体"/>
        </w:rPr>
        <w:t xml:space="preserve">第十四条  </w:t>
      </w:r>
      <w:r>
        <w:rPr>
          <w:rFonts w:hint="eastAsia"/>
        </w:rPr>
        <w:t>乡镇可结合实际，制定具体实施办法或操作细则。</w:t>
      </w:r>
    </w:p>
    <w:p>
      <w:pPr>
        <w:spacing w:line="600" w:lineRule="exact"/>
        <w:ind w:firstLine="640" w:firstLineChars="200"/>
        <w:rPr>
          <w:rFonts w:hAnsi="仿宋_GB2312" w:cs="仿宋_GB2312"/>
        </w:rPr>
      </w:pPr>
      <w:r>
        <w:rPr>
          <w:rFonts w:hint="eastAsia" w:ascii="黑体" w:hAnsi="黑体" w:eastAsia="黑体"/>
        </w:rPr>
        <w:t xml:space="preserve">第十五条  </w:t>
      </w:r>
      <w:r>
        <w:rPr>
          <w:rFonts w:hint="eastAsia" w:hAnsi="仿宋_GB2312" w:cs="仿宋_GB2312"/>
        </w:rPr>
        <w:t>本办法由县林长办公室负责解释。</w:t>
      </w:r>
    </w:p>
    <w:p>
      <w:pPr>
        <w:spacing w:line="600" w:lineRule="exact"/>
        <w:ind w:firstLine="640" w:firstLineChars="200"/>
      </w:pPr>
      <w:r>
        <w:rPr>
          <w:rFonts w:hint="eastAsia" w:ascii="黑体" w:hAnsi="黑体" w:eastAsia="黑体"/>
        </w:rPr>
        <w:t xml:space="preserve">第十六条  </w:t>
      </w:r>
      <w:r>
        <w:rPr>
          <w:rFonts w:hint="eastAsia"/>
        </w:rPr>
        <w:t>本办法自2020年6月5日起施行。</w:t>
      </w:r>
    </w:p>
    <w:p>
      <w:pPr>
        <w:widowControl/>
        <w:spacing w:line="600" w:lineRule="exact"/>
        <w:jc w:val="left"/>
      </w:pPr>
      <w: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浮梁县“护绿提质2020行动”实施方案</w:t>
      </w:r>
    </w:p>
    <w:p>
      <w:pPr>
        <w:spacing w:line="600" w:lineRule="exact"/>
        <w:jc w:val="center"/>
        <w:rPr>
          <w:rFonts w:hAnsi="仿宋_GB2312" w:cs="仿宋_GB2312"/>
        </w:rPr>
      </w:pPr>
    </w:p>
    <w:p>
      <w:pPr>
        <w:spacing w:line="600" w:lineRule="exact"/>
        <w:ind w:firstLine="640" w:firstLineChars="200"/>
        <w:rPr>
          <w:rFonts w:hAnsi="仿宋_GB2312" w:cs="仿宋_GB2312"/>
        </w:rPr>
      </w:pPr>
      <w:r>
        <w:rPr>
          <w:rFonts w:hint="eastAsia" w:hAnsi="仿宋_GB2312" w:cs="仿宋_GB2312"/>
        </w:rPr>
        <w:t>为深入贯彻习近平生态文明思想，持续强化森林资源保护，不断提升森林资源质量，助推我县林业高质量发展，根据省林业局统一部署，决定在“护绿提质2019行动”和“绿卫动2019行动”的基础上，在全县范围内开展“护绿提质2020行动”。为确保行动取得实效，特制定本方案。</w:t>
      </w:r>
    </w:p>
    <w:p>
      <w:pPr>
        <w:spacing w:line="600" w:lineRule="exact"/>
        <w:ind w:firstLine="640" w:firstLineChars="200"/>
        <w:rPr>
          <w:rFonts w:ascii="黑体" w:hAnsi="黑体" w:eastAsia="黑体" w:cs="仿宋_GB2312"/>
        </w:rPr>
      </w:pPr>
      <w:r>
        <w:rPr>
          <w:rFonts w:hint="eastAsia" w:ascii="黑体" w:hAnsi="黑体" w:eastAsia="黑体" w:cs="仿宋_GB2312"/>
        </w:rPr>
        <w:t>一、总体要求</w:t>
      </w:r>
    </w:p>
    <w:p>
      <w:pPr>
        <w:spacing w:line="600" w:lineRule="exact"/>
        <w:ind w:firstLine="640" w:firstLineChars="200"/>
        <w:rPr>
          <w:rFonts w:hAnsi="仿宋_GB2312" w:cs="仿宋_GB2312"/>
        </w:rPr>
      </w:pPr>
      <w:r>
        <w:rPr>
          <w:rFonts w:hint="eastAsia" w:hAnsi="仿宋_GB2312" w:cs="仿宋_GB2312"/>
        </w:rPr>
        <w:t>以习近平新时代中国特色社会主义思想为指导，全面贯彻落实党的十九大、十九届四中全会和省、市、县有关会议精神，牢固树立“绿水青山就是金山银山”理念，认真贯彻实施新《森林法》，紧紧围绕“只能增绿、不能减绿”总要求和“三保、三增、三防”目标，以推深做实林长制为统领，全面落实党政领导保护发展森林资源目标责任制；以持续开展森林督查和专项行动为抓手，强化森林防火、松材线虫病除治和野生动物疫源疫病防控，严厉打击各类涉林违法行为，强化林业森林资源保护管理；以国土绿化、低产低效林改造、重点区域森林“四化”建设和林下经济发展为重点，稳步提升森林质量和效益，为把浮梁建成与世界对话的国际瓷都后花园，成为全省县域经济绿色发展的样本夯实绿色基础。</w:t>
      </w:r>
    </w:p>
    <w:p>
      <w:pPr>
        <w:spacing w:line="600" w:lineRule="exact"/>
        <w:ind w:firstLine="640" w:firstLineChars="200"/>
        <w:rPr>
          <w:rFonts w:ascii="黑体" w:hAnsi="黑体" w:eastAsia="黑体" w:cs="仿宋_GB2312"/>
        </w:rPr>
      </w:pPr>
      <w:r>
        <w:rPr>
          <w:rFonts w:hint="eastAsia" w:ascii="黑体" w:hAnsi="黑体" w:eastAsia="黑体" w:cs="仿宋_GB2312"/>
        </w:rPr>
        <w:t>二、主要任务</w:t>
      </w:r>
    </w:p>
    <w:p>
      <w:pPr>
        <w:spacing w:line="600" w:lineRule="exact"/>
        <w:ind w:firstLine="643" w:firstLineChars="200"/>
        <w:rPr>
          <w:rFonts w:hAnsi="仿宋_GB2312" w:cs="仿宋_GB2312"/>
        </w:rPr>
      </w:pPr>
      <w:r>
        <w:rPr>
          <w:rFonts w:hint="eastAsia" w:ascii="楷体" w:hAnsi="楷体" w:eastAsia="楷体" w:cs="仿宋_GB2312"/>
          <w:b/>
        </w:rPr>
        <w:t>（一）持续加强森林资源保护管理。</w:t>
      </w:r>
      <w:r>
        <w:rPr>
          <w:rFonts w:hint="eastAsia" w:hAnsi="仿宋_GB2312" w:cs="仿宋_GB2312"/>
          <w:b/>
        </w:rPr>
        <w:t>一是</w:t>
      </w:r>
      <w:r>
        <w:rPr>
          <w:rFonts w:hint="eastAsia" w:hAnsi="仿宋_GB2312" w:cs="仿宋_GB2312"/>
        </w:rPr>
        <w:t>健全源头管理机制。深入推进“一长两员”森林资源源头管理网格化、规范化、信息化，强化制度规范、责任落实和绩效考核，压实各级林长责任，严格实行护林员“巡查建档，销号管理”，确保森林资源管理全域化、精准化和高效化。</w:t>
      </w:r>
      <w:r>
        <w:rPr>
          <w:rFonts w:hint="eastAsia" w:hAnsi="仿宋_GB2312" w:cs="仿宋_GB2312"/>
          <w:b/>
        </w:rPr>
        <w:t>二是</w:t>
      </w:r>
      <w:r>
        <w:rPr>
          <w:rFonts w:hint="eastAsia" w:hAnsi="仿宋_GB2312" w:cs="仿宋_GB2312"/>
        </w:rPr>
        <w:t>深入开展森林督查。抓紧做好往年森林督查和“绿卫2019”专项行动发现问题的查处和整改工作，确保依法依规处理到位，减少问题“存量”；认真抓好2020年森林督查，继续加大对非法侵占林地、乱砍滥伐林木、借松材线虫病除治和低产低效林改造而破坏天然林违法行为的打击力度，遏制问题“增量”。</w:t>
      </w:r>
      <w:r>
        <w:rPr>
          <w:rFonts w:hint="eastAsia" w:hAnsi="仿宋_GB2312" w:cs="仿宋_GB2312"/>
          <w:b/>
        </w:rPr>
        <w:t>三是</w:t>
      </w:r>
      <w:r>
        <w:rPr>
          <w:rFonts w:hint="eastAsia" w:hAnsi="仿宋_GB2312" w:cs="仿宋_GB2312"/>
        </w:rPr>
        <w:t>加强野生动植物保护。加大对野生动物和古树名木的宣传和保护力度，不断强化古树名木和重点保护野生动植物保护管理。开展严厉打击乱捕滥猎和非法经营候鸟等野生动物项整治行动，依法保护野生动物栖息地、建立健全野生动物保护长效机制。</w:t>
      </w:r>
      <w:r>
        <w:rPr>
          <w:rFonts w:hint="eastAsia" w:hAnsi="仿宋_GB2312" w:cs="仿宋_GB2312"/>
          <w:b/>
        </w:rPr>
        <w:t>四是</w:t>
      </w:r>
      <w:r>
        <w:rPr>
          <w:rFonts w:hint="eastAsia" w:hAnsi="仿宋_GB2312" w:cs="仿宋_GB2312"/>
        </w:rPr>
        <w:t>强化自然保护地管理，深入开展自然保护区整治专项行动、确保中央环保督察“回头看”、“绿盾2017”“绿盾2018”自然保护区监督检查等专项行动发现的各类自然保护区违法违规问题基本整改到位。</w:t>
      </w:r>
      <w:r>
        <w:rPr>
          <w:rFonts w:hint="eastAsia" w:hAnsi="仿宋_GB2312" w:cs="仿宋_GB2312"/>
          <w:b/>
          <w:bCs/>
        </w:rPr>
        <w:t>五是</w:t>
      </w:r>
      <w:r>
        <w:rPr>
          <w:rFonts w:hint="eastAsia" w:hAnsi="仿宋_GB2312" w:cs="仿宋_GB2312"/>
        </w:rPr>
        <w:t>提升防灾救灾能力，开展打击森林火灾违法行为专项行动和松材线虫病“三年攻坚战”行动，加强野生动物疫源疫病监测防控，切实提升林业灾害防控工作能力。</w:t>
      </w:r>
    </w:p>
    <w:p>
      <w:pPr>
        <w:spacing w:line="600" w:lineRule="exact"/>
        <w:ind w:firstLine="643" w:firstLineChars="200"/>
        <w:rPr>
          <w:rFonts w:hAnsi="仿宋_GB2312" w:cs="仿宋_GB2312"/>
        </w:rPr>
      </w:pPr>
      <w:r>
        <w:rPr>
          <w:rFonts w:hint="eastAsia" w:ascii="楷体" w:hAnsi="楷体" w:eastAsia="楷体" w:cs="仿宋_GB2312"/>
          <w:b/>
        </w:rPr>
        <w:t>（二）继续推进森林资源提质增效。</w:t>
      </w:r>
      <w:r>
        <w:rPr>
          <w:rFonts w:hint="eastAsia" w:hAnsi="仿宋_GB2312" w:cs="仿宋_GB2312"/>
          <w:b/>
        </w:rPr>
        <w:t>一是</w:t>
      </w:r>
      <w:r>
        <w:rPr>
          <w:rFonts w:hint="eastAsia" w:hAnsi="仿宋_GB2312" w:cs="仿宋_GB2312"/>
        </w:rPr>
        <w:t>加强森林经营工作。利用第七次森林资源二类调查成果完成全县“十四五”期间森林采伐限额编制工作，组织国有林场或经营大户抓紧编制森林经营方案，鼓励各地开展森林经营政策、管理和方法创新，积极申报各类森林经营试点示范单位活动。</w:t>
      </w:r>
      <w:r>
        <w:rPr>
          <w:rFonts w:hint="eastAsia" w:hAnsi="仿宋_GB2312" w:cs="仿宋_GB2312"/>
          <w:b/>
        </w:rPr>
        <w:t>二是</w:t>
      </w:r>
      <w:r>
        <w:rPr>
          <w:rFonts w:hint="eastAsia" w:hAnsi="仿宋_GB2312" w:cs="仿宋_GB2312"/>
        </w:rPr>
        <w:t>加快造林绿化建设步伐。保质保量完成17.41万亩营造林建设任务，积极配合全县茶园扩园改造3.8万亩任务的完成；积极推广珍贵树种造林，完成珍贵树种混交林2000亩；稳步推进森林“四化”工程建设，以济广高速、瑶里风景区等重点区域为侧重点，完成“四化”建设任务1100亩。</w:t>
      </w:r>
      <w:r>
        <w:rPr>
          <w:rFonts w:hint="eastAsia" w:hAnsi="仿宋_GB2312" w:cs="仿宋_GB2312"/>
          <w:b/>
        </w:rPr>
        <w:t>三是</w:t>
      </w:r>
      <w:r>
        <w:rPr>
          <w:rFonts w:hint="eastAsia" w:hAnsi="仿宋_GB2312" w:cs="仿宋_GB2312"/>
        </w:rPr>
        <w:t>组织开展森林乡村创建，2020年创建15个省级森林乡村，并推荐申报9个国家森林乡村。</w:t>
      </w:r>
    </w:p>
    <w:p>
      <w:pPr>
        <w:spacing w:line="600" w:lineRule="exact"/>
        <w:ind w:firstLine="640" w:firstLineChars="200"/>
        <w:rPr>
          <w:rFonts w:ascii="黑体" w:hAnsi="黑体" w:eastAsia="黑体" w:cs="仿宋_GB2312"/>
        </w:rPr>
      </w:pPr>
      <w:r>
        <w:rPr>
          <w:rFonts w:hint="eastAsia" w:ascii="黑体" w:hAnsi="黑体" w:eastAsia="黑体" w:cs="仿宋_GB2312"/>
        </w:rPr>
        <w:t>三、实施步骤</w:t>
      </w:r>
    </w:p>
    <w:p>
      <w:pPr>
        <w:spacing w:line="600" w:lineRule="exact"/>
        <w:ind w:firstLine="643" w:firstLineChars="200"/>
        <w:rPr>
          <w:rFonts w:ascii="楷体" w:hAnsi="楷体" w:eastAsia="楷体" w:cs="仿宋_GB2312"/>
          <w:b/>
        </w:rPr>
      </w:pPr>
      <w:r>
        <w:rPr>
          <w:rFonts w:hint="eastAsia" w:ascii="楷体" w:hAnsi="楷体" w:eastAsia="楷体" w:cs="仿宋_GB2312"/>
          <w:b/>
        </w:rPr>
        <w:t>（一）启动实施阶段（1月至8月）</w:t>
      </w:r>
    </w:p>
    <w:p>
      <w:pPr>
        <w:spacing w:line="600" w:lineRule="exact"/>
        <w:ind w:firstLine="640" w:firstLineChars="200"/>
        <w:rPr>
          <w:rFonts w:hAnsi="仿宋_GB2312" w:cs="仿宋_GB2312"/>
        </w:rPr>
      </w:pPr>
      <w:r>
        <w:rPr>
          <w:rFonts w:hint="eastAsia" w:hAnsi="仿宋_GB2312" w:cs="仿宋_GB2312"/>
        </w:rPr>
        <w:t>1.制定工作实施方案。县林业局制定相关实施方案；乡镇围绕目标任务，加强组织领导，结合实际制定工作方案，细化工作内容，做好动员部署工作。</w:t>
      </w:r>
    </w:p>
    <w:p>
      <w:pPr>
        <w:spacing w:line="600" w:lineRule="exact"/>
        <w:ind w:firstLine="640" w:firstLineChars="200"/>
        <w:rPr>
          <w:rFonts w:hAnsi="仿宋_GB2312" w:cs="仿宋_GB2312"/>
        </w:rPr>
      </w:pPr>
      <w:r>
        <w:rPr>
          <w:rFonts w:hint="eastAsia" w:hAnsi="仿宋_GB2312" w:cs="仿宋_GB2312"/>
        </w:rPr>
        <w:t>2.组织开展森林资源保护管理。实现源头管理网格化、规范化、信息化管理目标，加快2019年森林督查遗留问题整改查处力度，实行销号管理，组织力量开展2020年森林督查对新发现的违法问题建立台账，依法依规处理到位，开展自然保护区和野生动物保护整治专项行动、松材线虫病防控“三年攻坚战”行动和打击森林火灾违法行为专项行动，并取得实际成效。</w:t>
      </w:r>
    </w:p>
    <w:p>
      <w:pPr>
        <w:spacing w:line="600" w:lineRule="exact"/>
        <w:ind w:firstLine="640" w:firstLineChars="200"/>
        <w:rPr>
          <w:rFonts w:hAnsi="仿宋_GB2312" w:cs="仿宋_GB2312"/>
        </w:rPr>
      </w:pPr>
      <w:r>
        <w:rPr>
          <w:rFonts w:hint="eastAsia" w:hAnsi="仿宋_GB2312" w:cs="仿宋_GB2312"/>
        </w:rPr>
        <w:t>3.完成“十四五”期间森林采伐限额编制和国有林场或造林大户森林经营方案编制工作，按照年度营造林生产计划、林下经济发展任务要求，结合实际，将每项计划任务及时分解落实到经营主体、山头地块，并抓紧组织实施，实现绩效管理目标，完成认定一批省级森林乡村。</w:t>
      </w:r>
    </w:p>
    <w:p>
      <w:pPr>
        <w:spacing w:line="600" w:lineRule="exact"/>
        <w:ind w:firstLine="640" w:firstLineChars="200"/>
        <w:rPr>
          <w:rFonts w:hAnsi="仿宋_GB2312" w:cs="仿宋_GB2312"/>
        </w:rPr>
      </w:pPr>
      <w:r>
        <w:rPr>
          <w:rFonts w:hint="eastAsia" w:hAnsi="仿宋_GB2312" w:cs="仿宋_GB2312"/>
        </w:rPr>
        <w:t>4.发挥主观能动作用，群策群力，看问题、想办法、抢时间、抓落实，积极消除“新冠”带来的不利因素，将每项营造林生产计划及时分解到各类营造林主体，全面开展造林绿化、补植补造等的作业实施。</w:t>
      </w:r>
    </w:p>
    <w:p>
      <w:pPr>
        <w:spacing w:line="600" w:lineRule="exact"/>
        <w:ind w:firstLine="643" w:firstLineChars="200"/>
        <w:rPr>
          <w:rFonts w:ascii="楷体" w:hAnsi="楷体" w:eastAsia="楷体" w:cs="仿宋_GB2312"/>
          <w:b/>
        </w:rPr>
      </w:pPr>
      <w:r>
        <w:rPr>
          <w:rFonts w:hint="eastAsia" w:ascii="楷体" w:hAnsi="楷体" w:eastAsia="楷体" w:cs="仿宋_GB2312"/>
          <w:b/>
        </w:rPr>
        <w:t>（二）督促指导阶段（9月至10月）</w:t>
      </w:r>
    </w:p>
    <w:p>
      <w:pPr>
        <w:spacing w:line="600" w:lineRule="exact"/>
        <w:ind w:firstLine="640" w:firstLineChars="200"/>
        <w:rPr>
          <w:rFonts w:hAnsi="仿宋_GB2312" w:cs="仿宋_GB2312"/>
        </w:rPr>
      </w:pPr>
      <w:r>
        <w:rPr>
          <w:rFonts w:hint="eastAsia" w:hAnsi="仿宋_GB2312" w:cs="仿宋_GB2312"/>
        </w:rPr>
        <w:t>1.县林业局组织力量对森林资源管理、森林督查、各专项行动、营造林、林下经济项目实施情况等开展全面自查和“回头看”。</w:t>
      </w:r>
    </w:p>
    <w:p>
      <w:pPr>
        <w:spacing w:line="600" w:lineRule="exact"/>
        <w:ind w:firstLine="640" w:firstLineChars="200"/>
        <w:rPr>
          <w:rFonts w:hAnsi="仿宋_GB2312" w:cs="仿宋_GB2312"/>
        </w:rPr>
      </w:pPr>
      <w:r>
        <w:rPr>
          <w:rFonts w:hint="eastAsia" w:hAnsi="仿宋_GB2312" w:cs="仿宋_GB2312"/>
        </w:rPr>
        <w:t>2.各乡镇组织力量对营造林实施面积、建设质量开展全面自查，并于10月底前自查结果报县林业局。县林业局在各乡镇自查基础上，对本年度营造林实施情况进行核查，并积极配合国家、省市林业局调研指导工作，认真迎接上级林业部门聘请的第三方的核查及绩效评价。</w:t>
      </w:r>
    </w:p>
    <w:p>
      <w:pPr>
        <w:spacing w:line="600" w:lineRule="exact"/>
        <w:ind w:firstLine="643" w:firstLineChars="200"/>
        <w:rPr>
          <w:rFonts w:ascii="楷体" w:hAnsi="楷体" w:eastAsia="楷体" w:cs="仿宋_GB2312"/>
          <w:b/>
        </w:rPr>
      </w:pPr>
      <w:r>
        <w:rPr>
          <w:rFonts w:hint="eastAsia" w:ascii="楷体" w:hAnsi="楷体" w:eastAsia="楷体" w:cs="仿宋_GB2312"/>
          <w:b/>
        </w:rPr>
        <w:t>（三）总结评价阶段（11月至12月）</w:t>
      </w:r>
    </w:p>
    <w:p>
      <w:pPr>
        <w:spacing w:line="600" w:lineRule="exact"/>
        <w:ind w:firstLine="640" w:firstLineChars="200"/>
        <w:rPr>
          <w:rFonts w:hAnsi="仿宋_GB2312" w:cs="仿宋_GB2312"/>
        </w:rPr>
      </w:pPr>
      <w:r>
        <w:rPr>
          <w:rFonts w:hint="eastAsia" w:hAnsi="仿宋_GB2312" w:cs="仿宋_GB2312"/>
        </w:rPr>
        <w:t>对各乡镇行动开展情况进行全面总结，查缺补漏，建立健全森林资源保护发展长效机制。并把任务完成情况纳入对各乡镇林长制工作、生态文明建设、高质量发展等考评重要内容。</w:t>
      </w:r>
    </w:p>
    <w:p>
      <w:pPr>
        <w:spacing w:line="600" w:lineRule="exact"/>
        <w:ind w:firstLine="640" w:firstLineChars="200"/>
        <w:rPr>
          <w:rFonts w:ascii="黑体" w:hAnsi="黑体" w:eastAsia="黑体" w:cs="仿宋_GB2312"/>
        </w:rPr>
      </w:pPr>
      <w:r>
        <w:rPr>
          <w:rFonts w:hint="eastAsia" w:ascii="黑体" w:hAnsi="黑体" w:eastAsia="黑体" w:cs="仿宋_GB2312"/>
        </w:rPr>
        <w:t>四、工作要求</w:t>
      </w:r>
    </w:p>
    <w:p>
      <w:pPr>
        <w:spacing w:line="600" w:lineRule="exact"/>
        <w:ind w:firstLine="643" w:firstLineChars="200"/>
        <w:rPr>
          <w:rFonts w:hAnsi="仿宋_GB2312" w:cs="仿宋_GB2312"/>
        </w:rPr>
      </w:pPr>
      <w:r>
        <w:rPr>
          <w:rFonts w:hint="eastAsia" w:ascii="楷体" w:hAnsi="楷体" w:eastAsia="楷体" w:cs="仿宋_GB2312"/>
          <w:b/>
        </w:rPr>
        <w:t>（一）加强组织领导。</w:t>
      </w:r>
      <w:r>
        <w:rPr>
          <w:rFonts w:hint="eastAsia" w:hAnsi="仿宋_GB2312" w:cs="仿宋_GB2312"/>
        </w:rPr>
        <w:t>全县上下要高度重视“护绿提质2020行动”工作，将其作为林长制工作的重要内容来抓，县林区长负责督察，乡、村林长亲自落实，县乡林长办切实加强对行动的组织和协调，明确任务目标，落实工作责任，细化工作措施，确保行动取得明显成效</w:t>
      </w:r>
    </w:p>
    <w:p>
      <w:pPr>
        <w:spacing w:line="600" w:lineRule="exact"/>
        <w:ind w:firstLine="643" w:firstLineChars="200"/>
        <w:rPr>
          <w:rFonts w:hAnsi="仿宋_GB2312" w:cs="仿宋_GB2312"/>
        </w:rPr>
      </w:pPr>
      <w:r>
        <w:rPr>
          <w:rFonts w:hint="eastAsia" w:ascii="楷体" w:hAnsi="楷体" w:eastAsia="楷体" w:cs="仿宋_GB2312"/>
          <w:b/>
        </w:rPr>
        <w:t>（二）建立长效机制。</w:t>
      </w:r>
      <w:r>
        <w:rPr>
          <w:rFonts w:hint="eastAsia" w:hAnsi="仿宋_GB2312" w:cs="仿宋_GB2312"/>
        </w:rPr>
        <w:t>各乡镇要针对森林资源保护发展中存在的突出问题，特别是破坏严重、社会影响大、群众反映强烈的问题，要协调执法机关，加大查处力度，确保处置到位。同时，深入分析问题产生的深层次原因，采取切实可行的措施补短板、强弱项，进一步健全完善保护森林资源的责任机制和制度体系，建立健全森林资源保护发展长效机制。</w:t>
      </w:r>
    </w:p>
    <w:p>
      <w:pPr>
        <w:spacing w:line="600" w:lineRule="exact"/>
        <w:ind w:firstLine="643" w:firstLineChars="200"/>
        <w:rPr>
          <w:rFonts w:hAnsi="仿宋_GB2312" w:cs="仿宋_GB2312"/>
        </w:rPr>
      </w:pPr>
      <w:r>
        <w:rPr>
          <w:rFonts w:hint="eastAsia" w:ascii="楷体" w:hAnsi="楷体" w:eastAsia="楷体" w:cs="仿宋_GB2312"/>
          <w:b/>
        </w:rPr>
        <w:t>（三）强化舆论宣传。</w:t>
      </w:r>
      <w:r>
        <w:rPr>
          <w:rFonts w:hint="eastAsia" w:hAnsi="仿宋_GB2312" w:cs="仿宋_GB2312"/>
        </w:rPr>
        <w:t>各乡镇要挖掘总结行动中的亮点做法，形成可复制推广的典型经验。要结合新《森林法》宣传，开展多形式、多方位、持续性的宣传活动，积极争取全社会更加关心、支持、参与和监督生态建设以及环境保护，为生态文明建设和绿色家园维护营造浓厚氛围。</w:t>
      </w:r>
    </w:p>
    <w:p>
      <w:pPr>
        <w:widowControl/>
        <w:jc w:val="left"/>
      </w:pPr>
      <w:r>
        <w:br w:type="page"/>
      </w:r>
    </w:p>
    <w:p>
      <w:pPr>
        <w:sectPr>
          <w:footerReference r:id="rId3" w:type="default"/>
          <w:footerReference r:id="rId4" w:type="even"/>
          <w:pgSz w:w="11906" w:h="16838"/>
          <w:pgMar w:top="1701" w:right="1474" w:bottom="1814" w:left="1588" w:header="851" w:footer="992" w:gutter="0"/>
          <w:cols w:space="425" w:num="1"/>
          <w:docGrid w:type="lines" w:linePitch="435" w:charSpace="0"/>
        </w:sectPr>
      </w:pPr>
    </w:p>
    <w:p>
      <w:pPr>
        <w:jc w:val="center"/>
        <w:rPr>
          <w:rFonts w:ascii="方正小标宋_GBK" w:eastAsia="方正小标宋_GBK"/>
          <w:sz w:val="44"/>
          <w:szCs w:val="44"/>
        </w:rPr>
      </w:pPr>
      <w:r>
        <w:rPr>
          <w:rFonts w:hint="eastAsia" w:ascii="方正小标宋_GBK" w:eastAsia="方正小标宋_GBK"/>
          <w:sz w:val="44"/>
          <w:szCs w:val="44"/>
        </w:rPr>
        <w:t>浮梁县2020年度林长制及森林资源目标责任制考核评分标准</w:t>
      </w:r>
    </w:p>
    <w:tbl>
      <w:tblPr>
        <w:tblStyle w:val="4"/>
        <w:tblW w:w="14478"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078"/>
        <w:gridCol w:w="1486"/>
        <w:gridCol w:w="709"/>
        <w:gridCol w:w="722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blHeader/>
        </w:trPr>
        <w:tc>
          <w:tcPr>
            <w:tcW w:w="999" w:type="dxa"/>
            <w:shd w:val="clear" w:color="auto" w:fill="auto"/>
            <w:vAlign w:val="center"/>
          </w:tcPr>
          <w:p>
            <w:pPr>
              <w:widowControl/>
              <w:spacing w:line="400" w:lineRule="exact"/>
              <w:ind w:left="-73" w:leftChars="-23" w:right="-64" w:rightChars="-20"/>
              <w:jc w:val="center"/>
              <w:rPr>
                <w:rFonts w:ascii="宋体" w:eastAsia="宋体"/>
                <w:b/>
                <w:bCs/>
                <w:kern w:val="0"/>
                <w:sz w:val="28"/>
                <w:szCs w:val="28"/>
              </w:rPr>
            </w:pPr>
            <w:r>
              <w:rPr>
                <w:rFonts w:hint="eastAsia" w:ascii="宋体" w:eastAsia="宋体"/>
                <w:b/>
                <w:bCs/>
                <w:kern w:val="0"/>
                <w:sz w:val="28"/>
                <w:szCs w:val="28"/>
              </w:rPr>
              <w:t>项 目</w:t>
            </w:r>
          </w:p>
        </w:tc>
        <w:tc>
          <w:tcPr>
            <w:tcW w:w="1078" w:type="dxa"/>
            <w:shd w:val="clear" w:color="auto" w:fill="auto"/>
            <w:vAlign w:val="center"/>
          </w:tcPr>
          <w:p>
            <w:pPr>
              <w:widowControl/>
              <w:spacing w:line="400" w:lineRule="exact"/>
              <w:ind w:left="-73" w:leftChars="-23" w:right="-64" w:rightChars="-20"/>
              <w:jc w:val="center"/>
              <w:rPr>
                <w:rFonts w:ascii="宋体" w:eastAsia="宋体"/>
                <w:b/>
                <w:bCs/>
                <w:kern w:val="0"/>
                <w:sz w:val="28"/>
                <w:szCs w:val="28"/>
              </w:rPr>
            </w:pPr>
            <w:r>
              <w:rPr>
                <w:rFonts w:hint="eastAsia" w:ascii="宋体" w:eastAsia="宋体"/>
                <w:b/>
                <w:bCs/>
                <w:kern w:val="0"/>
                <w:sz w:val="28"/>
                <w:szCs w:val="28"/>
              </w:rPr>
              <w:t>子项目</w:t>
            </w:r>
          </w:p>
        </w:tc>
        <w:tc>
          <w:tcPr>
            <w:tcW w:w="1486" w:type="dxa"/>
            <w:shd w:val="clear" w:color="auto" w:fill="auto"/>
            <w:noWrap/>
            <w:vAlign w:val="center"/>
          </w:tcPr>
          <w:p>
            <w:pPr>
              <w:widowControl/>
              <w:spacing w:line="400" w:lineRule="exact"/>
              <w:ind w:left="-73" w:leftChars="-23" w:right="-64" w:rightChars="-20"/>
              <w:jc w:val="center"/>
              <w:rPr>
                <w:rFonts w:ascii="宋体" w:eastAsia="宋体"/>
                <w:b/>
                <w:bCs/>
                <w:kern w:val="0"/>
                <w:sz w:val="28"/>
                <w:szCs w:val="28"/>
              </w:rPr>
            </w:pPr>
            <w:r>
              <w:rPr>
                <w:rFonts w:hint="eastAsia" w:ascii="宋体" w:eastAsia="宋体"/>
                <w:b/>
                <w:bCs/>
                <w:kern w:val="0"/>
                <w:sz w:val="28"/>
                <w:szCs w:val="28"/>
              </w:rPr>
              <w:t>考核内容</w:t>
            </w:r>
          </w:p>
        </w:tc>
        <w:tc>
          <w:tcPr>
            <w:tcW w:w="709" w:type="dxa"/>
            <w:shd w:val="clear" w:color="auto" w:fill="auto"/>
            <w:vAlign w:val="center"/>
          </w:tcPr>
          <w:p>
            <w:pPr>
              <w:widowControl/>
              <w:spacing w:line="400" w:lineRule="exact"/>
              <w:ind w:left="-73" w:leftChars="-23" w:right="-64" w:rightChars="-20"/>
              <w:jc w:val="center"/>
              <w:rPr>
                <w:rFonts w:ascii="宋体" w:eastAsia="宋体"/>
                <w:b/>
                <w:bCs/>
                <w:kern w:val="0"/>
                <w:sz w:val="24"/>
                <w:szCs w:val="24"/>
              </w:rPr>
            </w:pPr>
            <w:r>
              <w:rPr>
                <w:rFonts w:hint="eastAsia" w:ascii="宋体" w:eastAsia="宋体"/>
                <w:b/>
                <w:bCs/>
                <w:kern w:val="0"/>
                <w:sz w:val="24"/>
                <w:szCs w:val="24"/>
              </w:rPr>
              <w:t>分值</w:t>
            </w:r>
          </w:p>
        </w:tc>
        <w:tc>
          <w:tcPr>
            <w:tcW w:w="7229" w:type="dxa"/>
            <w:shd w:val="clear" w:color="auto" w:fill="auto"/>
            <w:vAlign w:val="center"/>
          </w:tcPr>
          <w:p>
            <w:pPr>
              <w:widowControl/>
              <w:spacing w:line="400" w:lineRule="exact"/>
              <w:ind w:left="-73" w:leftChars="-23" w:right="-64" w:rightChars="-20"/>
              <w:jc w:val="center"/>
              <w:rPr>
                <w:rFonts w:ascii="宋体" w:eastAsia="宋体"/>
                <w:b/>
                <w:bCs/>
                <w:kern w:val="0"/>
                <w:sz w:val="28"/>
                <w:szCs w:val="28"/>
              </w:rPr>
            </w:pPr>
            <w:r>
              <w:rPr>
                <w:rFonts w:hint="eastAsia" w:ascii="宋体" w:eastAsia="宋体"/>
                <w:b/>
                <w:bCs/>
                <w:kern w:val="0"/>
                <w:sz w:val="28"/>
                <w:szCs w:val="28"/>
              </w:rPr>
              <w:t>评分标准</w:t>
            </w:r>
          </w:p>
        </w:tc>
        <w:tc>
          <w:tcPr>
            <w:tcW w:w="2977" w:type="dxa"/>
            <w:shd w:val="clear" w:color="auto" w:fill="auto"/>
            <w:vAlign w:val="center"/>
          </w:tcPr>
          <w:p>
            <w:pPr>
              <w:widowControl/>
              <w:spacing w:line="400" w:lineRule="exact"/>
              <w:ind w:left="-73" w:leftChars="-23" w:right="-64" w:rightChars="-20"/>
              <w:jc w:val="center"/>
              <w:rPr>
                <w:rFonts w:ascii="宋体" w:eastAsia="宋体"/>
                <w:b/>
                <w:bCs/>
                <w:kern w:val="0"/>
                <w:sz w:val="28"/>
                <w:szCs w:val="28"/>
              </w:rPr>
            </w:pPr>
            <w:r>
              <w:rPr>
                <w:rFonts w:hint="eastAsia" w:ascii="宋体" w:eastAsia="宋体"/>
                <w:b/>
                <w:bCs/>
                <w:kern w:val="0"/>
                <w:sz w:val="28"/>
                <w:szCs w:val="28"/>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999" w:type="dxa"/>
            <w:vMerge w:val="restart"/>
            <w:shd w:val="clear" w:color="000000" w:fill="FFFFFF"/>
            <w:vAlign w:val="center"/>
          </w:tcPr>
          <w:p>
            <w:pPr>
              <w:widowControl/>
              <w:spacing w:line="300" w:lineRule="exact"/>
              <w:ind w:left="-73" w:leftChars="-23" w:right="-64" w:rightChars="-20"/>
              <w:jc w:val="center"/>
              <w:rPr>
                <w:rFonts w:ascii="宋体" w:eastAsia="宋体"/>
                <w:b/>
                <w:bCs/>
                <w:kern w:val="0"/>
                <w:sz w:val="22"/>
                <w:szCs w:val="22"/>
              </w:rPr>
            </w:pPr>
            <w:r>
              <w:rPr>
                <w:rFonts w:hint="eastAsia" w:ascii="宋体" w:eastAsia="宋体"/>
                <w:b/>
                <w:bCs/>
                <w:kern w:val="0"/>
                <w:sz w:val="22"/>
                <w:szCs w:val="22"/>
              </w:rPr>
              <w:t>林长制工作（40分）</w:t>
            </w:r>
          </w:p>
        </w:tc>
        <w:tc>
          <w:tcPr>
            <w:tcW w:w="1078" w:type="dxa"/>
            <w:vMerge w:val="restart"/>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“三大体系”建设</w:t>
            </w:r>
            <w:r>
              <w:rPr>
                <w:rFonts w:hint="eastAsia" w:ascii="宋体" w:eastAsia="宋体"/>
                <w:kern w:val="0"/>
                <w:sz w:val="20"/>
                <w:szCs w:val="20"/>
              </w:rPr>
              <w:br w:type="textWrapping"/>
            </w:r>
            <w:r>
              <w:rPr>
                <w:rFonts w:hint="eastAsia" w:ascii="宋体" w:eastAsia="宋体"/>
                <w:kern w:val="0"/>
                <w:sz w:val="20"/>
                <w:szCs w:val="20"/>
              </w:rPr>
              <w:t>（22分）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组织体系落实情况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10</w:t>
            </w:r>
          </w:p>
        </w:tc>
        <w:tc>
          <w:tcPr>
            <w:tcW w:w="7229" w:type="dxa"/>
            <w:shd w:val="clear" w:color="auto" w:fill="auto"/>
            <w:vAlign w:val="center"/>
          </w:tcPr>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1、乡（镇）增挂林长办牌子、设专职副主任、配备专职林政管理员和专职森林资源监测员各1名，少1人扣1分。                                                     2、乡级林长开展巡林每人每月不少于1次，少一次扣0.5分。巡林内容主要是森林督查问题整改、森林防火、林业有害生物防控、造林绿化、林地及自然保护地管理等工作。</w:t>
            </w:r>
            <w:r>
              <w:rPr>
                <w:rFonts w:hint="eastAsia" w:ascii="宋体" w:eastAsia="宋体"/>
                <w:kern w:val="0"/>
                <w:sz w:val="18"/>
                <w:szCs w:val="18"/>
              </w:rPr>
              <w:br w:type="textWrapping"/>
            </w:r>
            <w:r>
              <w:rPr>
                <w:rFonts w:hint="eastAsia" w:ascii="宋体" w:eastAsia="宋体"/>
                <w:kern w:val="0"/>
                <w:sz w:val="18"/>
                <w:szCs w:val="18"/>
              </w:rPr>
              <w:t>3、全年召开林业工作会议不少于4次（其中：乡级林长会议半年1次，乡级林长办会议不少于2次）少1次扣0.5分。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1.以8月5日前报送到县林长办存档的乡镇党委文件为依据。            2.要求林长巡林每月末报送；会议情况每季度末将相关佐证材料报县林长办备案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after="240" w:line="300" w:lineRule="exact"/>
              <w:ind w:left="-73" w:leftChars="-23" w:right="-64" w:rightChars="-20"/>
              <w:jc w:val="center"/>
              <w:rPr>
                <w:rFonts w:ascii="宋体" w:eastAsia="宋体"/>
                <w:kern w:val="0"/>
                <w:sz w:val="20"/>
                <w:szCs w:val="20"/>
              </w:rPr>
            </w:pPr>
            <w:r>
              <w:rPr>
                <w:rFonts w:hint="eastAsia" w:ascii="宋体" w:eastAsia="宋体"/>
                <w:kern w:val="0"/>
                <w:sz w:val="20"/>
                <w:szCs w:val="20"/>
              </w:rPr>
              <w:t>责任体系落实情况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5</w:t>
            </w:r>
          </w:p>
        </w:tc>
        <w:tc>
          <w:tcPr>
            <w:tcW w:w="7229" w:type="dxa"/>
            <w:shd w:val="clear" w:color="auto" w:fill="auto"/>
            <w:vAlign w:val="center"/>
          </w:tcPr>
          <w:p>
            <w:pPr>
              <w:widowControl/>
              <w:spacing w:line="260" w:lineRule="exact"/>
              <w:ind w:left="-73" w:leftChars="-23" w:right="-64" w:rightChars="-20"/>
              <w:jc w:val="left"/>
              <w:rPr>
                <w:rFonts w:ascii="宋体" w:eastAsia="宋体"/>
                <w:kern w:val="0"/>
                <w:sz w:val="20"/>
                <w:szCs w:val="20"/>
              </w:rPr>
            </w:pPr>
            <w:r>
              <w:rPr>
                <w:rFonts w:hint="eastAsia" w:ascii="宋体" w:eastAsia="宋体"/>
                <w:kern w:val="0"/>
                <w:sz w:val="20"/>
                <w:szCs w:val="20"/>
              </w:rPr>
              <w:t xml:space="preserve">1、每季度召开不少于一次“一长两员”调度会，少1次扣1分。                                      2、未对村级监管员进行年度考核的扣1分。                                         </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要求每季度末将相关佐证材料报县林长办备案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护林员网格化管理体系落实情况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7</w:t>
            </w:r>
          </w:p>
        </w:tc>
        <w:tc>
          <w:tcPr>
            <w:tcW w:w="7229" w:type="dxa"/>
            <w:shd w:val="clear" w:color="auto" w:fill="auto"/>
            <w:vAlign w:val="center"/>
          </w:tcPr>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1、在规定时期，护林员巡护信息系统正常使用覆盖率在80%-99%的扣1分，在60%-79%的扣</w:t>
            </w:r>
          </w:p>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 xml:space="preserve">   2分，在60%以下的扣3分。</w:t>
            </w:r>
          </w:p>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2、全员建立疑似问题台账未实现全覆盖的（含自然保护区巡查台账）按比例扣分。</w:t>
            </w:r>
            <w:r>
              <w:rPr>
                <w:rFonts w:hint="eastAsia" w:ascii="宋体" w:eastAsia="宋体"/>
                <w:kern w:val="0"/>
                <w:sz w:val="18"/>
                <w:szCs w:val="18"/>
              </w:rPr>
              <w:br w:type="textWrapping"/>
            </w:r>
            <w:r>
              <w:rPr>
                <w:rFonts w:hint="eastAsia" w:ascii="宋体" w:eastAsia="宋体"/>
                <w:kern w:val="0"/>
                <w:sz w:val="18"/>
                <w:szCs w:val="18"/>
              </w:rPr>
              <w:t>3、每季度开展一次交叉检查核查，少1次扣1分。</w:t>
            </w:r>
            <w:r>
              <w:rPr>
                <w:rFonts w:hint="eastAsia" w:ascii="宋体" w:eastAsia="宋体"/>
                <w:kern w:val="0"/>
                <w:sz w:val="18"/>
                <w:szCs w:val="18"/>
              </w:rPr>
              <w:br w:type="textWrapping"/>
            </w:r>
            <w:r>
              <w:rPr>
                <w:rFonts w:hint="eastAsia" w:ascii="宋体" w:eastAsia="宋体"/>
                <w:kern w:val="0"/>
                <w:sz w:val="18"/>
                <w:szCs w:val="18"/>
              </w:rPr>
              <w:t>4、在12月10日前未完成护林员年度考核扣1分。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以资源股和执法队等相关股室检查、抽查结果为评定依据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制度建设</w:t>
            </w:r>
            <w:r>
              <w:rPr>
                <w:rFonts w:hint="eastAsia" w:ascii="宋体" w:eastAsia="宋体"/>
                <w:kern w:val="0"/>
                <w:sz w:val="20"/>
                <w:szCs w:val="20"/>
              </w:rPr>
              <w:br w:type="textWrapping"/>
            </w:r>
            <w:r>
              <w:rPr>
                <w:rFonts w:hint="eastAsia" w:ascii="宋体" w:eastAsia="宋体"/>
                <w:kern w:val="0"/>
                <w:sz w:val="20"/>
                <w:szCs w:val="20"/>
              </w:rPr>
              <w:t>（4分）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相关制度、方案的制定及材料报送情况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4</w:t>
            </w:r>
          </w:p>
        </w:tc>
        <w:tc>
          <w:tcPr>
            <w:tcW w:w="7229" w:type="dxa"/>
            <w:shd w:val="clear" w:color="auto" w:fill="auto"/>
            <w:vAlign w:val="center"/>
          </w:tcPr>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1、按要求制定各项林业建设、资源保护和专项整治相关制度、方案的得2分，少一项扣0.2分。</w:t>
            </w:r>
            <w:r>
              <w:rPr>
                <w:rFonts w:hint="eastAsia" w:ascii="宋体" w:eastAsia="宋体"/>
                <w:kern w:val="0"/>
                <w:sz w:val="18"/>
                <w:szCs w:val="18"/>
              </w:rPr>
              <w:br w:type="textWrapping"/>
            </w:r>
            <w:r>
              <w:rPr>
                <w:rFonts w:hint="eastAsia" w:ascii="宋体" w:eastAsia="宋体"/>
                <w:kern w:val="0"/>
                <w:sz w:val="18"/>
                <w:szCs w:val="18"/>
              </w:rPr>
              <w:t>2、及时上报各类按要求上报的工作材料得2分，少一项扣0.1分。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以各相关股室备案统计数据为评定依据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restart"/>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内务管理（4分）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基础设施建设</w:t>
            </w:r>
          </w:p>
        </w:tc>
        <w:tc>
          <w:tcPr>
            <w:tcW w:w="709" w:type="dxa"/>
            <w:shd w:val="clear" w:color="auto" w:fill="auto"/>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0.5</w:t>
            </w:r>
          </w:p>
        </w:tc>
        <w:tc>
          <w:tcPr>
            <w:tcW w:w="7229" w:type="dxa"/>
            <w:shd w:val="clear" w:color="000000" w:fill="FFFFFF"/>
            <w:vAlign w:val="center"/>
          </w:tcPr>
          <w:p>
            <w:pPr>
              <w:widowControl/>
              <w:spacing w:line="260" w:lineRule="exact"/>
              <w:ind w:left="-73" w:leftChars="-23" w:right="-64" w:rightChars="-20"/>
              <w:jc w:val="left"/>
              <w:rPr>
                <w:rFonts w:ascii="宋体" w:eastAsia="宋体"/>
                <w:kern w:val="0"/>
                <w:sz w:val="20"/>
                <w:szCs w:val="20"/>
              </w:rPr>
            </w:pPr>
            <w:r>
              <w:rPr>
                <w:rFonts w:hint="eastAsia" w:ascii="宋体" w:eastAsia="宋体"/>
                <w:kern w:val="0"/>
                <w:sz w:val="20"/>
                <w:szCs w:val="20"/>
              </w:rPr>
              <w:t>1、因办公场所不整洁被有关部门检查通报批评的，扣0.2分。                                      2、因装备管理不规范造成工作重大失误扣0.3分。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档案管理</w:t>
            </w:r>
          </w:p>
        </w:tc>
        <w:tc>
          <w:tcPr>
            <w:tcW w:w="709" w:type="dxa"/>
            <w:shd w:val="clear" w:color="auto" w:fill="auto"/>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0.5</w:t>
            </w:r>
          </w:p>
        </w:tc>
        <w:tc>
          <w:tcPr>
            <w:tcW w:w="7229" w:type="dxa"/>
            <w:shd w:val="clear" w:color="000000" w:fill="FFFFFF"/>
            <w:vAlign w:val="center"/>
          </w:tcPr>
          <w:p>
            <w:pPr>
              <w:widowControl/>
              <w:spacing w:line="260" w:lineRule="exact"/>
              <w:ind w:left="-73" w:leftChars="-23" w:right="-64" w:rightChars="-20"/>
              <w:jc w:val="left"/>
              <w:rPr>
                <w:rFonts w:ascii="宋体" w:eastAsia="宋体"/>
                <w:kern w:val="0"/>
                <w:sz w:val="20"/>
                <w:szCs w:val="20"/>
              </w:rPr>
            </w:pPr>
            <w:r>
              <w:rPr>
                <w:rFonts w:hint="eastAsia" w:ascii="宋体" w:eastAsia="宋体"/>
                <w:kern w:val="0"/>
                <w:sz w:val="20"/>
                <w:szCs w:val="20"/>
              </w:rPr>
              <w:t>因档案资料管理不规范造成工作重大失误的扣0.5分。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资金管理</w:t>
            </w:r>
          </w:p>
        </w:tc>
        <w:tc>
          <w:tcPr>
            <w:tcW w:w="709" w:type="dxa"/>
            <w:shd w:val="clear" w:color="auto" w:fill="auto"/>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1</w:t>
            </w:r>
          </w:p>
        </w:tc>
        <w:tc>
          <w:tcPr>
            <w:tcW w:w="7229" w:type="dxa"/>
            <w:shd w:val="clear" w:color="000000" w:fill="FFFFFF"/>
            <w:vAlign w:val="center"/>
          </w:tcPr>
          <w:p>
            <w:pPr>
              <w:widowControl/>
              <w:spacing w:line="260" w:lineRule="exact"/>
              <w:ind w:left="-73" w:leftChars="-23" w:right="-64" w:rightChars="-20"/>
              <w:jc w:val="left"/>
              <w:rPr>
                <w:rFonts w:ascii="宋体" w:eastAsia="宋体"/>
                <w:kern w:val="0"/>
                <w:sz w:val="20"/>
                <w:szCs w:val="20"/>
              </w:rPr>
            </w:pPr>
            <w:r>
              <w:rPr>
                <w:rFonts w:hint="eastAsia" w:ascii="宋体" w:eastAsia="宋体"/>
                <w:kern w:val="0"/>
                <w:sz w:val="20"/>
                <w:szCs w:val="20"/>
              </w:rPr>
              <w:t>财务建账不完善的扣1分；检查资金使用管理时存在截留、挪用或未按要求拨付到位等问题的，每起扣0.2分；问题整改不及时到位的，加扣0.1分。</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以财务检查为依据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工作总结</w:t>
            </w:r>
          </w:p>
        </w:tc>
        <w:tc>
          <w:tcPr>
            <w:tcW w:w="709" w:type="dxa"/>
            <w:shd w:val="clear" w:color="auto" w:fill="auto"/>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2</w:t>
            </w:r>
          </w:p>
        </w:tc>
        <w:tc>
          <w:tcPr>
            <w:tcW w:w="7229" w:type="dxa"/>
            <w:shd w:val="clear" w:color="000000" w:fill="FFFFFF"/>
            <w:vAlign w:val="center"/>
          </w:tcPr>
          <w:p>
            <w:pPr>
              <w:widowControl/>
              <w:spacing w:line="260" w:lineRule="exact"/>
              <w:ind w:left="-73" w:leftChars="-23" w:right="-64" w:rightChars="-20"/>
              <w:jc w:val="left"/>
              <w:rPr>
                <w:rFonts w:ascii="宋体" w:eastAsia="宋体"/>
                <w:kern w:val="0"/>
                <w:sz w:val="20"/>
                <w:szCs w:val="20"/>
              </w:rPr>
            </w:pPr>
            <w:r>
              <w:rPr>
                <w:rFonts w:hint="eastAsia" w:ascii="宋体" w:eastAsia="宋体"/>
                <w:kern w:val="0"/>
                <w:sz w:val="20"/>
                <w:szCs w:val="20"/>
              </w:rPr>
              <w:t>未按季度上报工作总结的，少一次扣0.5分。</w:t>
            </w:r>
          </w:p>
        </w:tc>
        <w:tc>
          <w:tcPr>
            <w:tcW w:w="2977" w:type="dxa"/>
            <w:shd w:val="clear" w:color="000000" w:fill="FFFFFF"/>
            <w:vAlign w:val="center"/>
          </w:tcPr>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要求每季度不少于一次工作总结，并报局办公室备案。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宣传报道</w:t>
            </w:r>
            <w:r>
              <w:rPr>
                <w:rFonts w:hint="eastAsia" w:ascii="宋体" w:eastAsia="宋体"/>
                <w:kern w:val="0"/>
                <w:sz w:val="20"/>
                <w:szCs w:val="20"/>
              </w:rPr>
              <w:br w:type="textWrapping"/>
            </w:r>
            <w:r>
              <w:rPr>
                <w:rFonts w:hint="eastAsia" w:ascii="宋体" w:eastAsia="宋体"/>
                <w:kern w:val="0"/>
                <w:sz w:val="20"/>
                <w:szCs w:val="20"/>
              </w:rPr>
              <w:t>（10分）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林业宣传工作</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10</w:t>
            </w:r>
          </w:p>
        </w:tc>
        <w:tc>
          <w:tcPr>
            <w:tcW w:w="7229" w:type="dxa"/>
            <w:shd w:val="clear" w:color="auto" w:fill="auto"/>
            <w:vAlign w:val="center"/>
          </w:tcPr>
          <w:p>
            <w:pPr>
              <w:widowControl/>
              <w:spacing w:line="260" w:lineRule="exact"/>
              <w:ind w:left="-73" w:leftChars="-23" w:right="-64" w:rightChars="-20"/>
              <w:jc w:val="left"/>
              <w:rPr>
                <w:rFonts w:ascii="宋体" w:eastAsia="宋体"/>
                <w:kern w:val="0"/>
                <w:sz w:val="18"/>
                <w:szCs w:val="18"/>
              </w:rPr>
            </w:pPr>
            <w:r>
              <w:rPr>
                <w:rFonts w:hint="eastAsia" w:ascii="宋体" w:eastAsia="宋体"/>
                <w:kern w:val="0"/>
                <w:sz w:val="18"/>
                <w:szCs w:val="18"/>
              </w:rPr>
              <w:t>1.在国家级新闻媒体报道每篇得2分，在省级新闻媒体报道每篇得1分，在市级、县级新闻媒体报道每篇得0.5分。</w:t>
            </w:r>
            <w:r>
              <w:rPr>
                <w:rFonts w:hint="eastAsia" w:ascii="宋体" w:eastAsia="宋体"/>
                <w:kern w:val="0"/>
                <w:sz w:val="18"/>
                <w:szCs w:val="18"/>
              </w:rPr>
              <w:br w:type="textWrapping"/>
            </w:r>
            <w:r>
              <w:rPr>
                <w:rFonts w:hint="eastAsia" w:ascii="宋体" w:eastAsia="宋体"/>
                <w:kern w:val="0"/>
                <w:sz w:val="18"/>
                <w:szCs w:val="18"/>
              </w:rPr>
              <w:t xml:space="preserve">2.在县级或县级以上微信公众号报道每篇得0.2分，在乡镇微信公众号报道每篇得0.1分。                            </w:t>
            </w:r>
          </w:p>
        </w:tc>
        <w:tc>
          <w:tcPr>
            <w:tcW w:w="2977" w:type="dxa"/>
            <w:shd w:val="clear" w:color="auto" w:fill="auto"/>
            <w:vAlign w:val="center"/>
          </w:tcPr>
          <w:p>
            <w:pPr>
              <w:widowControl/>
              <w:spacing w:line="260" w:lineRule="exact"/>
              <w:ind w:left="-73" w:leftChars="-23" w:right="-64" w:rightChars="-20"/>
              <w:jc w:val="center"/>
              <w:rPr>
                <w:rFonts w:ascii="宋体" w:eastAsia="宋体"/>
                <w:kern w:val="0"/>
                <w:sz w:val="20"/>
                <w:szCs w:val="20"/>
              </w:rPr>
            </w:pPr>
            <w:r>
              <w:rPr>
                <w:rFonts w:hint="eastAsia" w:ascii="宋体" w:eastAsia="宋体"/>
                <w:kern w:val="0"/>
                <w:sz w:val="20"/>
                <w:szCs w:val="20"/>
              </w:rPr>
              <w:t>一稿多投不重复计算，以最高分值计分；要求每季度末报县林长办备案。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999" w:type="dxa"/>
            <w:vMerge w:val="restart"/>
            <w:shd w:val="clear" w:color="000000" w:fill="FFFFFF"/>
            <w:vAlign w:val="center"/>
          </w:tcPr>
          <w:p>
            <w:pPr>
              <w:widowControl/>
              <w:spacing w:line="300" w:lineRule="exact"/>
              <w:ind w:left="-73" w:leftChars="-23" w:right="-64" w:rightChars="-20"/>
              <w:jc w:val="center"/>
              <w:rPr>
                <w:rFonts w:ascii="宋体" w:eastAsia="宋体"/>
                <w:b/>
                <w:bCs/>
                <w:kern w:val="0"/>
                <w:sz w:val="22"/>
                <w:szCs w:val="22"/>
              </w:rPr>
            </w:pPr>
            <w:r>
              <w:rPr>
                <w:rFonts w:hint="eastAsia" w:ascii="宋体" w:eastAsia="宋体"/>
                <w:b/>
                <w:bCs/>
                <w:kern w:val="0"/>
                <w:sz w:val="22"/>
                <w:szCs w:val="22"/>
              </w:rPr>
              <w:t>森林资源目标管理责任制（60分）</w:t>
            </w:r>
          </w:p>
        </w:tc>
        <w:tc>
          <w:tcPr>
            <w:tcW w:w="1078" w:type="dxa"/>
            <w:vMerge w:val="restart"/>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森林和湿地资源保护管理工作（45分）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资源管理情况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20</w:t>
            </w:r>
          </w:p>
        </w:tc>
        <w:tc>
          <w:tcPr>
            <w:tcW w:w="7229"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1、未制定相关措施文件导致森林覆盖率、林地保有量、湿地保有量出现下降的扣3分；未按规定签订责任状（含防火、林检）每项扣1分；未按要求完成林业有害生物防控任务的扣1分。</w:t>
            </w:r>
            <w:r>
              <w:rPr>
                <w:rFonts w:hint="eastAsia" w:ascii="宋体" w:eastAsia="宋体"/>
                <w:kern w:val="0"/>
                <w:sz w:val="20"/>
                <w:szCs w:val="20"/>
              </w:rPr>
              <w:br w:type="textWrapping"/>
            </w:r>
            <w:r>
              <w:rPr>
                <w:rFonts w:hint="eastAsia" w:ascii="宋体" w:eastAsia="宋体"/>
                <w:kern w:val="0"/>
                <w:sz w:val="20"/>
                <w:szCs w:val="20"/>
              </w:rPr>
              <w:t>2、无木材生产计划分解文件或材料的，扣1分；木材生产无一、二榜公示材料与电子照片的，扣1分。</w:t>
            </w:r>
            <w:r>
              <w:rPr>
                <w:rFonts w:hint="eastAsia" w:ascii="宋体" w:eastAsia="宋体"/>
                <w:kern w:val="0"/>
                <w:sz w:val="20"/>
                <w:szCs w:val="20"/>
              </w:rPr>
              <w:br w:type="textWrapping"/>
            </w:r>
            <w:r>
              <w:rPr>
                <w:rFonts w:hint="eastAsia" w:ascii="宋体" w:eastAsia="宋体"/>
                <w:kern w:val="0"/>
                <w:sz w:val="20"/>
                <w:szCs w:val="20"/>
              </w:rPr>
              <w:t>3、森林资源管理相关材料（采伐、林地、公益林、天保林、营林、防火、林检、野保）未归档整理的每一类扣0.2分。</w:t>
            </w:r>
            <w:r>
              <w:rPr>
                <w:rFonts w:hint="eastAsia" w:ascii="宋体" w:eastAsia="宋体"/>
                <w:kern w:val="0"/>
                <w:sz w:val="20"/>
                <w:szCs w:val="20"/>
              </w:rPr>
              <w:br w:type="textWrapping"/>
            </w:r>
            <w:r>
              <w:rPr>
                <w:rFonts w:hint="eastAsia" w:ascii="宋体" w:eastAsia="宋体"/>
                <w:kern w:val="0"/>
                <w:sz w:val="20"/>
                <w:szCs w:val="20"/>
              </w:rPr>
              <w:t>4、疑似问题台帐建设不完善的（含报告、核查、处理）每项扣0.2分；发现有漏报问题的，每起扣0.5分；问题处理不到位每起扣0.2分。</w:t>
            </w:r>
            <w:r>
              <w:rPr>
                <w:rFonts w:hint="eastAsia" w:ascii="宋体" w:eastAsia="宋体"/>
                <w:kern w:val="0"/>
                <w:sz w:val="20"/>
                <w:szCs w:val="20"/>
              </w:rPr>
              <w:br w:type="textWrapping"/>
            </w:r>
            <w:r>
              <w:rPr>
                <w:rFonts w:hint="eastAsia" w:ascii="宋体" w:eastAsia="宋体"/>
                <w:kern w:val="0"/>
                <w:sz w:val="20"/>
                <w:szCs w:val="20"/>
              </w:rPr>
              <w:t>5、不积极调处辖区涉林纠纷，造成群体性越级上访事件的，每起扣0.5分。</w:t>
            </w:r>
            <w:r>
              <w:rPr>
                <w:rFonts w:hint="eastAsia" w:ascii="宋体" w:eastAsia="宋体"/>
                <w:kern w:val="0"/>
                <w:sz w:val="20"/>
                <w:szCs w:val="20"/>
              </w:rPr>
              <w:br w:type="textWrapping"/>
            </w:r>
            <w:r>
              <w:rPr>
                <w:rFonts w:hint="eastAsia" w:ascii="宋体" w:eastAsia="宋体"/>
                <w:kern w:val="0"/>
                <w:sz w:val="20"/>
                <w:szCs w:val="20"/>
              </w:rPr>
              <w:t xml:space="preserve">6、发现林业户外公示等设施损坏的每处扣0.1分。    7、未完成年度天然林保护修复工作任务的扣1分。                                                                                                                                                                                  </w:t>
            </w:r>
          </w:p>
        </w:tc>
        <w:tc>
          <w:tcPr>
            <w:tcW w:w="2977"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1.按上级要求签订相关责任状，出台促进森林覆盖率、林地保有量、湿地保有量措施的文件。</w:t>
            </w:r>
            <w:r>
              <w:rPr>
                <w:rFonts w:hint="eastAsia" w:ascii="宋体" w:eastAsia="宋体"/>
                <w:kern w:val="0"/>
                <w:sz w:val="20"/>
                <w:szCs w:val="20"/>
              </w:rPr>
              <w:br w:type="textWrapping"/>
            </w:r>
            <w:r>
              <w:rPr>
                <w:rFonts w:hint="eastAsia" w:ascii="宋体" w:eastAsia="宋体"/>
                <w:kern w:val="0"/>
                <w:sz w:val="20"/>
                <w:szCs w:val="20"/>
              </w:rPr>
              <w:t>2.按不同类型将材料收集归档、编制目录。</w:t>
            </w:r>
            <w:r>
              <w:rPr>
                <w:rFonts w:hint="eastAsia" w:ascii="宋体" w:eastAsia="宋体"/>
                <w:kern w:val="0"/>
                <w:sz w:val="20"/>
                <w:szCs w:val="20"/>
              </w:rPr>
              <w:br w:type="textWrapping"/>
            </w:r>
            <w:r>
              <w:rPr>
                <w:rFonts w:hint="eastAsia" w:ascii="宋体" w:eastAsia="宋体"/>
                <w:kern w:val="0"/>
                <w:sz w:val="20"/>
                <w:szCs w:val="20"/>
              </w:rPr>
              <w:t>3.根据县局要求建立疑似问题台帐，由执法大队根据平常抽查情况进行考核。</w:t>
            </w:r>
            <w:r>
              <w:rPr>
                <w:rFonts w:hint="eastAsia" w:ascii="宋体" w:eastAsia="宋体"/>
                <w:kern w:val="0"/>
                <w:sz w:val="20"/>
                <w:szCs w:val="20"/>
              </w:rPr>
              <w:br w:type="textWrapping"/>
            </w:r>
            <w:r>
              <w:rPr>
                <w:rFonts w:hint="eastAsia" w:ascii="宋体" w:eastAsia="宋体"/>
                <w:kern w:val="0"/>
                <w:sz w:val="20"/>
                <w:szCs w:val="20"/>
              </w:rPr>
              <w:t>4.以局信访办登记情况为准。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专项行动、森林督查及检查完成情况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10</w:t>
            </w:r>
          </w:p>
        </w:tc>
        <w:tc>
          <w:tcPr>
            <w:tcW w:w="7229"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1、专项行动、森林督查及各类检查发现和督查整改的问题未按规定整改到位的每起扣0.5分。</w:t>
            </w:r>
            <w:r>
              <w:rPr>
                <w:rFonts w:hint="eastAsia" w:ascii="宋体" w:eastAsia="宋体"/>
                <w:kern w:val="0"/>
                <w:sz w:val="20"/>
                <w:szCs w:val="20"/>
              </w:rPr>
              <w:br w:type="textWrapping"/>
            </w:r>
            <w:r>
              <w:rPr>
                <w:rFonts w:hint="eastAsia" w:ascii="宋体" w:eastAsia="宋体"/>
                <w:kern w:val="0"/>
                <w:sz w:val="20"/>
                <w:szCs w:val="20"/>
              </w:rPr>
              <w:t>2、未如实上报情况或隐瞒不报的每起扣0.5分。</w:t>
            </w:r>
            <w:r>
              <w:rPr>
                <w:rFonts w:hint="eastAsia" w:ascii="宋体" w:eastAsia="宋体"/>
                <w:kern w:val="0"/>
                <w:sz w:val="20"/>
                <w:szCs w:val="20"/>
              </w:rPr>
              <w:br w:type="textWrapping"/>
            </w:r>
            <w:r>
              <w:rPr>
                <w:rFonts w:hint="eastAsia" w:ascii="宋体" w:eastAsia="宋体"/>
                <w:kern w:val="0"/>
                <w:sz w:val="20"/>
                <w:szCs w:val="20"/>
              </w:rPr>
              <w:t>3、临时用地到期未恢复,5亩以下的每宗扣0.3分，5亩（含）以上的每宗扣0.6分。</w:t>
            </w:r>
          </w:p>
        </w:tc>
        <w:tc>
          <w:tcPr>
            <w:tcW w:w="2977"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以各相关股室日常统计数据为评定依据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破坏森林资源案件情况</w:t>
            </w:r>
          </w:p>
        </w:tc>
        <w:tc>
          <w:tcPr>
            <w:tcW w:w="709"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15</w:t>
            </w:r>
          </w:p>
        </w:tc>
        <w:tc>
          <w:tcPr>
            <w:tcW w:w="7229"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1、辖区年度内发生刑事案件（含森林火灾）每起扣1分，属疫木案件加扣0.5分，被上级督办的每起加扣0.5分。</w:t>
            </w:r>
            <w:r>
              <w:rPr>
                <w:rFonts w:hint="eastAsia" w:ascii="宋体" w:eastAsia="宋体"/>
                <w:kern w:val="0"/>
                <w:sz w:val="20"/>
                <w:szCs w:val="20"/>
              </w:rPr>
              <w:br w:type="textWrapping"/>
            </w:r>
            <w:r>
              <w:rPr>
                <w:rFonts w:hint="eastAsia" w:ascii="宋体" w:eastAsia="宋体"/>
                <w:kern w:val="0"/>
                <w:sz w:val="20"/>
                <w:szCs w:val="20"/>
              </w:rPr>
              <w:t>2、辖区年度内发生的林政案件（含森林火灾）每起扣0.1分，属疫木案件加扣0.2分，被上级督办的每起加扣0.2分。</w:t>
            </w:r>
          </w:p>
        </w:tc>
        <w:tc>
          <w:tcPr>
            <w:tcW w:w="2977" w:type="dxa"/>
            <w:shd w:val="clear" w:color="auto" w:fill="auto"/>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以各执法单位提供的案件统计数量为评定依据，由资源股负责审定。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dxa"/>
            <w:vMerge w:val="restart"/>
            <w:shd w:val="clear" w:color="000000" w:fill="FFFFFF"/>
            <w:vAlign w:val="center"/>
          </w:tcPr>
          <w:p>
            <w:pPr>
              <w:widowControl/>
              <w:spacing w:line="300" w:lineRule="exact"/>
              <w:ind w:left="-73" w:leftChars="-23" w:right="-64" w:rightChars="-20"/>
              <w:jc w:val="center"/>
              <w:rPr>
                <w:rFonts w:ascii="宋体" w:eastAsia="宋体"/>
                <w:b/>
                <w:bCs/>
                <w:kern w:val="0"/>
                <w:sz w:val="22"/>
                <w:szCs w:val="22"/>
              </w:rPr>
            </w:pPr>
            <w:r>
              <w:rPr>
                <w:rFonts w:hint="eastAsia" w:ascii="宋体" w:eastAsia="宋体"/>
                <w:b/>
                <w:bCs/>
                <w:kern w:val="0"/>
                <w:sz w:val="22"/>
                <w:szCs w:val="22"/>
              </w:rPr>
              <w:t>森林资源目标责任制（60分）</w:t>
            </w:r>
          </w:p>
        </w:tc>
        <w:tc>
          <w:tcPr>
            <w:tcW w:w="1078" w:type="dxa"/>
            <w:vMerge w:val="restart"/>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森林培育（15分）</w:t>
            </w: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造林任务完成情况</w:t>
            </w:r>
          </w:p>
        </w:tc>
        <w:tc>
          <w:tcPr>
            <w:tcW w:w="709" w:type="dxa"/>
            <w:shd w:val="clear" w:color="000000" w:fill="FFFFFF"/>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4</w:t>
            </w:r>
          </w:p>
        </w:tc>
        <w:tc>
          <w:tcPr>
            <w:tcW w:w="7229" w:type="dxa"/>
            <w:shd w:val="clear" w:color="000000" w:fill="FFFFFF"/>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 xml:space="preserve">  未按规定完成人工造林计划任务的，按实际完成验收比例扣分。</w:t>
            </w:r>
          </w:p>
        </w:tc>
        <w:tc>
          <w:tcPr>
            <w:tcW w:w="2977" w:type="dxa"/>
            <w:shd w:val="clear" w:color="auto" w:fill="auto"/>
            <w:noWrap/>
            <w:vAlign w:val="center"/>
          </w:tcPr>
          <w:p>
            <w:pPr>
              <w:widowControl/>
              <w:spacing w:line="300" w:lineRule="exact"/>
              <w:ind w:left="-73" w:leftChars="-23" w:right="-64" w:rightChars="-20"/>
              <w:jc w:val="left"/>
              <w:rPr>
                <w:rFonts w:ascii="宋体" w:eastAsia="宋体"/>
                <w:color w:val="000000"/>
                <w:kern w:val="0"/>
                <w:sz w:val="22"/>
                <w:szCs w:val="22"/>
              </w:rPr>
            </w:pPr>
            <w:r>
              <w:rPr>
                <w:rFonts w:hint="eastAsia" w:ascii="宋体" w:eastAsia="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采伐迹地更新情况</w:t>
            </w:r>
          </w:p>
        </w:tc>
        <w:tc>
          <w:tcPr>
            <w:tcW w:w="709" w:type="dxa"/>
            <w:shd w:val="clear" w:color="000000" w:fill="FFFFFF"/>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3</w:t>
            </w:r>
          </w:p>
        </w:tc>
        <w:tc>
          <w:tcPr>
            <w:tcW w:w="7229" w:type="dxa"/>
            <w:shd w:val="clear" w:color="000000" w:fill="FFFFFF"/>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 xml:space="preserve">  未按规定完成更新造林计划任务的，按实际完成验收比例扣分。</w:t>
            </w:r>
          </w:p>
        </w:tc>
        <w:tc>
          <w:tcPr>
            <w:tcW w:w="2977" w:type="dxa"/>
            <w:shd w:val="clear" w:color="auto" w:fill="auto"/>
            <w:noWrap/>
            <w:vAlign w:val="center"/>
          </w:tcPr>
          <w:p>
            <w:pPr>
              <w:widowControl/>
              <w:spacing w:line="300" w:lineRule="exact"/>
              <w:ind w:left="-73" w:leftChars="-23" w:right="-64" w:rightChars="-20"/>
              <w:jc w:val="left"/>
              <w:rPr>
                <w:rFonts w:ascii="宋体" w:eastAsia="宋体"/>
                <w:color w:val="000000"/>
                <w:kern w:val="0"/>
                <w:sz w:val="22"/>
                <w:szCs w:val="22"/>
              </w:rPr>
            </w:pPr>
            <w:r>
              <w:rPr>
                <w:rFonts w:hint="eastAsia" w:ascii="宋体" w:eastAsia="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幼林抚育情况</w:t>
            </w:r>
          </w:p>
        </w:tc>
        <w:tc>
          <w:tcPr>
            <w:tcW w:w="709" w:type="dxa"/>
            <w:shd w:val="clear" w:color="000000" w:fill="FFFFFF"/>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2</w:t>
            </w:r>
          </w:p>
        </w:tc>
        <w:tc>
          <w:tcPr>
            <w:tcW w:w="7229" w:type="dxa"/>
            <w:shd w:val="clear" w:color="000000" w:fill="FFFFFF"/>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 xml:space="preserve">  未按规定完成幼林抚育计划任务的，按实际完成验收比例扣分。</w:t>
            </w:r>
          </w:p>
        </w:tc>
        <w:tc>
          <w:tcPr>
            <w:tcW w:w="2977" w:type="dxa"/>
            <w:shd w:val="clear" w:color="auto" w:fill="auto"/>
            <w:noWrap/>
            <w:vAlign w:val="center"/>
          </w:tcPr>
          <w:p>
            <w:pPr>
              <w:widowControl/>
              <w:spacing w:line="300" w:lineRule="exact"/>
              <w:ind w:left="-73" w:leftChars="-23" w:right="-64" w:rightChars="-20"/>
              <w:jc w:val="left"/>
              <w:rPr>
                <w:rFonts w:ascii="宋体" w:eastAsia="宋体"/>
                <w:color w:val="000000"/>
                <w:kern w:val="0"/>
                <w:sz w:val="22"/>
                <w:szCs w:val="22"/>
              </w:rPr>
            </w:pPr>
            <w:r>
              <w:rPr>
                <w:rFonts w:hint="eastAsia" w:ascii="宋体" w:eastAsia="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森林质量提升示范建设情况</w:t>
            </w:r>
          </w:p>
        </w:tc>
        <w:tc>
          <w:tcPr>
            <w:tcW w:w="709" w:type="dxa"/>
            <w:shd w:val="clear" w:color="000000" w:fill="FFFFFF"/>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2</w:t>
            </w:r>
          </w:p>
        </w:tc>
        <w:tc>
          <w:tcPr>
            <w:tcW w:w="7229" w:type="dxa"/>
            <w:shd w:val="clear" w:color="000000" w:fill="FFFFFF"/>
            <w:vAlign w:val="center"/>
          </w:tcPr>
          <w:p>
            <w:pPr>
              <w:widowControl/>
              <w:spacing w:line="300" w:lineRule="exact"/>
              <w:ind w:left="-73" w:leftChars="-23" w:right="-64" w:rightChars="-20"/>
              <w:jc w:val="left"/>
              <w:rPr>
                <w:rFonts w:ascii="宋体" w:eastAsia="宋体"/>
                <w:kern w:val="0"/>
                <w:sz w:val="20"/>
                <w:szCs w:val="20"/>
              </w:rPr>
            </w:pPr>
            <w:r>
              <w:rPr>
                <w:rFonts w:hint="eastAsia" w:ascii="宋体" w:eastAsia="宋体"/>
                <w:kern w:val="0"/>
                <w:sz w:val="20"/>
                <w:szCs w:val="20"/>
              </w:rPr>
              <w:t xml:space="preserve">   承建县级或自建森林经营示范基地不少于2个，少1个扣1分。</w:t>
            </w:r>
          </w:p>
        </w:tc>
        <w:tc>
          <w:tcPr>
            <w:tcW w:w="2977" w:type="dxa"/>
            <w:shd w:val="clear" w:color="000000" w:fill="FFFFFF"/>
            <w:vAlign w:val="center"/>
          </w:tcPr>
          <w:p>
            <w:pPr>
              <w:widowControl/>
              <w:spacing w:line="300" w:lineRule="exact"/>
              <w:ind w:left="-73" w:leftChars="-23" w:right="-64" w:rightChars="-20"/>
              <w:jc w:val="left"/>
              <w:rPr>
                <w:rFonts w:ascii="宋体" w:eastAsia="宋体"/>
                <w:kern w:val="0"/>
                <w:sz w:val="18"/>
                <w:szCs w:val="18"/>
              </w:rPr>
            </w:pPr>
            <w:r>
              <w:rPr>
                <w:rFonts w:hint="eastAsia" w:ascii="宋体" w:eastAsia="宋体"/>
                <w:kern w:val="0"/>
                <w:sz w:val="18"/>
                <w:szCs w:val="18"/>
              </w:rPr>
              <w:t>乡镇自建森林经营示范基地需编制方案上报相关股室审核同意，并在基地建成后经相关股室检查验收合格。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99" w:type="dxa"/>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1078" w:type="dxa"/>
            <w:vMerge w:val="continue"/>
            <w:vAlign w:val="center"/>
          </w:tcPr>
          <w:p>
            <w:pPr>
              <w:widowControl/>
              <w:spacing w:line="300" w:lineRule="exact"/>
              <w:ind w:left="-73" w:leftChars="-23" w:right="-64" w:rightChars="-20"/>
              <w:jc w:val="left"/>
              <w:rPr>
                <w:rFonts w:ascii="宋体" w:eastAsia="宋体"/>
                <w:kern w:val="0"/>
                <w:sz w:val="20"/>
                <w:szCs w:val="20"/>
              </w:rPr>
            </w:pPr>
          </w:p>
        </w:tc>
        <w:tc>
          <w:tcPr>
            <w:tcW w:w="1486" w:type="dxa"/>
            <w:shd w:val="clear" w:color="auto" w:fill="auto"/>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营造林项目申报及建设情况</w:t>
            </w:r>
          </w:p>
        </w:tc>
        <w:tc>
          <w:tcPr>
            <w:tcW w:w="709" w:type="dxa"/>
            <w:shd w:val="clear" w:color="000000" w:fill="FFFFFF"/>
            <w:noWrap/>
            <w:vAlign w:val="center"/>
          </w:tcPr>
          <w:p>
            <w:pPr>
              <w:widowControl/>
              <w:spacing w:line="300" w:lineRule="exact"/>
              <w:ind w:left="-73" w:leftChars="-23" w:right="-64" w:rightChars="-20"/>
              <w:jc w:val="center"/>
              <w:rPr>
                <w:rFonts w:ascii="宋体" w:eastAsia="宋体"/>
                <w:kern w:val="0"/>
                <w:sz w:val="20"/>
                <w:szCs w:val="20"/>
              </w:rPr>
            </w:pPr>
            <w:r>
              <w:rPr>
                <w:rFonts w:hint="eastAsia" w:ascii="宋体" w:eastAsia="宋体"/>
                <w:kern w:val="0"/>
                <w:sz w:val="20"/>
                <w:szCs w:val="20"/>
              </w:rPr>
              <w:t>4</w:t>
            </w:r>
          </w:p>
        </w:tc>
        <w:tc>
          <w:tcPr>
            <w:tcW w:w="7229" w:type="dxa"/>
            <w:shd w:val="clear" w:color="000000" w:fill="FFFFFF"/>
            <w:vAlign w:val="center"/>
          </w:tcPr>
          <w:p>
            <w:pPr>
              <w:widowControl/>
              <w:spacing w:line="300" w:lineRule="exact"/>
              <w:ind w:left="-73" w:leftChars="-23" w:right="-64" w:rightChars="-20"/>
              <w:jc w:val="left"/>
              <w:rPr>
                <w:rFonts w:ascii="宋体" w:eastAsia="宋体"/>
                <w:kern w:val="0"/>
                <w:sz w:val="18"/>
                <w:szCs w:val="18"/>
              </w:rPr>
            </w:pPr>
            <w:r>
              <w:rPr>
                <w:rFonts w:hint="eastAsia" w:ascii="宋体" w:eastAsia="宋体"/>
                <w:kern w:val="0"/>
                <w:sz w:val="18"/>
                <w:szCs w:val="18"/>
              </w:rPr>
              <w:t xml:space="preserve">  项目申报审核把关不严，明显违背林业有关政策及项目建设要求仍上报的，发生一次扣0.5分；项目计划落实后，未按时间节点要求保质保量完成的，发生一次扣0.2分；项目建设经上级检查发现存在问题导致项目验收不合格的，发生一次扣2分。</w:t>
            </w:r>
          </w:p>
        </w:tc>
        <w:tc>
          <w:tcPr>
            <w:tcW w:w="2977" w:type="dxa"/>
            <w:shd w:val="clear" w:color="auto" w:fill="auto"/>
            <w:vAlign w:val="center"/>
          </w:tcPr>
          <w:p>
            <w:pPr>
              <w:widowControl/>
              <w:spacing w:line="300" w:lineRule="exact"/>
              <w:ind w:left="-73" w:leftChars="-23" w:right="-64" w:rightChars="-20"/>
              <w:jc w:val="left"/>
              <w:rPr>
                <w:rFonts w:ascii="宋体" w:eastAsia="宋体"/>
                <w:color w:val="000000"/>
                <w:kern w:val="0"/>
                <w:sz w:val="20"/>
                <w:szCs w:val="20"/>
              </w:rPr>
            </w:pPr>
            <w:r>
              <w:rPr>
                <w:rFonts w:hint="eastAsia" w:ascii="宋体" w:eastAsia="宋体"/>
                <w:color w:val="000000"/>
                <w:kern w:val="0"/>
                <w:sz w:val="20"/>
                <w:szCs w:val="20"/>
              </w:rPr>
              <w:t>由相关股</w:t>
            </w:r>
            <w:r>
              <w:rPr>
                <w:rFonts w:hint="eastAsia" w:ascii="宋体" w:eastAsia="宋体"/>
                <w:color w:val="000000"/>
                <w:kern w:val="0"/>
                <w:sz w:val="20"/>
                <w:szCs w:val="20"/>
              </w:rPr>
              <w:br w:type="textWrapping"/>
            </w:r>
            <w:r>
              <w:rPr>
                <w:rFonts w:hint="eastAsia" w:ascii="宋体" w:eastAsia="宋体"/>
                <w:color w:val="000000"/>
                <w:kern w:val="0"/>
                <w:sz w:val="20"/>
                <w:szCs w:val="20"/>
              </w:rPr>
              <w:t>室负责认定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4272" w:type="dxa"/>
            <w:gridSpan w:val="4"/>
            <w:vMerge w:val="restart"/>
            <w:shd w:val="clear" w:color="auto" w:fill="auto"/>
            <w:vAlign w:val="center"/>
          </w:tcPr>
          <w:p>
            <w:pPr>
              <w:widowControl/>
              <w:spacing w:line="300" w:lineRule="exact"/>
              <w:ind w:left="-73" w:leftChars="-23" w:right="-64" w:rightChars="-20"/>
              <w:jc w:val="center"/>
              <w:rPr>
                <w:rFonts w:ascii="宋体" w:eastAsia="宋体"/>
                <w:b/>
                <w:bCs/>
                <w:kern w:val="0"/>
                <w:sz w:val="22"/>
                <w:szCs w:val="22"/>
              </w:rPr>
            </w:pPr>
            <w:r>
              <w:rPr>
                <w:rFonts w:hint="eastAsia" w:ascii="宋体" w:eastAsia="宋体"/>
                <w:b/>
                <w:bCs/>
                <w:kern w:val="0"/>
                <w:sz w:val="22"/>
                <w:szCs w:val="22"/>
              </w:rPr>
              <w:t>加减分项（总加分分值不突破10分）</w:t>
            </w:r>
          </w:p>
        </w:tc>
        <w:tc>
          <w:tcPr>
            <w:tcW w:w="7229" w:type="dxa"/>
            <w:vMerge w:val="restart"/>
            <w:shd w:val="clear" w:color="auto" w:fill="auto"/>
            <w:vAlign w:val="center"/>
          </w:tcPr>
          <w:p>
            <w:pPr>
              <w:widowControl/>
              <w:spacing w:line="300" w:lineRule="exact"/>
              <w:ind w:left="-73" w:leftChars="-23" w:right="-64" w:rightChars="-20"/>
              <w:jc w:val="left"/>
              <w:rPr>
                <w:rFonts w:ascii="宋体" w:eastAsia="宋体"/>
                <w:kern w:val="0"/>
                <w:sz w:val="18"/>
                <w:szCs w:val="18"/>
              </w:rPr>
            </w:pPr>
            <w:r>
              <w:rPr>
                <w:rFonts w:hint="eastAsia" w:ascii="宋体" w:eastAsia="宋体"/>
                <w:kern w:val="0"/>
                <w:sz w:val="18"/>
                <w:szCs w:val="18"/>
              </w:rPr>
              <w:t>1、代表全县接受省级以上各类林业工作考核、检查、验收合格的，每次加1分。</w:t>
            </w:r>
            <w:r>
              <w:rPr>
                <w:rFonts w:hint="eastAsia" w:ascii="宋体" w:eastAsia="宋体"/>
                <w:kern w:val="0"/>
                <w:sz w:val="18"/>
                <w:szCs w:val="18"/>
              </w:rPr>
              <w:br w:type="textWrapping"/>
            </w:r>
            <w:r>
              <w:rPr>
                <w:rFonts w:hint="eastAsia" w:ascii="宋体" w:eastAsia="宋体"/>
                <w:kern w:val="0"/>
                <w:sz w:val="18"/>
                <w:szCs w:val="18"/>
              </w:rPr>
              <w:t>2、取得国家级先进荣誉的，每项加2分；省级先进荣誉的每项加1分；市级先进荣誉的每项加0.5分。</w:t>
            </w:r>
            <w:r>
              <w:rPr>
                <w:rFonts w:hint="eastAsia" w:ascii="宋体" w:eastAsia="宋体"/>
                <w:kern w:val="0"/>
                <w:sz w:val="18"/>
                <w:szCs w:val="18"/>
              </w:rPr>
              <w:br w:type="textWrapping"/>
            </w:r>
            <w:r>
              <w:rPr>
                <w:rFonts w:hint="eastAsia" w:ascii="宋体" w:eastAsia="宋体"/>
                <w:kern w:val="0"/>
                <w:sz w:val="18"/>
                <w:szCs w:val="18"/>
              </w:rPr>
              <w:t>3、成功创建国家级涉林称号的，每项加2分；省级涉林称号的每项加1分。</w:t>
            </w:r>
            <w:r>
              <w:rPr>
                <w:rFonts w:hint="eastAsia" w:ascii="宋体" w:eastAsia="宋体"/>
                <w:kern w:val="0"/>
                <w:sz w:val="18"/>
                <w:szCs w:val="18"/>
              </w:rPr>
              <w:br w:type="textWrapping"/>
            </w:r>
            <w:r>
              <w:rPr>
                <w:rFonts w:hint="eastAsia" w:ascii="宋体" w:eastAsia="宋体"/>
                <w:kern w:val="0"/>
                <w:sz w:val="18"/>
                <w:szCs w:val="18"/>
              </w:rPr>
              <w:t>4、承办市级以上林业工作现场会议的，每次加2分；承办全县林业工作现场会议的，每次加0.5分。</w:t>
            </w:r>
            <w:r>
              <w:rPr>
                <w:rFonts w:hint="eastAsia" w:ascii="宋体" w:eastAsia="宋体"/>
                <w:kern w:val="0"/>
                <w:sz w:val="18"/>
                <w:szCs w:val="18"/>
              </w:rPr>
              <w:br w:type="textWrapping"/>
            </w:r>
            <w:r>
              <w:rPr>
                <w:rFonts w:hint="eastAsia" w:ascii="宋体" w:eastAsia="宋体"/>
                <w:kern w:val="0"/>
                <w:sz w:val="18"/>
                <w:szCs w:val="18"/>
              </w:rPr>
              <w:t>5、接待县外有关单位现场考察、学习、调研林业工作的，每次加0.2分。</w:t>
            </w:r>
            <w:r>
              <w:rPr>
                <w:rFonts w:hint="eastAsia" w:ascii="宋体" w:eastAsia="宋体"/>
                <w:kern w:val="0"/>
                <w:sz w:val="18"/>
                <w:szCs w:val="18"/>
              </w:rPr>
              <w:br w:type="textWrapping"/>
            </w:r>
            <w:r>
              <w:rPr>
                <w:rFonts w:hint="eastAsia" w:ascii="宋体" w:eastAsia="宋体"/>
                <w:kern w:val="0"/>
                <w:sz w:val="18"/>
                <w:szCs w:val="18"/>
              </w:rPr>
              <w:t>6、考核时段内林业工作受到市级以上通报批评的扣2分。</w:t>
            </w:r>
          </w:p>
        </w:tc>
        <w:tc>
          <w:tcPr>
            <w:tcW w:w="2977" w:type="dxa"/>
            <w:vMerge w:val="restart"/>
            <w:shd w:val="clear" w:color="auto" w:fill="auto"/>
            <w:vAlign w:val="center"/>
          </w:tcPr>
          <w:p>
            <w:pPr>
              <w:widowControl/>
              <w:spacing w:line="300" w:lineRule="exact"/>
              <w:ind w:left="-73" w:leftChars="-23" w:right="-64" w:rightChars="-20"/>
              <w:jc w:val="center"/>
              <w:rPr>
                <w:rFonts w:ascii="宋体" w:eastAsia="宋体"/>
                <w:color w:val="000000"/>
                <w:kern w:val="0"/>
                <w:sz w:val="22"/>
                <w:szCs w:val="22"/>
              </w:rPr>
            </w:pPr>
            <w:r>
              <w:rPr>
                <w:rFonts w:hint="eastAsia" w:ascii="宋体" w:eastAsia="宋体"/>
                <w:color w:val="000000"/>
                <w:kern w:val="0"/>
                <w:sz w:val="22"/>
                <w:szCs w:val="22"/>
              </w:rPr>
              <w:t>1、先进荣誉含集体及个人。</w:t>
            </w:r>
            <w:r>
              <w:rPr>
                <w:rFonts w:hint="eastAsia" w:ascii="宋体" w:eastAsia="宋体"/>
                <w:color w:val="000000"/>
                <w:kern w:val="0"/>
                <w:sz w:val="22"/>
                <w:szCs w:val="22"/>
              </w:rPr>
              <w:br w:type="textWrapping"/>
            </w:r>
            <w:r>
              <w:rPr>
                <w:rFonts w:hint="eastAsia" w:ascii="宋体" w:eastAsia="宋体"/>
                <w:color w:val="000000"/>
                <w:kern w:val="0"/>
                <w:sz w:val="22"/>
                <w:szCs w:val="22"/>
              </w:rPr>
              <w:t>2、接待县外考察学习内容需经局有关股室备案认可。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272" w:type="dxa"/>
            <w:gridSpan w:val="4"/>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7229" w:type="dxa"/>
            <w:vMerge w:val="continue"/>
            <w:vAlign w:val="center"/>
          </w:tcPr>
          <w:p>
            <w:pPr>
              <w:widowControl/>
              <w:spacing w:line="300" w:lineRule="exact"/>
              <w:ind w:left="-73" w:leftChars="-23" w:right="-64" w:rightChars="-20"/>
              <w:jc w:val="left"/>
              <w:rPr>
                <w:rFonts w:ascii="宋体" w:eastAsia="宋体"/>
                <w:kern w:val="0"/>
                <w:sz w:val="18"/>
                <w:szCs w:val="18"/>
              </w:rPr>
            </w:pPr>
          </w:p>
        </w:tc>
        <w:tc>
          <w:tcPr>
            <w:tcW w:w="2977" w:type="dxa"/>
            <w:vMerge w:val="continue"/>
            <w:vAlign w:val="center"/>
          </w:tcPr>
          <w:p>
            <w:pPr>
              <w:widowControl/>
              <w:spacing w:line="300" w:lineRule="exact"/>
              <w:ind w:left="-73" w:leftChars="-23" w:right="-64" w:rightChars="-20"/>
              <w:jc w:val="left"/>
              <w:rPr>
                <w:rFonts w:ascii="宋体" w:eastAsia="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272" w:type="dxa"/>
            <w:gridSpan w:val="4"/>
            <w:vMerge w:val="continue"/>
            <w:vAlign w:val="center"/>
          </w:tcPr>
          <w:p>
            <w:pPr>
              <w:widowControl/>
              <w:spacing w:line="300" w:lineRule="exact"/>
              <w:ind w:left="-73" w:leftChars="-23" w:right="-64" w:rightChars="-20"/>
              <w:jc w:val="left"/>
              <w:rPr>
                <w:rFonts w:ascii="宋体" w:eastAsia="宋体"/>
                <w:b/>
                <w:bCs/>
                <w:kern w:val="0"/>
                <w:sz w:val="22"/>
                <w:szCs w:val="22"/>
              </w:rPr>
            </w:pPr>
          </w:p>
        </w:tc>
        <w:tc>
          <w:tcPr>
            <w:tcW w:w="7229" w:type="dxa"/>
            <w:vMerge w:val="continue"/>
            <w:vAlign w:val="center"/>
          </w:tcPr>
          <w:p>
            <w:pPr>
              <w:widowControl/>
              <w:spacing w:line="300" w:lineRule="exact"/>
              <w:ind w:left="-73" w:leftChars="-23" w:right="-64" w:rightChars="-20"/>
              <w:jc w:val="left"/>
              <w:rPr>
                <w:rFonts w:ascii="宋体" w:eastAsia="宋体"/>
                <w:kern w:val="0"/>
                <w:sz w:val="18"/>
                <w:szCs w:val="18"/>
              </w:rPr>
            </w:pPr>
          </w:p>
        </w:tc>
        <w:tc>
          <w:tcPr>
            <w:tcW w:w="2977" w:type="dxa"/>
            <w:vMerge w:val="continue"/>
            <w:vAlign w:val="center"/>
          </w:tcPr>
          <w:p>
            <w:pPr>
              <w:widowControl/>
              <w:spacing w:line="300" w:lineRule="exact"/>
              <w:ind w:left="-73" w:leftChars="-23" w:right="-64" w:rightChars="-20"/>
              <w:jc w:val="left"/>
              <w:rPr>
                <w:rFonts w:ascii="宋体" w:eastAsia="宋体"/>
                <w:color w:val="000000"/>
                <w:kern w:val="0"/>
                <w:sz w:val="22"/>
                <w:szCs w:val="22"/>
              </w:rPr>
            </w:pPr>
          </w:p>
        </w:tc>
      </w:tr>
    </w:tbl>
    <w:p/>
    <w:sectPr>
      <w:pgSz w:w="16838" w:h="11906" w:orient="landscape"/>
      <w:pgMar w:top="1418" w:right="1134" w:bottom="1418"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sz w:val="28"/>
        <w:szCs w:val="28"/>
      </w:rPr>
      <w:t>-</w:t>
    </w:r>
    <w:sdt>
      <w:sdtPr>
        <w:rPr>
          <w:sz w:val="28"/>
          <w:szCs w:val="28"/>
        </w:rPr>
        <w:id w:val="12599577"/>
        <w:docPartObj>
          <w:docPartGallery w:val="AutoText"/>
        </w:docPartObj>
      </w:sdtPr>
      <w:sdtEndPr>
        <w:rPr>
          <w:sz w:val="18"/>
          <w:szCs w:val="32"/>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sdtContent>
    </w:sdt>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8"/>
        <w:szCs w:val="28"/>
      </w:rPr>
      <w:t>-</w:t>
    </w:r>
    <w:sdt>
      <w:sdtPr>
        <w:rPr>
          <w:sz w:val="28"/>
          <w:szCs w:val="28"/>
        </w:rPr>
        <w:id w:val="12599580"/>
        <w:docPartObj>
          <w:docPartGallery w:val="AutoText"/>
        </w:docPartObj>
      </w:sdtPr>
      <w:sdtEndPr>
        <w:rPr>
          <w:sz w:val="18"/>
          <w:szCs w:val="32"/>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82"/>
    <w:rsid w:val="001D3F34"/>
    <w:rsid w:val="00280F21"/>
    <w:rsid w:val="002B7E3B"/>
    <w:rsid w:val="003523DF"/>
    <w:rsid w:val="00420CFF"/>
    <w:rsid w:val="00485C82"/>
    <w:rsid w:val="005575D5"/>
    <w:rsid w:val="00580288"/>
    <w:rsid w:val="00612508"/>
    <w:rsid w:val="00653477"/>
    <w:rsid w:val="007A2C59"/>
    <w:rsid w:val="0082781E"/>
    <w:rsid w:val="00B64B89"/>
    <w:rsid w:val="00D310D7"/>
    <w:rsid w:val="00D81F95"/>
    <w:rsid w:val="00EE125F"/>
    <w:rsid w:val="00EE4FC6"/>
    <w:rsid w:val="00F451A3"/>
    <w:rsid w:val="00F619DE"/>
    <w:rsid w:val="00F82074"/>
    <w:rsid w:val="00FC032F"/>
    <w:rsid w:val="00FC788E"/>
    <w:rsid w:val="114E58A1"/>
    <w:rsid w:val="1B76358F"/>
    <w:rsid w:val="2B7558D9"/>
    <w:rsid w:val="393C0E5B"/>
    <w:rsid w:val="42AD17FE"/>
    <w:rsid w:val="4C784CA5"/>
    <w:rsid w:val="4C7A7A31"/>
    <w:rsid w:val="59CC128C"/>
    <w:rsid w:val="79B22D47"/>
    <w:rsid w:val="7E304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仿宋_GB2312" w:hAnsi="宋体" w:eastAsia="仿宋_GB2312" w:cs="宋体"/>
      <w:kern w:val="2"/>
      <w:sz w:val="18"/>
      <w:szCs w:val="18"/>
    </w:rPr>
  </w:style>
  <w:style w:type="character" w:customStyle="1" w:styleId="8">
    <w:name w:val="页脚 Char"/>
    <w:basedOn w:val="6"/>
    <w:link w:val="2"/>
    <w:qFormat/>
    <w:uiPriority w:val="99"/>
    <w:rPr>
      <w:rFonts w:ascii="仿宋_GB2312" w:hAnsi="宋体" w:eastAsia="仿宋_GB2312" w:cs="宋体"/>
      <w:kern w:val="2"/>
      <w:sz w:val="1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1398</Words>
  <Characters>7975</Characters>
  <Lines>66</Lines>
  <Paragraphs>18</Paragraphs>
  <TotalTime>0</TotalTime>
  <ScaleCrop>false</ScaleCrop>
  <LinksUpToDate>false</LinksUpToDate>
  <CharactersWithSpaces>9355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2020-07-07T04:45:00Z</dcterms:created>
  <dc:creator>xtzj</dc:creator>
  <cp:lastModifiedBy>C聚离j距离p</cp:lastModifiedBy>
  <cp:lastPrinted>2020-07-07T04:56:00Z</cp:lastPrinted>
  <dcterms:modified xsi:type="dcterms:W3CDTF">2022-03-16T02:57:58Z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3A89D67FF9A240B499E79BE72570E75B</vt:lpwstr>
  </property>
</Properties>
</file>