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AD330">
      <w:pPr>
        <w:spacing w:line="290" w:lineRule="auto"/>
        <w:jc w:val="both"/>
        <w:rPr>
          <w:rFonts w:hint="eastAsia" w:eastAsiaTheme="minorEastAsia"/>
        </w:rPr>
      </w:pPr>
      <w:bookmarkStart w:id="0" w:name="_GoBack"/>
      <w:bookmarkEnd w:id="0"/>
    </w:p>
    <w:p w14:paraId="3AD9778B">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银坞林场</w:t>
      </w:r>
      <w:r>
        <w:rPr>
          <w:rFonts w:hint="eastAsia" w:ascii="方正大标宋简体" w:hAnsi="Times New Roman" w:eastAsia="方正大标宋简体" w:cs="Times New Roman"/>
          <w:snapToGrid/>
          <w:kern w:val="2"/>
          <w:sz w:val="44"/>
          <w:szCs w:val="44"/>
        </w:rPr>
        <w:t xml:space="preserve"> 202</w:t>
      </w:r>
      <w:r>
        <w:rPr>
          <w:rFonts w:hint="eastAsia" w:ascii="方正大标宋简体" w:hAnsi="Times New Roman" w:eastAsia="方正大标宋简体" w:cs="Times New Roman"/>
          <w:snapToGrid/>
          <w:kern w:val="2"/>
          <w:sz w:val="44"/>
          <w:szCs w:val="44"/>
          <w:lang w:val="en-US" w:eastAsia="zh-CN"/>
        </w:rPr>
        <w:t>6</w:t>
      </w:r>
      <w:r>
        <w:rPr>
          <w:rFonts w:hint="eastAsia" w:ascii="方正大标宋简体" w:hAnsi="Times New Roman" w:eastAsia="方正大标宋简体" w:cs="Times New Roman"/>
          <w:snapToGrid/>
          <w:kern w:val="2"/>
          <w:sz w:val="44"/>
          <w:szCs w:val="44"/>
        </w:rPr>
        <w:t>年</w:t>
      </w:r>
      <w:r>
        <w:rPr>
          <w:rFonts w:hint="eastAsia" w:ascii="方正大标宋简体" w:hAnsi="Times New Roman" w:eastAsia="方正大标宋简体" w:cs="Times New Roman"/>
          <w:snapToGrid/>
          <w:kern w:val="2"/>
          <w:sz w:val="44"/>
          <w:szCs w:val="44"/>
          <w:lang w:eastAsia="zh-CN"/>
        </w:rPr>
        <w:t>部门</w:t>
      </w:r>
      <w:r>
        <w:rPr>
          <w:rFonts w:hint="eastAsia" w:ascii="方正大标宋简体" w:hAnsi="Times New Roman" w:eastAsia="方正大标宋简体" w:cs="Times New Roman"/>
          <w:snapToGrid/>
          <w:kern w:val="2"/>
          <w:sz w:val="44"/>
          <w:szCs w:val="44"/>
        </w:rPr>
        <w:t>预算</w:t>
      </w:r>
    </w:p>
    <w:p w14:paraId="214A25B4">
      <w:pPr>
        <w:spacing w:line="334" w:lineRule="auto"/>
        <w:rPr>
          <w:rFonts w:eastAsia="宋体"/>
        </w:rPr>
      </w:pPr>
    </w:p>
    <w:p w14:paraId="2387691B">
      <w:pPr>
        <w:widowControl w:val="0"/>
        <w:kinsoku/>
        <w:autoSpaceDE/>
        <w:autoSpaceDN/>
        <w:adjustRightInd/>
        <w:snapToGrid/>
        <w:jc w:val="center"/>
        <w:textAlignment w:val="auto"/>
      </w:pPr>
      <w:r>
        <w:rPr>
          <w:rFonts w:hint="eastAsia" w:ascii="黑体" w:hAnsi="黑体" w:eastAsia="黑体" w:cs="黑体"/>
          <w:snapToGrid/>
          <w:kern w:val="2"/>
          <w:sz w:val="32"/>
          <w:szCs w:val="32"/>
        </w:rPr>
        <w:t>目    录</w:t>
      </w:r>
    </w:p>
    <w:p w14:paraId="532BE71C">
      <w:pPr>
        <w:spacing w:line="347" w:lineRule="auto"/>
      </w:pPr>
    </w:p>
    <w:p w14:paraId="17D4800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概况</w:t>
      </w:r>
    </w:p>
    <w:p w14:paraId="799761D8">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w:t>
      </w:r>
      <w:r>
        <w:rPr>
          <w:rFonts w:hint="eastAsia" w:ascii="楷体" w:hAnsi="楷体" w:eastAsia="楷体" w:cs="楷体"/>
          <w:spacing w:val="-2"/>
          <w:sz w:val="32"/>
          <w:szCs w:val="32"/>
          <w:lang w:eastAsia="zh-CN"/>
        </w:rPr>
        <w:t>单位</w:t>
      </w:r>
      <w:r>
        <w:rPr>
          <w:rFonts w:ascii="楷体" w:hAnsi="楷体" w:eastAsia="楷体" w:cs="楷体"/>
          <w:spacing w:val="-2"/>
          <w:sz w:val="32"/>
          <w:szCs w:val="32"/>
        </w:rPr>
        <w:t>主要职责</w:t>
      </w:r>
    </w:p>
    <w:p w14:paraId="1B15619C">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69A2CA2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6</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单位</w:t>
      </w:r>
      <w:r>
        <w:rPr>
          <w:rFonts w:hint="eastAsia" w:ascii="黑体" w:hAnsi="黑体" w:eastAsia="黑体" w:cs="黑体"/>
          <w:snapToGrid/>
          <w:kern w:val="2"/>
          <w:sz w:val="32"/>
          <w:szCs w:val="32"/>
        </w:rPr>
        <w:t>预算表</w:t>
      </w:r>
    </w:p>
    <w:p w14:paraId="01C8773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71281AE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二、《收入总表》</w:t>
      </w:r>
    </w:p>
    <w:p w14:paraId="04DD66F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三、《支出总表》</w:t>
      </w:r>
    </w:p>
    <w:p w14:paraId="1EA93E7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2B2C31A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0449EFC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44BA999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2D5C3B3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294BCA1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5326276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69840DB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35E6DB9F">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6</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单位</w:t>
      </w:r>
      <w:r>
        <w:rPr>
          <w:rFonts w:hint="eastAsia" w:ascii="黑体" w:hAnsi="黑体" w:eastAsia="黑体" w:cs="黑体"/>
          <w:snapToGrid/>
          <w:kern w:val="2"/>
          <w:sz w:val="32"/>
          <w:szCs w:val="32"/>
        </w:rPr>
        <w:t>预算情况说明</w:t>
      </w:r>
    </w:p>
    <w:p w14:paraId="5A80476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6</w:t>
      </w:r>
      <w:r>
        <w:rPr>
          <w:rFonts w:hint="eastAsia" w:ascii="楷体" w:hAnsi="楷体" w:eastAsia="楷体" w:cs="楷体"/>
          <w:spacing w:val="1"/>
          <w:sz w:val="32"/>
          <w:szCs w:val="32"/>
        </w:rPr>
        <w:t>年预算收支情况说明</w:t>
      </w:r>
    </w:p>
    <w:p w14:paraId="181AB0A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6</w:t>
      </w:r>
      <w:r>
        <w:rPr>
          <w:rFonts w:hint="eastAsia" w:ascii="楷体" w:hAnsi="楷体" w:eastAsia="楷体" w:cs="楷体"/>
          <w:spacing w:val="1"/>
          <w:sz w:val="32"/>
          <w:szCs w:val="32"/>
        </w:rPr>
        <w:t>年"三公”经费预算情况说明</w:t>
      </w:r>
    </w:p>
    <w:p w14:paraId="0FFF2A61">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188311A8"/>
    <w:p w14:paraId="52916E19"/>
    <w:p w14:paraId="3292ECE0">
      <w:r>
        <w:br w:type="page"/>
      </w:r>
    </w:p>
    <w:p w14:paraId="1D070BDE"/>
    <w:p w14:paraId="1B75D45D">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概况</w:t>
      </w:r>
    </w:p>
    <w:p w14:paraId="52FD39FC">
      <w:pPr>
        <w:spacing w:before="214"/>
        <w:rPr>
          <w:rFonts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单位</w:t>
      </w:r>
      <w:r>
        <w:rPr>
          <w:rFonts w:hint="eastAsia" w:ascii="楷体" w:hAnsi="楷体" w:eastAsia="楷体" w:cs="楷体"/>
          <w:spacing w:val="13"/>
          <w:sz w:val="32"/>
          <w:szCs w:val="32"/>
        </w:rPr>
        <w:t>主要职责</w:t>
      </w:r>
    </w:p>
    <w:p w14:paraId="233E4758">
      <w:pPr>
        <w:bidi w:val="0"/>
      </w:pPr>
      <w:r>
        <w:rPr>
          <w:rFonts w:hint="eastAsia"/>
        </w:rPr>
        <w:t>(一)贯彻落实国家、省、市制定的各项林业方针、政策、法 律、法规；制定林场生态建设和产业发展规划，合理调整林业发展 布局，促进产业协调发展；拟订林场发展战略、中长期发展规划并 组织实施。</w:t>
      </w:r>
    </w:p>
    <w:p w14:paraId="0720C43A">
      <w:pPr>
        <w:bidi w:val="0"/>
      </w:pPr>
      <w:r>
        <w:rPr>
          <w:rFonts w:hint="eastAsia"/>
        </w:rPr>
        <w:t>(二)依据《中华人民共和国森林法》、《中华人民共和国森林  法实施条例》等法律法规，建设、保护国有林地、林木、湿地资源， 大力打击滥伐盗伐林木、乱占滥挖林地等破坏森林资源的行为，促  进生态文化建设。</w:t>
      </w:r>
    </w:p>
    <w:p w14:paraId="4ADAB1A8">
      <w:pPr>
        <w:bidi w:val="0"/>
      </w:pPr>
      <w:r>
        <w:rPr>
          <w:rFonts w:hint="eastAsia"/>
        </w:rPr>
        <w:t xml:space="preserve"> (三)组织生态公益林的保护和管理；制订林场造林绿化计划， 开展林木种苗培育工作，组织各类生态公益林的培育，承担在宜林地区植树、种草等生物措施防治水土流失工作。</w:t>
      </w:r>
    </w:p>
    <w:p w14:paraId="2D1D4499">
      <w:pPr>
        <w:bidi w:val="0"/>
      </w:pPr>
      <w:r>
        <w:rPr>
          <w:rFonts w:hint="eastAsia"/>
        </w:rPr>
        <w:t>(四)在县森林防火指挥部的指导下做好管护区域内的森林防 火工作，确保国有森林资源不受损失。</w:t>
      </w:r>
    </w:p>
    <w:p w14:paraId="01E15F77">
      <w:pPr>
        <w:bidi w:val="0"/>
      </w:pPr>
      <w:r>
        <w:rPr>
          <w:rFonts w:hint="eastAsia"/>
        </w:rPr>
        <w:t>(五)在上级主管部门的指导下，做好管护区域内森林资源培 育、野生动植物资源保护、林业有害生物防治工作。</w:t>
      </w:r>
    </w:p>
    <w:p w14:paraId="36AD252E">
      <w:pPr>
        <w:bidi w:val="0"/>
      </w:pPr>
      <w:r>
        <w:rPr>
          <w:rFonts w:hint="eastAsia"/>
        </w:rPr>
        <w:t>(六)完成县委、县政府及上级主管部门交办的其他工作。</w:t>
      </w:r>
    </w:p>
    <w:p w14:paraId="324E54EB">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1202B817">
      <w:pPr>
        <w:bidi w:val="0"/>
        <w:rPr>
          <w:rFonts w:hint="eastAsia"/>
        </w:rPr>
      </w:pPr>
      <w:r>
        <w:rPr>
          <w:rFonts w:hint="eastAsia"/>
        </w:rPr>
        <w:t>本单位内设内设6个股室和5个分场。6个内设股室为办公室、计财股、设计队（技术股）、采脂供销股、生产股、保卫股（含公益林管理、森林公园、苗圃）；5个分场为三龙分场、峙滩分场、鹅湖分场、东流分场、蛟潭分场。</w:t>
      </w:r>
    </w:p>
    <w:p w14:paraId="622273C4">
      <w:pPr>
        <w:bidi w:val="0"/>
      </w:pPr>
      <w:r>
        <w:rPr>
          <w:rFonts w:hint="eastAsia"/>
          <w:color w:val="auto"/>
        </w:rPr>
        <w:t>纳入本</w:t>
      </w:r>
      <w:r>
        <w:rPr>
          <w:rFonts w:hint="default"/>
          <w:color w:val="auto"/>
        </w:rPr>
        <w:t>单位</w:t>
      </w:r>
      <w:r>
        <w:rPr>
          <w:rFonts w:hint="eastAsia"/>
          <w:color w:val="auto"/>
        </w:rPr>
        <w:t>202</w:t>
      </w:r>
      <w:r>
        <w:rPr>
          <w:rFonts w:hint="eastAsia"/>
          <w:color w:val="auto"/>
          <w:lang w:val="en-US" w:eastAsia="zh-CN"/>
        </w:rPr>
        <w:t>6</w:t>
      </w:r>
      <w:r>
        <w:rPr>
          <w:rFonts w:hint="eastAsia"/>
          <w:color w:val="auto"/>
        </w:rPr>
        <w:t>年预算编制人数共</w:t>
      </w:r>
      <w:r>
        <w:rPr>
          <w:rFonts w:hint="eastAsia"/>
          <w:color w:val="auto"/>
          <w:lang w:val="en-US" w:eastAsia="zh-CN"/>
        </w:rPr>
        <w:t>23</w:t>
      </w:r>
      <w:r>
        <w:rPr>
          <w:rFonts w:hint="eastAsia"/>
          <w:color w:val="auto"/>
        </w:rPr>
        <w:t>人（其中事业人员</w:t>
      </w:r>
      <w:r>
        <w:rPr>
          <w:rFonts w:hint="eastAsia"/>
          <w:color w:val="auto"/>
          <w:lang w:val="en-US" w:eastAsia="zh-CN"/>
        </w:rPr>
        <w:t>16</w:t>
      </w:r>
      <w:r>
        <w:rPr>
          <w:rFonts w:hint="eastAsia"/>
          <w:color w:val="auto"/>
        </w:rPr>
        <w:t>人，退休人员</w:t>
      </w:r>
      <w:r>
        <w:rPr>
          <w:rFonts w:hint="eastAsia"/>
          <w:color w:val="auto"/>
          <w:lang w:val="en-US" w:eastAsia="zh-CN"/>
        </w:rPr>
        <w:t>7</w:t>
      </w:r>
      <w:r>
        <w:rPr>
          <w:rFonts w:hint="eastAsia"/>
          <w:color w:val="auto"/>
        </w:rPr>
        <w:t>人），实有在职人数</w:t>
      </w:r>
      <w:r>
        <w:rPr>
          <w:rFonts w:hint="eastAsia"/>
          <w:color w:val="auto"/>
          <w:lang w:val="en-US" w:eastAsia="zh-CN"/>
        </w:rPr>
        <w:t>57</w:t>
      </w:r>
      <w:r>
        <w:rPr>
          <w:rFonts w:hint="eastAsia"/>
          <w:color w:val="auto"/>
        </w:rPr>
        <w:t>人，其中事业人员</w:t>
      </w:r>
      <w:r>
        <w:rPr>
          <w:rFonts w:hint="eastAsia"/>
          <w:color w:val="auto"/>
          <w:lang w:val="en-US" w:eastAsia="zh-CN"/>
        </w:rPr>
        <w:t>16</w:t>
      </w:r>
      <w:r>
        <w:rPr>
          <w:rFonts w:hint="eastAsia"/>
          <w:color w:val="auto"/>
        </w:rPr>
        <w:t>人，编外人员</w:t>
      </w:r>
      <w:r>
        <w:rPr>
          <w:rFonts w:hint="eastAsia"/>
          <w:color w:val="auto"/>
          <w:lang w:val="en-US" w:eastAsia="zh-CN"/>
        </w:rPr>
        <w:t>41</w:t>
      </w:r>
      <w:r>
        <w:rPr>
          <w:rFonts w:hint="eastAsia"/>
          <w:color w:val="auto"/>
        </w:rPr>
        <w:t>人。</w:t>
      </w:r>
    </w:p>
    <w:p w14:paraId="1C36BC19"/>
    <w:p w14:paraId="20228A34">
      <w:pPr>
        <w:widowControl w:val="0"/>
        <w:kinsoku/>
        <w:autoSpaceDE/>
        <w:autoSpaceDN/>
        <w:adjustRightInd/>
        <w:snapToGrid/>
        <w:ind w:left="0" w:leftChars="0" w:firstLine="0" w:firstLineChars="0"/>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6</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单位</w:t>
      </w:r>
      <w:r>
        <w:rPr>
          <w:rFonts w:hint="eastAsia" w:ascii="黑体" w:hAnsi="黑体" w:eastAsia="黑体" w:cs="黑体"/>
          <w:snapToGrid/>
          <w:kern w:val="2"/>
          <w:sz w:val="32"/>
          <w:szCs w:val="32"/>
        </w:rPr>
        <w:t>预算表</w:t>
      </w:r>
    </w:p>
    <w:p w14:paraId="5126D589">
      <w:pPr>
        <w:spacing w:before="215"/>
        <w:ind w:firstLine="3550"/>
        <w:jc w:val="center"/>
        <w:rPr>
          <w:rFonts w:ascii="仿宋" w:hAnsi="仿宋" w:eastAsia="仿宋" w:cs="仿宋"/>
          <w:spacing w:val="17"/>
          <w:sz w:val="32"/>
          <w:szCs w:val="32"/>
        </w:rPr>
      </w:pPr>
      <w:r>
        <w:rPr>
          <w:rFonts w:ascii="仿宋" w:hAnsi="仿宋" w:eastAsia="仿宋" w:cs="仿宋"/>
          <w:spacing w:val="17"/>
          <w:sz w:val="32"/>
          <w:szCs w:val="32"/>
        </w:rPr>
        <w:t>(详见附表)</w:t>
      </w:r>
    </w:p>
    <w:p w14:paraId="2FACE70E">
      <w:pPr>
        <w:ind w:left="0" w:leftChars="0" w:firstLine="0" w:firstLineChars="0"/>
      </w:pPr>
    </w:p>
    <w:p w14:paraId="24DBB8E5">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6</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单位</w:t>
      </w:r>
      <w:r>
        <w:rPr>
          <w:rFonts w:hint="eastAsia" w:ascii="黑体" w:hAnsi="黑体" w:eastAsia="黑体" w:cs="黑体"/>
          <w:snapToGrid/>
          <w:kern w:val="2"/>
          <w:sz w:val="32"/>
          <w:szCs w:val="32"/>
        </w:rPr>
        <w:t>预算情况说明</w:t>
      </w:r>
    </w:p>
    <w:p w14:paraId="07290DAE">
      <w:pPr>
        <w:spacing w:before="214"/>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6</w:t>
      </w:r>
      <w:r>
        <w:rPr>
          <w:rFonts w:hint="eastAsia" w:ascii="楷体" w:hAnsi="楷体" w:eastAsia="楷体" w:cs="楷体"/>
          <w:spacing w:val="13"/>
          <w:sz w:val="32"/>
          <w:szCs w:val="32"/>
        </w:rPr>
        <w:t>年</w:t>
      </w:r>
      <w:r>
        <w:rPr>
          <w:rFonts w:hint="eastAsia" w:ascii="楷体" w:hAnsi="楷体" w:eastAsia="楷体" w:cs="楷体"/>
          <w:spacing w:val="13"/>
          <w:sz w:val="32"/>
          <w:szCs w:val="32"/>
          <w:lang w:eastAsia="zh-CN"/>
        </w:rPr>
        <w:t>单位</w:t>
      </w:r>
      <w:r>
        <w:rPr>
          <w:rFonts w:hint="eastAsia" w:ascii="楷体" w:hAnsi="楷体" w:eastAsia="楷体" w:cs="楷体"/>
          <w:spacing w:val="13"/>
          <w:sz w:val="32"/>
          <w:szCs w:val="32"/>
        </w:rPr>
        <w:t>预算收支情况说明</w:t>
      </w:r>
    </w:p>
    <w:p w14:paraId="0A8AC2E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6952BFBD">
      <w:pPr>
        <w:bidi w:val="0"/>
        <w:rPr>
          <w:color w:val="auto"/>
        </w:rPr>
      </w:pPr>
      <w:r>
        <w:rPr>
          <w:rFonts w:hint="eastAsia"/>
        </w:rPr>
        <w:t>202</w:t>
      </w:r>
      <w:r>
        <w:rPr>
          <w:rFonts w:hint="eastAsia"/>
          <w:lang w:val="en-US" w:eastAsia="zh-CN"/>
        </w:rPr>
        <w:t>6</w:t>
      </w:r>
      <w:r>
        <w:rPr>
          <w:rFonts w:hint="eastAsia"/>
        </w:rPr>
        <w:t>年收入预算总额</w:t>
      </w:r>
      <w:r>
        <w:rPr>
          <w:rFonts w:hint="eastAsia"/>
          <w:lang w:val="en-US" w:eastAsia="zh-CN"/>
        </w:rPr>
        <w:t>1100.87</w:t>
      </w:r>
      <w:r>
        <w:rPr>
          <w:rFonts w:hint="eastAsia"/>
        </w:rPr>
        <w:t>万元，</w:t>
      </w:r>
      <w:r>
        <w:rPr>
          <w:rFonts w:hint="eastAsia"/>
          <w:lang w:eastAsia="zh-CN"/>
        </w:rPr>
        <w:t>其中</w:t>
      </w:r>
      <w:r>
        <w:rPr>
          <w:rFonts w:hint="eastAsia"/>
          <w:lang w:val="en-US" w:eastAsia="zh-CN"/>
        </w:rPr>
        <w:t>财政拨款262.48万元，上</w:t>
      </w:r>
      <w:r>
        <w:rPr>
          <w:rFonts w:hint="eastAsia"/>
          <w:color w:val="auto"/>
          <w:lang w:val="en-US" w:eastAsia="zh-CN"/>
        </w:rPr>
        <w:t>年结转（结余）838.39万元。</w:t>
      </w:r>
      <w:r>
        <w:rPr>
          <w:rFonts w:hint="eastAsia"/>
          <w:color w:val="auto"/>
        </w:rPr>
        <w:t>预算总额比去年</w:t>
      </w:r>
      <w:r>
        <w:rPr>
          <w:rFonts w:hint="eastAsia"/>
          <w:color w:val="auto"/>
          <w:lang w:val="en-US" w:eastAsia="zh-CN"/>
        </w:rPr>
        <w:t>增加853.43</w:t>
      </w:r>
      <w:r>
        <w:rPr>
          <w:rFonts w:hint="eastAsia"/>
          <w:color w:val="auto"/>
        </w:rPr>
        <w:t>万元，主要由于</w:t>
      </w:r>
      <w:r>
        <w:rPr>
          <w:rFonts w:hint="eastAsia"/>
          <w:color w:val="auto"/>
          <w:lang w:val="en-US" w:eastAsia="zh-CN"/>
        </w:rPr>
        <w:t>2026年上年结转资金较多</w:t>
      </w:r>
      <w:r>
        <w:rPr>
          <w:rFonts w:hint="eastAsia"/>
          <w:color w:val="auto"/>
        </w:rPr>
        <w:t>。</w:t>
      </w:r>
    </w:p>
    <w:p w14:paraId="4FD062A4">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(二)支出预算情况</w:t>
      </w:r>
    </w:p>
    <w:p w14:paraId="7EA72FF4">
      <w:pPr>
        <w:bidi w:val="0"/>
        <w:rPr>
          <w:color w:val="auto"/>
        </w:rPr>
      </w:pPr>
      <w:r>
        <w:rPr>
          <w:rFonts w:hint="eastAsia"/>
          <w:color w:val="auto"/>
        </w:rPr>
        <w:t>202</w:t>
      </w:r>
      <w:r>
        <w:rPr>
          <w:rFonts w:hint="eastAsia"/>
          <w:color w:val="auto"/>
          <w:lang w:val="en-US" w:eastAsia="zh-CN"/>
        </w:rPr>
        <w:t>6</w:t>
      </w:r>
      <w:r>
        <w:rPr>
          <w:rFonts w:hint="eastAsia"/>
          <w:color w:val="auto"/>
        </w:rPr>
        <w:t>年支出预算总额</w:t>
      </w:r>
      <w:r>
        <w:rPr>
          <w:rFonts w:hint="eastAsia"/>
          <w:color w:val="auto"/>
          <w:lang w:val="en-US" w:eastAsia="zh-CN"/>
        </w:rPr>
        <w:t>1100.87</w:t>
      </w:r>
      <w:r>
        <w:rPr>
          <w:rFonts w:hint="eastAsia"/>
          <w:color w:val="auto"/>
        </w:rPr>
        <w:t>万元，较去年</w:t>
      </w:r>
      <w:r>
        <w:rPr>
          <w:rFonts w:hint="eastAsia"/>
          <w:color w:val="auto"/>
          <w:lang w:val="en-US" w:eastAsia="zh-CN"/>
        </w:rPr>
        <w:t>增加853.43</w:t>
      </w:r>
      <w:r>
        <w:rPr>
          <w:rFonts w:hint="eastAsia"/>
          <w:color w:val="auto"/>
        </w:rPr>
        <w:t>万元，主要由于编制预算时收入预算与支出预算总额相等，收入预算</w:t>
      </w:r>
      <w:r>
        <w:rPr>
          <w:rFonts w:hint="eastAsia"/>
          <w:color w:val="auto"/>
          <w:lang w:val="en-US" w:eastAsia="zh-CN"/>
        </w:rPr>
        <w:t>增加</w:t>
      </w:r>
      <w:r>
        <w:rPr>
          <w:rFonts w:hint="eastAsia"/>
          <w:color w:val="auto"/>
        </w:rPr>
        <w:t>导致支出预算</w:t>
      </w:r>
      <w:r>
        <w:rPr>
          <w:rFonts w:hint="eastAsia"/>
          <w:color w:val="auto"/>
          <w:lang w:eastAsia="zh-CN"/>
        </w:rPr>
        <w:t>同步</w:t>
      </w:r>
      <w:r>
        <w:rPr>
          <w:rFonts w:hint="eastAsia"/>
          <w:color w:val="auto"/>
          <w:lang w:val="en-US" w:eastAsia="zh-CN"/>
        </w:rPr>
        <w:t>增加</w:t>
      </w:r>
      <w:r>
        <w:rPr>
          <w:rFonts w:hint="eastAsia"/>
          <w:color w:val="auto"/>
        </w:rPr>
        <w:t>。</w:t>
      </w:r>
    </w:p>
    <w:p w14:paraId="575D27EF">
      <w:pPr>
        <w:bidi w:val="0"/>
        <w:rPr>
          <w:rFonts w:hint="eastAsia"/>
          <w:lang w:eastAsia="zh-CN"/>
        </w:rPr>
      </w:pPr>
      <w:r>
        <w:rPr>
          <w:rFonts w:hint="eastAsia"/>
        </w:rPr>
        <w:t>按资金性质划分：基本支出</w:t>
      </w:r>
      <w:r>
        <w:rPr>
          <w:rFonts w:hint="eastAsia"/>
          <w:lang w:val="en-US" w:eastAsia="zh-CN"/>
        </w:rPr>
        <w:t>262.48</w:t>
      </w:r>
      <w:r>
        <w:rPr>
          <w:rFonts w:hint="eastAsia"/>
        </w:rPr>
        <w:t>万元，项目支出</w:t>
      </w:r>
      <w:r>
        <w:rPr>
          <w:rFonts w:hint="eastAsia"/>
          <w:lang w:val="en-US" w:eastAsia="zh-CN"/>
        </w:rPr>
        <w:t>838.39</w:t>
      </w:r>
      <w:r>
        <w:rPr>
          <w:rFonts w:hint="eastAsia"/>
        </w:rPr>
        <w:t>万元</w:t>
      </w:r>
      <w:r>
        <w:rPr>
          <w:rFonts w:hint="eastAsia"/>
          <w:lang w:eastAsia="zh-CN"/>
        </w:rPr>
        <w:t>。</w:t>
      </w:r>
    </w:p>
    <w:p w14:paraId="08D95590">
      <w:pPr>
        <w:bidi w:val="0"/>
      </w:pPr>
      <w:r>
        <w:rPr>
          <w:rFonts w:hint="eastAsia"/>
        </w:rPr>
        <w:t>按支出功能科目分类：2080505</w:t>
      </w:r>
      <w:r>
        <w:rPr>
          <w:rFonts w:hint="eastAsia"/>
          <w:lang w:eastAsia="zh-CN"/>
        </w:rPr>
        <w:t>（机关事业单位基本养老保险缴费）支出</w:t>
      </w:r>
      <w:r>
        <w:rPr>
          <w:rFonts w:hint="eastAsia"/>
        </w:rPr>
        <w:t>功能科目</w:t>
      </w:r>
      <w:r>
        <w:rPr>
          <w:rFonts w:hint="eastAsia"/>
          <w:lang w:val="en-US" w:eastAsia="zh-CN"/>
        </w:rPr>
        <w:t>23.2</w:t>
      </w:r>
      <w:r>
        <w:rPr>
          <w:rFonts w:hint="eastAsia"/>
        </w:rPr>
        <w:t>万元</w:t>
      </w:r>
      <w:r>
        <w:rPr>
          <w:rFonts w:hint="eastAsia"/>
          <w:lang w:eastAsia="zh-CN"/>
        </w:rPr>
        <w:t>；</w:t>
      </w:r>
      <w:r>
        <w:rPr>
          <w:rFonts w:hint="eastAsia"/>
          <w:lang w:val="en-US" w:eastAsia="zh-CN"/>
        </w:rPr>
        <w:t>2080506</w:t>
      </w:r>
      <w:r>
        <w:rPr>
          <w:rFonts w:hint="eastAsia"/>
          <w:lang w:eastAsia="zh-CN"/>
        </w:rPr>
        <w:t>（机关事业单位职业年金缴费支出）</w:t>
      </w:r>
      <w:r>
        <w:rPr>
          <w:rFonts w:hint="eastAsia"/>
        </w:rPr>
        <w:t>功能科目</w:t>
      </w:r>
      <w:r>
        <w:rPr>
          <w:rFonts w:hint="eastAsia"/>
          <w:lang w:val="en-US" w:eastAsia="zh-CN"/>
        </w:rPr>
        <w:t>11.6</w:t>
      </w:r>
      <w:r>
        <w:rPr>
          <w:rFonts w:hint="eastAsia"/>
        </w:rPr>
        <w:t>万元</w:t>
      </w:r>
      <w:r>
        <w:rPr>
          <w:rFonts w:hint="eastAsia"/>
          <w:lang w:eastAsia="zh-CN"/>
        </w:rPr>
        <w:t>；</w:t>
      </w:r>
      <w:r>
        <w:rPr>
          <w:rFonts w:hint="eastAsia"/>
          <w:lang w:val="en-US" w:eastAsia="zh-CN"/>
        </w:rPr>
        <w:t>2101102（事业单位医疗）功能科目10.21万元；2101199（其他行政事业单位医疗支出）功能科目0.29万元；2110507（停伐补助）功能科目600万元；2110599（其他森林保护修复支出）功能科目144.27万元；</w:t>
      </w:r>
      <w:r>
        <w:rPr>
          <w:rFonts w:hint="eastAsia"/>
        </w:rPr>
        <w:t>2130204</w:t>
      </w:r>
      <w:r>
        <w:rPr>
          <w:rFonts w:hint="eastAsia"/>
          <w:lang w:eastAsia="zh-CN"/>
        </w:rPr>
        <w:t>（事业机构）</w:t>
      </w:r>
      <w:r>
        <w:rPr>
          <w:rFonts w:hint="eastAsia"/>
        </w:rPr>
        <w:t>功能科目</w:t>
      </w:r>
      <w:r>
        <w:rPr>
          <w:rFonts w:hint="eastAsia"/>
          <w:lang w:val="en-US" w:eastAsia="zh-CN"/>
        </w:rPr>
        <w:t>197.77</w:t>
      </w:r>
      <w:r>
        <w:rPr>
          <w:rFonts w:hint="eastAsia"/>
        </w:rPr>
        <w:t>万元</w:t>
      </w:r>
      <w:r>
        <w:rPr>
          <w:rFonts w:hint="eastAsia"/>
          <w:lang w:eastAsia="zh-CN"/>
        </w:rPr>
        <w:t>；</w:t>
      </w:r>
      <w:r>
        <w:rPr>
          <w:rFonts w:hint="eastAsia"/>
          <w:lang w:val="en-US" w:eastAsia="zh-CN"/>
        </w:rPr>
        <w:t>2130205（森林资源培育）功能科目94.12万元；2210201（住房公积金）功能科目19.41万元</w:t>
      </w:r>
      <w:r>
        <w:rPr>
          <w:rFonts w:hint="eastAsia"/>
        </w:rPr>
        <w:t>。</w:t>
      </w:r>
    </w:p>
    <w:p w14:paraId="3D328FE4">
      <w:pPr>
        <w:bidi w:val="0"/>
      </w:pPr>
      <w:r>
        <w:rPr>
          <w:rFonts w:hint="eastAsia"/>
        </w:rPr>
        <w:t>按经济功能科目分类：工资福利支出</w:t>
      </w:r>
      <w:r>
        <w:rPr>
          <w:rFonts w:hint="eastAsia"/>
          <w:lang w:val="en-US" w:eastAsia="zh-CN"/>
        </w:rPr>
        <w:t>250.1</w:t>
      </w:r>
      <w:r>
        <w:rPr>
          <w:rFonts w:hint="eastAsia"/>
        </w:rPr>
        <w:t>万元，商品服务支出</w:t>
      </w:r>
      <w:r>
        <w:rPr>
          <w:rFonts w:hint="eastAsia"/>
          <w:lang w:val="en-US" w:eastAsia="zh-CN"/>
        </w:rPr>
        <w:t>12.38</w:t>
      </w:r>
      <w:r>
        <w:rPr>
          <w:rFonts w:hint="eastAsia"/>
        </w:rPr>
        <w:t>万元，对</w:t>
      </w:r>
      <w:r>
        <w:rPr>
          <w:rFonts w:hint="eastAsia"/>
          <w:lang w:eastAsia="zh-CN"/>
        </w:rPr>
        <w:t>企业补助</w:t>
      </w:r>
      <w:r>
        <w:rPr>
          <w:rFonts w:hint="eastAsia"/>
          <w:lang w:val="en-US" w:eastAsia="zh-CN"/>
        </w:rPr>
        <w:t>659.12</w:t>
      </w:r>
      <w:r>
        <w:rPr>
          <w:rFonts w:hint="eastAsia"/>
        </w:rPr>
        <w:t>万元</w:t>
      </w:r>
      <w:r>
        <w:rPr>
          <w:rFonts w:hint="eastAsia"/>
          <w:lang w:eastAsia="zh-CN"/>
        </w:rPr>
        <w:t>，其他支出</w:t>
      </w:r>
      <w:r>
        <w:rPr>
          <w:rFonts w:hint="eastAsia"/>
          <w:lang w:val="en-US" w:eastAsia="zh-CN"/>
        </w:rPr>
        <w:t>179.27万元</w:t>
      </w:r>
      <w:r>
        <w:rPr>
          <w:rFonts w:hint="eastAsia"/>
        </w:rPr>
        <w:t>。</w:t>
      </w:r>
    </w:p>
    <w:p w14:paraId="77F4986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7B2B2644">
      <w:pPr>
        <w:bidi w:val="0"/>
        <w:rPr>
          <w:color w:val="auto"/>
        </w:rPr>
      </w:pPr>
      <w:r>
        <w:rPr>
          <w:rFonts w:hint="eastAsia"/>
        </w:rPr>
        <w:t>202</w:t>
      </w:r>
      <w:r>
        <w:rPr>
          <w:rFonts w:hint="eastAsia"/>
          <w:lang w:val="en-US" w:eastAsia="zh-CN"/>
        </w:rPr>
        <w:t>6</w:t>
      </w:r>
      <w:r>
        <w:rPr>
          <w:rFonts w:hint="eastAsia"/>
        </w:rPr>
        <w:t>年公共财政拨款支出预算为</w:t>
      </w:r>
      <w:r>
        <w:rPr>
          <w:rFonts w:hint="eastAsia"/>
          <w:lang w:val="en-US" w:eastAsia="zh-CN"/>
        </w:rPr>
        <w:t>262.48</w:t>
      </w:r>
      <w:r>
        <w:rPr>
          <w:rFonts w:hint="eastAsia"/>
        </w:rPr>
        <w:t>万元，</w:t>
      </w:r>
      <w:r>
        <w:rPr>
          <w:rFonts w:hint="eastAsia"/>
          <w:color w:val="auto"/>
        </w:rPr>
        <w:t>较上年</w:t>
      </w:r>
      <w:r>
        <w:rPr>
          <w:rFonts w:hint="eastAsia"/>
          <w:color w:val="auto"/>
          <w:lang w:eastAsia="zh-CN"/>
        </w:rPr>
        <w:t>增加</w:t>
      </w:r>
      <w:r>
        <w:rPr>
          <w:rFonts w:hint="eastAsia"/>
          <w:color w:val="auto"/>
          <w:lang w:val="en-US" w:eastAsia="zh-CN"/>
        </w:rPr>
        <w:t>23.41</w:t>
      </w:r>
      <w:r>
        <w:rPr>
          <w:rFonts w:hint="eastAsia"/>
          <w:color w:val="auto"/>
        </w:rPr>
        <w:t>万元。</w:t>
      </w:r>
    </w:p>
    <w:p w14:paraId="0E8D008C">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(四)政府性基金情况</w:t>
      </w:r>
    </w:p>
    <w:p w14:paraId="6E7ED15D">
      <w:pPr>
        <w:bidi w:val="0"/>
      </w:pPr>
      <w:r>
        <w:rPr>
          <w:rFonts w:hint="eastAsia"/>
        </w:rPr>
        <w:t>202</w:t>
      </w:r>
      <w:r>
        <w:rPr>
          <w:rFonts w:hint="eastAsia"/>
          <w:lang w:val="en-US" w:eastAsia="zh-CN"/>
        </w:rPr>
        <w:t>6</w:t>
      </w:r>
      <w:r>
        <w:rPr>
          <w:rFonts w:hint="eastAsia"/>
        </w:rPr>
        <w:t>年没有政府性基金预算支出。</w:t>
      </w:r>
    </w:p>
    <w:p w14:paraId="611F05B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42362C13">
      <w:pPr>
        <w:bidi w:val="0"/>
      </w:pPr>
      <w:r>
        <w:rPr>
          <w:rFonts w:hint="eastAsia"/>
        </w:rPr>
        <w:t>202</w:t>
      </w:r>
      <w:r>
        <w:rPr>
          <w:rFonts w:hint="eastAsia"/>
          <w:lang w:val="en-US" w:eastAsia="zh-CN"/>
        </w:rPr>
        <w:t>6</w:t>
      </w:r>
      <w:r>
        <w:rPr>
          <w:rFonts w:hint="eastAsia"/>
        </w:rPr>
        <w:t>年没有使用国有资本经营预算拨款安排的支出。</w:t>
      </w:r>
    </w:p>
    <w:p w14:paraId="4FF989A0">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kern w:val="2"/>
          <w:sz w:val="32"/>
          <w:szCs w:val="32"/>
        </w:rPr>
        <w:t>(六)机关运行经费等重要事项的说</w:t>
      </w:r>
      <w:r>
        <w:rPr>
          <w:rFonts w:hint="eastAsia" w:ascii="仿宋_GB2312" w:hAnsi="Times New Roman" w:eastAsia="仿宋_GB2312" w:cs="Times New Roman"/>
          <w:snapToGrid/>
          <w:color w:val="auto"/>
          <w:kern w:val="2"/>
          <w:sz w:val="32"/>
          <w:szCs w:val="32"/>
        </w:rPr>
        <w:t>明</w:t>
      </w:r>
    </w:p>
    <w:p w14:paraId="0E8214A2">
      <w:pPr>
        <w:bidi w:val="0"/>
        <w:rPr>
          <w:rFonts w:hint="default" w:eastAsia="宋体"/>
          <w:color w:val="auto"/>
          <w:lang w:val="en-US" w:eastAsia="zh-CN"/>
        </w:rPr>
      </w:pPr>
      <w:r>
        <w:rPr>
          <w:rFonts w:hint="eastAsia"/>
          <w:color w:val="auto"/>
        </w:rPr>
        <w:t>202</w:t>
      </w:r>
      <w:r>
        <w:rPr>
          <w:rFonts w:hint="eastAsia"/>
          <w:color w:val="auto"/>
          <w:lang w:val="en-US" w:eastAsia="zh-CN"/>
        </w:rPr>
        <w:t>6</w:t>
      </w:r>
      <w:r>
        <w:rPr>
          <w:rFonts w:hint="eastAsia"/>
          <w:color w:val="auto"/>
        </w:rPr>
        <w:t>年部门机关运行费预算</w:t>
      </w:r>
      <w:r>
        <w:rPr>
          <w:rFonts w:hint="eastAsia"/>
          <w:color w:val="auto"/>
          <w:lang w:val="en-US" w:eastAsia="zh-CN"/>
        </w:rPr>
        <w:t>12.38</w:t>
      </w:r>
      <w:r>
        <w:rPr>
          <w:rFonts w:hint="eastAsia"/>
          <w:color w:val="auto"/>
        </w:rPr>
        <w:t>万元，比202</w:t>
      </w:r>
      <w:r>
        <w:rPr>
          <w:rFonts w:hint="eastAsia"/>
          <w:color w:val="auto"/>
          <w:lang w:val="en-US" w:eastAsia="zh-CN"/>
        </w:rPr>
        <w:t>5</w:t>
      </w:r>
      <w:r>
        <w:rPr>
          <w:rFonts w:hint="eastAsia"/>
          <w:color w:val="auto"/>
        </w:rPr>
        <w:t>年预算</w:t>
      </w:r>
      <w:r>
        <w:rPr>
          <w:rFonts w:hint="eastAsia"/>
          <w:color w:val="auto"/>
          <w:lang w:val="en-US" w:eastAsia="zh-CN"/>
        </w:rPr>
        <w:t>减少0.8</w:t>
      </w:r>
      <w:r>
        <w:rPr>
          <w:rFonts w:hint="eastAsia"/>
          <w:color w:val="auto"/>
        </w:rPr>
        <w:t>万元</w:t>
      </w:r>
      <w:r>
        <w:rPr>
          <w:rFonts w:hint="eastAsia"/>
          <w:color w:val="auto"/>
          <w:lang w:eastAsia="zh-CN"/>
        </w:rPr>
        <w:t>，</w:t>
      </w:r>
      <w:r>
        <w:rPr>
          <w:rFonts w:hint="eastAsia"/>
          <w:color w:val="auto"/>
          <w:lang w:val="en-US" w:eastAsia="zh-CN"/>
        </w:rPr>
        <w:t>减少</w:t>
      </w:r>
      <w:r>
        <w:rPr>
          <w:rFonts w:hint="eastAsia"/>
          <w:color w:val="auto"/>
          <w:lang w:eastAsia="zh-CN"/>
        </w:rPr>
        <w:t>了</w:t>
      </w:r>
      <w:r>
        <w:rPr>
          <w:rFonts w:hint="eastAsia"/>
          <w:color w:val="auto"/>
          <w:lang w:val="en-US" w:eastAsia="zh-CN"/>
        </w:rPr>
        <w:t>6.07%。</w:t>
      </w:r>
    </w:p>
    <w:p w14:paraId="45676D47">
      <w:pPr>
        <w:bidi w:val="0"/>
      </w:pPr>
      <w:r>
        <w:rPr>
          <w:rFonts w:hint="eastAsi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F12C77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02EED59E">
      <w:pPr>
        <w:bidi w:val="0"/>
      </w:pPr>
      <w:r>
        <w:rPr>
          <w:rFonts w:hint="eastAsia"/>
        </w:rPr>
        <w:t>202</w:t>
      </w:r>
      <w:r>
        <w:rPr>
          <w:rFonts w:hint="eastAsia"/>
          <w:lang w:val="en-US" w:eastAsia="zh-CN"/>
        </w:rPr>
        <w:t>6</w:t>
      </w:r>
      <w:r>
        <w:rPr>
          <w:rFonts w:hint="eastAsia"/>
        </w:rPr>
        <w:t>年单位政府采购总额</w:t>
      </w:r>
      <w:r>
        <w:rPr>
          <w:rFonts w:hint="eastAsia"/>
          <w:lang w:val="en-US" w:eastAsia="zh-CN"/>
        </w:rPr>
        <w:t>726.50</w:t>
      </w:r>
      <w:r>
        <w:rPr>
          <w:rFonts w:hint="eastAsia"/>
        </w:rPr>
        <w:t>万元，全部为政府采购</w:t>
      </w:r>
      <w:r>
        <w:rPr>
          <w:rFonts w:hint="eastAsia"/>
          <w:lang w:val="en-US" w:eastAsia="zh-CN"/>
        </w:rPr>
        <w:t>服务</w:t>
      </w:r>
      <w:r>
        <w:rPr>
          <w:rFonts w:hint="eastAsia"/>
        </w:rPr>
        <w:t>预算。</w:t>
      </w:r>
    </w:p>
    <w:p w14:paraId="5F2969B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10BD4D80">
      <w:pPr>
        <w:bidi w:val="0"/>
        <w:rPr>
          <w:rFonts w:hint="eastAsia"/>
          <w:color w:val="auto"/>
          <w:highlight w:val="none"/>
        </w:rPr>
      </w:pPr>
      <w:r>
        <w:rPr>
          <w:rFonts w:hint="eastAsia"/>
          <w:color w:val="auto"/>
        </w:rPr>
        <w:t>截至202</w:t>
      </w:r>
      <w:r>
        <w:rPr>
          <w:rFonts w:hint="eastAsia"/>
          <w:color w:val="auto"/>
          <w:lang w:val="en-US" w:eastAsia="zh-CN"/>
        </w:rPr>
        <w:t>5</w:t>
      </w:r>
      <w:r>
        <w:rPr>
          <w:rFonts w:hint="eastAsia"/>
          <w:color w:val="auto"/>
        </w:rPr>
        <w:t>年</w:t>
      </w:r>
      <w:r>
        <w:rPr>
          <w:rFonts w:hint="eastAsia"/>
          <w:color w:val="auto"/>
          <w:lang w:val="en-US" w:eastAsia="zh-CN"/>
        </w:rPr>
        <w:t>12</w:t>
      </w:r>
      <w:r>
        <w:rPr>
          <w:rFonts w:hint="eastAsia"/>
          <w:color w:val="auto"/>
        </w:rPr>
        <w:t>月31日，</w:t>
      </w:r>
      <w:r>
        <w:rPr>
          <w:rFonts w:hint="eastAsia"/>
          <w:color w:val="auto"/>
          <w:highlight w:val="none"/>
          <w:lang w:eastAsia="zh-CN"/>
        </w:rPr>
        <w:t>单位</w:t>
      </w:r>
      <w:r>
        <w:rPr>
          <w:rFonts w:hint="eastAsia"/>
          <w:color w:val="auto"/>
          <w:highlight w:val="none"/>
        </w:rPr>
        <w:t>共有车辆</w:t>
      </w:r>
      <w:r>
        <w:rPr>
          <w:rFonts w:hint="eastAsia"/>
          <w:color w:val="auto"/>
          <w:highlight w:val="none"/>
          <w:lang w:val="en-US" w:eastAsia="zh-CN"/>
        </w:rPr>
        <w:t>2</w:t>
      </w:r>
      <w:r>
        <w:rPr>
          <w:rFonts w:hint="eastAsia"/>
          <w:color w:val="auto"/>
          <w:highlight w:val="none"/>
        </w:rPr>
        <w:t>辆。</w:t>
      </w:r>
    </w:p>
    <w:p w14:paraId="432D1FE2">
      <w:pPr>
        <w:bidi w:val="0"/>
        <w:rPr>
          <w:color w:val="auto"/>
          <w:szCs w:val="28"/>
          <w:highlight w:val="none"/>
          <w:shd w:val="clear" w:color="auto" w:fill="auto"/>
        </w:rPr>
      </w:pPr>
      <w:r>
        <w:rPr>
          <w:rFonts w:hint="eastAsia"/>
        </w:rPr>
        <w:t>202</w:t>
      </w:r>
      <w:r>
        <w:rPr>
          <w:rFonts w:hint="eastAsia"/>
          <w:lang w:val="en-US" w:eastAsia="zh-CN"/>
        </w:rPr>
        <w:t>6</w:t>
      </w:r>
      <w:r>
        <w:rPr>
          <w:rFonts w:hint="eastAsia"/>
        </w:rPr>
        <w:t>年</w:t>
      </w:r>
      <w:r>
        <w:rPr>
          <w:rFonts w:hint="eastAsia"/>
          <w:lang w:eastAsia="zh-CN"/>
        </w:rPr>
        <w:t>单位</w:t>
      </w:r>
      <w:r>
        <w:rPr>
          <w:rFonts w:hint="eastAsia"/>
        </w:rPr>
        <w:t>预算</w:t>
      </w:r>
      <w:r>
        <w:rPr>
          <w:rFonts w:hint="eastAsia"/>
          <w:lang w:eastAsia="zh-CN"/>
        </w:rPr>
        <w:t>没有</w:t>
      </w:r>
      <w:r>
        <w:rPr>
          <w:rFonts w:hint="eastAsia"/>
        </w:rPr>
        <w:t>安排购置车辆，没有安排购置单位价值200万元以上大型设备。</w:t>
      </w:r>
    </w:p>
    <w:p w14:paraId="1A94813A">
      <w:pPr>
        <w:widowControl w:val="0"/>
        <w:numPr>
          <w:ilvl w:val="0"/>
          <w:numId w:val="1"/>
        </w:numPr>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shd w:val="clear" w:color="auto" w:fill="auto"/>
        </w:rPr>
      </w:pPr>
      <w:r>
        <w:rPr>
          <w:rFonts w:hint="eastAsia" w:ascii="仿宋_GB2312" w:hAnsi="Times New Roman" w:eastAsia="仿宋_GB2312" w:cs="Times New Roman"/>
          <w:snapToGrid/>
          <w:kern w:val="2"/>
          <w:sz w:val="32"/>
          <w:szCs w:val="32"/>
          <w:shd w:val="clear" w:color="auto" w:fill="auto"/>
        </w:rPr>
        <w:t>项目情况说明</w:t>
      </w:r>
    </w:p>
    <w:p w14:paraId="1D96A039">
      <w:pPr>
        <w:rPr>
          <w:rFonts w:hint="eastAsia"/>
          <w:color w:val="auto"/>
          <w:lang w:val="en-US" w:eastAsia="zh-CN"/>
        </w:rPr>
      </w:pPr>
      <w:r>
        <w:rPr>
          <w:rFonts w:hint="eastAsia"/>
          <w:color w:val="auto"/>
          <w:lang w:val="en-US" w:eastAsia="zh-CN"/>
        </w:rPr>
        <w:t>2026年度浮梁县银坞林场共安排1个项目，总预算支出96万元，其中省级补助资金74万元，单位自筹22万元。</w:t>
      </w:r>
    </w:p>
    <w:p w14:paraId="00666161">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1、乡土珍贵树种人工集约林栽培项目（特定目标类）</w:t>
      </w:r>
    </w:p>
    <w:p w14:paraId="7C3CFF7E">
      <w:pPr>
        <w:bidi w:val="0"/>
        <w:rPr>
          <w:rFonts w:hint="eastAsia"/>
          <w:lang w:val="en-US" w:eastAsia="zh-CN"/>
        </w:rPr>
      </w:pPr>
      <w:r>
        <w:rPr>
          <w:rFonts w:hint="eastAsia"/>
          <w:lang w:val="en-US" w:eastAsia="zh-CN"/>
        </w:rPr>
        <w:t>1）项目概述：通过集约人工林栽培措施，着力培育乡土用材林、珍贵树种和松脂原料林，推动林场森林资源培育转型升级，达到提质增效，推动林场可持续发展，同时带动林农就业增收，助力乡村振兴。</w:t>
      </w:r>
    </w:p>
    <w:p w14:paraId="42515742">
      <w:pPr>
        <w:bidi w:val="0"/>
        <w:rPr>
          <w:rFonts w:hint="eastAsia"/>
          <w:lang w:val="en-US" w:eastAsia="zh-CN"/>
        </w:rPr>
      </w:pPr>
      <w:r>
        <w:rPr>
          <w:rFonts w:hint="eastAsia"/>
          <w:lang w:val="en-US" w:eastAsia="zh-CN"/>
        </w:rPr>
        <w:t>2）立项依据：根据江西省林业生态工程建设中心《工作提示》和《2026年全省提前下达欠发达国有林场巩固提升项目清单》等相关文件要求，为了进一步巩固欠发达国有林场改革成果、提升国有林场森林质量，结合林场实际，2026年银坞林场在东流分场实施乡土珍贵树种人工集约林栽培项目。</w:t>
      </w:r>
    </w:p>
    <w:p w14:paraId="5A235D89">
      <w:pPr>
        <w:bidi w:val="0"/>
        <w:rPr>
          <w:rFonts w:hint="eastAsia"/>
          <w:lang w:val="en-US" w:eastAsia="zh-CN"/>
        </w:rPr>
      </w:pPr>
      <w:r>
        <w:rPr>
          <w:rFonts w:hint="eastAsia"/>
          <w:lang w:val="en-US" w:eastAsia="zh-CN"/>
        </w:rPr>
        <w:t>3）实施主体：浮梁县银坞林场。</w:t>
      </w:r>
    </w:p>
    <w:p w14:paraId="6CFEE3FC">
      <w:pPr>
        <w:bidi w:val="0"/>
        <w:rPr>
          <w:rFonts w:hint="eastAsia"/>
          <w:lang w:val="en-US" w:eastAsia="zh-CN"/>
        </w:rPr>
      </w:pPr>
      <w:r>
        <w:rPr>
          <w:rFonts w:hint="eastAsia"/>
          <w:lang w:val="en-US" w:eastAsia="zh-CN"/>
        </w:rPr>
        <w:t>4）实施方案：乡土珍贵树种人工集约林栽培新造针阔混交林面积600亩，树种组成6湿4檫（1年生湿地松祼根苗和1年生檫木容器苗），栽植密度133株/亩，含：林地清理、整地挖穴、施基肥、栽植、幼林抚育等。</w:t>
      </w:r>
    </w:p>
    <w:p w14:paraId="3F9B7523">
      <w:pPr>
        <w:bidi w:val="0"/>
        <w:rPr>
          <w:rFonts w:hint="default"/>
          <w:lang w:val="en-US" w:eastAsia="zh-CN"/>
        </w:rPr>
      </w:pPr>
      <w:r>
        <w:rPr>
          <w:rFonts w:hint="eastAsia"/>
          <w:lang w:val="en-US" w:eastAsia="zh-CN"/>
        </w:rPr>
        <w:t>5）实施周期：2026年1月1日至2026年12月31日。</w:t>
      </w:r>
    </w:p>
    <w:p w14:paraId="082AB508">
      <w:pPr>
        <w:rPr>
          <w:rFonts w:hint="eastAsia"/>
          <w:lang w:val="en-US" w:eastAsia="zh-CN"/>
        </w:rPr>
      </w:pPr>
      <w:r>
        <w:rPr>
          <w:rFonts w:hint="eastAsia"/>
          <w:lang w:val="en-US" w:eastAsia="zh-CN"/>
        </w:rPr>
        <w:t>6）年度预算安排：</w:t>
      </w:r>
      <w:r>
        <w:rPr>
          <w:rFonts w:hint="eastAsia"/>
          <w:color w:val="auto"/>
          <w:lang w:val="en-US" w:eastAsia="zh-CN"/>
        </w:rPr>
        <w:t>总预算支出96万元，其中省级补助资金74万元，单位自筹22万元。</w:t>
      </w:r>
    </w:p>
    <w:p w14:paraId="74941F9A">
      <w:pPr>
        <w:rPr>
          <w:rFonts w:hint="eastAsia"/>
          <w:color w:val="auto"/>
          <w:lang w:val="en-US" w:eastAsia="zh-CN"/>
        </w:rPr>
      </w:pPr>
      <w:r>
        <w:rPr>
          <w:rFonts w:hint="eastAsia"/>
          <w:color w:val="auto"/>
          <w:lang w:val="en-US" w:eastAsia="zh-CN"/>
        </w:rPr>
        <w:t>二、2026年"三公”经费预算情况说明</w:t>
      </w:r>
    </w:p>
    <w:p w14:paraId="250B702C">
      <w:pPr>
        <w:rPr>
          <w:rFonts w:hint="eastAsia"/>
          <w:color w:val="auto"/>
          <w:lang w:val="en-US" w:eastAsia="zh-CN"/>
        </w:rPr>
      </w:pPr>
      <w:r>
        <w:rPr>
          <w:rFonts w:hint="eastAsia"/>
          <w:color w:val="auto"/>
          <w:lang w:val="en-US" w:eastAsia="zh-CN"/>
        </w:rPr>
        <w:t>2026年银坞林场“三公”经费一般公共预算安排6.18万元，较上年下降2万元。其中:</w:t>
      </w:r>
    </w:p>
    <w:p w14:paraId="017AEA58">
      <w:pPr>
        <w:rPr>
          <w:rFonts w:hint="eastAsia"/>
          <w:color w:val="auto"/>
          <w:lang w:val="en-US" w:eastAsia="zh-CN"/>
        </w:rPr>
      </w:pPr>
      <w:r>
        <w:rPr>
          <w:rFonts w:hint="eastAsia"/>
          <w:color w:val="auto"/>
          <w:lang w:val="en-US" w:eastAsia="zh-CN"/>
        </w:rPr>
        <w:t>因公出国(境)费0万元，比上年增(减)0万元。</w:t>
      </w:r>
    </w:p>
    <w:p w14:paraId="0D7F7967">
      <w:pPr>
        <w:rPr>
          <w:rFonts w:hint="eastAsia"/>
          <w:color w:val="auto"/>
          <w:lang w:val="en-US" w:eastAsia="zh-CN"/>
        </w:rPr>
      </w:pPr>
      <w:r>
        <w:rPr>
          <w:rFonts w:hint="eastAsia"/>
          <w:color w:val="auto"/>
          <w:lang w:val="en-US" w:eastAsia="zh-CN"/>
        </w:rPr>
        <w:t>公务接待费1万元，比上年减少2万元，主要原因是:响应过紧日子号召，减少非刚性支出。</w:t>
      </w:r>
    </w:p>
    <w:p w14:paraId="44E28140">
      <w:pPr>
        <w:rPr>
          <w:rFonts w:hint="eastAsia"/>
          <w:color w:val="auto"/>
          <w:lang w:val="en-US" w:eastAsia="zh-CN"/>
        </w:rPr>
      </w:pPr>
      <w:r>
        <w:rPr>
          <w:rFonts w:hint="eastAsia"/>
          <w:color w:val="auto"/>
          <w:lang w:val="en-US" w:eastAsia="zh-CN"/>
        </w:rPr>
        <w:t>公务用车运行维护费5.18万元，比上年增加（减少）0万。</w:t>
      </w:r>
    </w:p>
    <w:p w14:paraId="432C9286">
      <w:pPr>
        <w:rPr>
          <w:rFonts w:hint="eastAsia"/>
          <w:color w:val="auto"/>
          <w:lang w:val="en-US" w:eastAsia="zh-CN"/>
        </w:rPr>
      </w:pPr>
      <w:r>
        <w:rPr>
          <w:rFonts w:hint="eastAsia"/>
          <w:color w:val="auto"/>
          <w:lang w:val="en-US" w:eastAsia="zh-CN"/>
        </w:rPr>
        <w:t>公务用车购置费0万元，比上年减(增）0万元。</w:t>
      </w:r>
    </w:p>
    <w:p w14:paraId="65392B7F">
      <w:pPr>
        <w:rPr>
          <w:rFonts w:hint="eastAsia"/>
          <w:color w:val="auto"/>
          <w:lang w:val="en-US" w:eastAsia="zh-CN"/>
        </w:rPr>
      </w:pPr>
    </w:p>
    <w:p w14:paraId="02B1D216">
      <w:pPr>
        <w:rPr>
          <w:rFonts w:hint="eastAsia"/>
          <w:color w:val="auto"/>
          <w:lang w:val="en-US" w:eastAsia="zh-CN"/>
        </w:rPr>
      </w:pPr>
    </w:p>
    <w:p w14:paraId="342BCAB7">
      <w:pPr>
        <w:ind w:left="0" w:leftChars="0" w:firstLine="0" w:firstLineChars="0"/>
        <w:rPr>
          <w:rFonts w:hint="eastAsia"/>
          <w:color w:val="auto"/>
          <w:lang w:val="en-US" w:eastAsia="zh-CN"/>
        </w:rPr>
      </w:pPr>
    </w:p>
    <w:p w14:paraId="70E42157">
      <w:pPr>
        <w:rPr>
          <w:rFonts w:hint="eastAsia"/>
          <w:color w:val="auto"/>
          <w:lang w:val="en-US" w:eastAsia="zh-CN"/>
        </w:rPr>
      </w:pPr>
    </w:p>
    <w:p w14:paraId="704802D7">
      <w:pPr>
        <w:rPr>
          <w:rFonts w:hint="eastAsia"/>
          <w:color w:val="auto"/>
          <w:lang w:val="en-US" w:eastAsia="zh-CN"/>
        </w:rPr>
      </w:pPr>
    </w:p>
    <w:p w14:paraId="6030895B">
      <w:pPr>
        <w:rPr>
          <w:rFonts w:hint="eastAsia"/>
          <w:color w:val="auto"/>
          <w:lang w:val="en-US" w:eastAsia="zh-CN"/>
        </w:rPr>
      </w:pPr>
    </w:p>
    <w:p w14:paraId="7C99E5DE">
      <w:pPr>
        <w:rPr>
          <w:rFonts w:hint="eastAsia"/>
          <w:color w:val="auto"/>
          <w:lang w:val="en-US" w:eastAsia="zh-CN"/>
        </w:rPr>
      </w:pPr>
    </w:p>
    <w:p w14:paraId="248887B0">
      <w:pPr>
        <w:rPr>
          <w:rFonts w:hint="eastAsia"/>
          <w:color w:val="auto"/>
          <w:lang w:val="en-US" w:eastAsia="zh-CN"/>
        </w:rPr>
      </w:pPr>
    </w:p>
    <w:p w14:paraId="002BC32D">
      <w:pPr>
        <w:rPr>
          <w:rFonts w:hint="eastAsia"/>
          <w:color w:val="auto"/>
          <w:lang w:val="en-US" w:eastAsia="zh-CN"/>
        </w:rPr>
      </w:pPr>
    </w:p>
    <w:p w14:paraId="54AB9D0A">
      <w:pPr>
        <w:ind w:left="0" w:leftChars="0" w:firstLine="0" w:firstLineChars="0"/>
        <w:rPr>
          <w:rFonts w:hint="eastAsia"/>
          <w:lang w:val="en-US" w:eastAsia="zh-CN"/>
        </w:rPr>
      </w:pPr>
    </w:p>
    <w:p w14:paraId="2ECE9CE9">
      <w:pPr>
        <w:ind w:left="0" w:leftChars="0" w:firstLine="0" w:firstLineChars="0"/>
        <w:rPr>
          <w:rFonts w:hint="eastAsia"/>
          <w:lang w:val="en-US" w:eastAsia="zh-CN"/>
        </w:rPr>
      </w:pPr>
    </w:p>
    <w:p w14:paraId="7845E53E">
      <w:pPr>
        <w:ind w:left="0" w:leftChars="0" w:firstLine="0" w:firstLineChars="0"/>
        <w:rPr>
          <w:rFonts w:hint="eastAsia"/>
          <w:lang w:val="en-US" w:eastAsia="zh-CN"/>
        </w:rPr>
      </w:pPr>
    </w:p>
    <w:p w14:paraId="500B1782">
      <w:pPr>
        <w:ind w:left="0" w:leftChars="0" w:firstLine="0" w:firstLineChars="0"/>
        <w:rPr>
          <w:rFonts w:hint="eastAsia"/>
          <w:lang w:val="en-US" w:eastAsia="zh-CN"/>
        </w:rPr>
      </w:pPr>
    </w:p>
    <w:p w14:paraId="79F8FB01">
      <w:pPr>
        <w:ind w:left="0" w:leftChars="0" w:firstLine="0" w:firstLineChars="0"/>
        <w:rPr>
          <w:rFonts w:hint="eastAsia"/>
          <w:lang w:val="en-US" w:eastAsia="zh-CN"/>
        </w:rPr>
      </w:pPr>
    </w:p>
    <w:p w14:paraId="69ADF1B3">
      <w:pPr>
        <w:ind w:left="0" w:leftChars="0" w:firstLine="0" w:firstLineChars="0"/>
        <w:rPr>
          <w:rFonts w:hint="eastAsia"/>
          <w:lang w:val="en-US" w:eastAsia="zh-CN"/>
        </w:rPr>
      </w:pPr>
    </w:p>
    <w:p w14:paraId="1D5CFA08">
      <w:pPr>
        <w:ind w:left="0" w:leftChars="0" w:firstLine="0" w:firstLineChars="0"/>
        <w:rPr>
          <w:rFonts w:hint="eastAsia"/>
          <w:lang w:val="en-US" w:eastAsia="zh-CN"/>
        </w:rPr>
      </w:pPr>
    </w:p>
    <w:p w14:paraId="47BA4B09">
      <w:pPr>
        <w:ind w:left="0" w:leftChars="0" w:firstLine="0" w:firstLineChars="0"/>
        <w:rPr>
          <w:rFonts w:hint="eastAsia"/>
          <w:lang w:val="en-US" w:eastAsia="zh-CN"/>
        </w:rPr>
      </w:pPr>
    </w:p>
    <w:p w14:paraId="3A908509">
      <w:pPr>
        <w:ind w:left="0" w:leftChars="0" w:firstLine="0" w:firstLineChars="0"/>
        <w:rPr>
          <w:rFonts w:hint="eastAsia"/>
          <w:lang w:val="en-US" w:eastAsia="zh-CN"/>
        </w:rPr>
      </w:pPr>
    </w:p>
    <w:p w14:paraId="389941E6">
      <w:pPr>
        <w:ind w:left="0" w:leftChars="0" w:firstLine="0" w:firstLineChars="0"/>
        <w:rPr>
          <w:rFonts w:hint="eastAsia"/>
          <w:lang w:val="en-US" w:eastAsia="zh-CN"/>
        </w:rPr>
      </w:pPr>
    </w:p>
    <w:p w14:paraId="2FAB0DC5">
      <w:pPr>
        <w:ind w:left="0" w:leftChars="0" w:firstLine="0" w:firstLineChars="0"/>
        <w:rPr>
          <w:rFonts w:hint="eastAsia"/>
          <w:lang w:val="en-US" w:eastAsia="zh-CN"/>
        </w:rPr>
      </w:pPr>
    </w:p>
    <w:p w14:paraId="49C56ADB">
      <w:pPr>
        <w:ind w:left="0" w:leftChars="0" w:firstLine="0" w:firstLineChars="0"/>
        <w:rPr>
          <w:rFonts w:hint="eastAsia"/>
          <w:lang w:val="en-US" w:eastAsia="zh-CN"/>
        </w:rPr>
      </w:pPr>
    </w:p>
    <w:p w14:paraId="3FD5D97B">
      <w:pPr>
        <w:ind w:left="0" w:leftChars="0" w:firstLine="0" w:firstLineChars="0"/>
        <w:rPr>
          <w:rFonts w:hint="eastAsia"/>
          <w:lang w:val="en-US" w:eastAsia="zh-CN"/>
        </w:rPr>
      </w:pPr>
    </w:p>
    <w:p w14:paraId="3FDC7417">
      <w:pPr>
        <w:ind w:left="0" w:leftChars="0" w:firstLine="0" w:firstLineChars="0"/>
        <w:rPr>
          <w:rFonts w:hint="eastAsia"/>
          <w:lang w:val="en-US" w:eastAsia="zh-CN"/>
        </w:rPr>
      </w:pPr>
    </w:p>
    <w:p w14:paraId="4AB87A8A">
      <w:pPr>
        <w:ind w:left="0" w:leftChars="0" w:firstLine="0" w:firstLineChars="0"/>
        <w:rPr>
          <w:rFonts w:hint="eastAsia"/>
          <w:lang w:val="en-US" w:eastAsia="zh-CN"/>
        </w:rPr>
      </w:pPr>
    </w:p>
    <w:p w14:paraId="01324D51">
      <w:pPr>
        <w:ind w:left="0" w:leftChars="0" w:firstLine="0" w:firstLineChars="0"/>
        <w:rPr>
          <w:rFonts w:hint="eastAsia"/>
          <w:lang w:val="en-US" w:eastAsia="zh-CN"/>
        </w:rPr>
      </w:pPr>
    </w:p>
    <w:p w14:paraId="07687C4E">
      <w:pPr>
        <w:ind w:left="0" w:leftChars="0" w:firstLine="0" w:firstLineChars="0"/>
        <w:rPr>
          <w:rFonts w:hint="eastAsia"/>
          <w:lang w:val="en-US" w:eastAsia="zh-CN"/>
        </w:rPr>
      </w:pPr>
    </w:p>
    <w:p w14:paraId="594B37F7">
      <w:pPr>
        <w:ind w:left="0" w:leftChars="0" w:firstLine="0" w:firstLineChars="0"/>
        <w:rPr>
          <w:rFonts w:hint="eastAsia"/>
          <w:lang w:val="en-US" w:eastAsia="zh-CN"/>
        </w:rPr>
      </w:pPr>
    </w:p>
    <w:p w14:paraId="39D46628">
      <w:pPr>
        <w:rPr>
          <w:rFonts w:hint="eastAsia"/>
          <w:lang w:val="en-US" w:eastAsia="zh-CN"/>
        </w:rPr>
      </w:pPr>
    </w:p>
    <w:p w14:paraId="477E2184">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32433176">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47A9703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606D656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71A34E3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47B8919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16363C4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11768CF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3142C94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33CE10D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(八)使用非财政拨款结余:填列历年滚存的非限定用途的财政拨款结余弥补202</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年收支差额的数额。</w:t>
      </w:r>
    </w:p>
    <w:p w14:paraId="750B50E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3E071E3D">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1A091F8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w:t>
      </w:r>
      <w:r>
        <w:rPr>
          <w:rFonts w:hint="eastAsia" w:ascii="仿宋_GB2312" w:hAnsi="Times New Roman" w:eastAsia="仿宋_GB2312" w:cs="Times New Roman"/>
          <w:snapToGrid/>
          <w:kern w:val="2"/>
          <w:sz w:val="32"/>
          <w:szCs w:val="32"/>
          <w:lang w:eastAsia="zh-CN"/>
        </w:rPr>
        <w:t>单位</w:t>
      </w:r>
      <w:r>
        <w:rPr>
          <w:rFonts w:hint="eastAsia" w:ascii="仿宋_GB2312" w:hAnsi="Times New Roman" w:eastAsia="仿宋_GB2312" w:cs="Times New Roman"/>
          <w:snapToGrid/>
          <w:kern w:val="2"/>
          <w:sz w:val="32"/>
          <w:szCs w:val="32"/>
        </w:rPr>
        <w:t>预算中涉及的支出功能分类科目(明细到项级)，结合</w:t>
      </w:r>
      <w:r>
        <w:rPr>
          <w:rFonts w:hint="eastAsia" w:ascii="仿宋_GB2312" w:hAnsi="Times New Roman" w:eastAsia="仿宋_GB2312" w:cs="Times New Roman"/>
          <w:snapToGrid/>
          <w:kern w:val="2"/>
          <w:sz w:val="32"/>
          <w:szCs w:val="32"/>
          <w:lang w:eastAsia="zh-CN"/>
        </w:rPr>
        <w:t>单位</w:t>
      </w:r>
      <w:r>
        <w:rPr>
          <w:rFonts w:hint="eastAsia" w:ascii="仿宋_GB2312" w:hAnsi="Times New Roman" w:eastAsia="仿宋_GB2312" w:cs="Times New Roman"/>
          <w:snapToGrid/>
          <w:kern w:val="2"/>
          <w:sz w:val="32"/>
          <w:szCs w:val="32"/>
        </w:rPr>
        <w:t>实际，参照《202</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年政府收支分类科目》的规范说明进行解释。</w:t>
      </w:r>
    </w:p>
    <w:p w14:paraId="51C7F9A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BE20F"/>
    <w:multiLevelType w:val="singleLevel"/>
    <w:tmpl w:val="1D8BE20F"/>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TdkMjczZDY2Mzg5MGM1ZjMwNzE4YTcyMDZhYzcifQ=="/>
  </w:docVars>
  <w:rsids>
    <w:rsidRoot w:val="00173ECC"/>
    <w:rsid w:val="00173ECC"/>
    <w:rsid w:val="00215AA4"/>
    <w:rsid w:val="0032772C"/>
    <w:rsid w:val="004E5B9A"/>
    <w:rsid w:val="005F65CD"/>
    <w:rsid w:val="00A348EB"/>
    <w:rsid w:val="00DF5B20"/>
    <w:rsid w:val="01CB4799"/>
    <w:rsid w:val="01D30207"/>
    <w:rsid w:val="05230033"/>
    <w:rsid w:val="05277AB9"/>
    <w:rsid w:val="070D5C0B"/>
    <w:rsid w:val="07A54EC2"/>
    <w:rsid w:val="09F77876"/>
    <w:rsid w:val="0A706375"/>
    <w:rsid w:val="0B9501F2"/>
    <w:rsid w:val="0BBB2EA2"/>
    <w:rsid w:val="0C6F6579"/>
    <w:rsid w:val="0D5E3656"/>
    <w:rsid w:val="0F957915"/>
    <w:rsid w:val="11FB27EA"/>
    <w:rsid w:val="122906B6"/>
    <w:rsid w:val="14204624"/>
    <w:rsid w:val="144D28DC"/>
    <w:rsid w:val="1475573F"/>
    <w:rsid w:val="15073660"/>
    <w:rsid w:val="153C43F8"/>
    <w:rsid w:val="155D2231"/>
    <w:rsid w:val="15805712"/>
    <w:rsid w:val="159D6032"/>
    <w:rsid w:val="165779D5"/>
    <w:rsid w:val="177040C6"/>
    <w:rsid w:val="180A0D7A"/>
    <w:rsid w:val="188E3B87"/>
    <w:rsid w:val="199B75DB"/>
    <w:rsid w:val="19F6499A"/>
    <w:rsid w:val="1BA07AF4"/>
    <w:rsid w:val="1CDE311E"/>
    <w:rsid w:val="1D40610A"/>
    <w:rsid w:val="1D473653"/>
    <w:rsid w:val="1DDE2B17"/>
    <w:rsid w:val="1E8017E6"/>
    <w:rsid w:val="22B11B4F"/>
    <w:rsid w:val="255F625D"/>
    <w:rsid w:val="25975178"/>
    <w:rsid w:val="25B05954"/>
    <w:rsid w:val="25EE26EF"/>
    <w:rsid w:val="26FE1CD0"/>
    <w:rsid w:val="27833257"/>
    <w:rsid w:val="28546812"/>
    <w:rsid w:val="28B74E8B"/>
    <w:rsid w:val="29422A39"/>
    <w:rsid w:val="29DB143C"/>
    <w:rsid w:val="29DE193E"/>
    <w:rsid w:val="2A6D3510"/>
    <w:rsid w:val="2A951139"/>
    <w:rsid w:val="2CE87C64"/>
    <w:rsid w:val="2D3F3249"/>
    <w:rsid w:val="2F036896"/>
    <w:rsid w:val="3112376C"/>
    <w:rsid w:val="316229A1"/>
    <w:rsid w:val="31F75C34"/>
    <w:rsid w:val="323F0D0B"/>
    <w:rsid w:val="3254032E"/>
    <w:rsid w:val="325D7BAC"/>
    <w:rsid w:val="32887171"/>
    <w:rsid w:val="32A4229E"/>
    <w:rsid w:val="32CA5AA2"/>
    <w:rsid w:val="33A66D6E"/>
    <w:rsid w:val="33CE71A5"/>
    <w:rsid w:val="35C44201"/>
    <w:rsid w:val="376033EE"/>
    <w:rsid w:val="37DA5F5D"/>
    <w:rsid w:val="384D4FC9"/>
    <w:rsid w:val="3A9B19D4"/>
    <w:rsid w:val="3C93693C"/>
    <w:rsid w:val="3DC145DF"/>
    <w:rsid w:val="3EDB6370"/>
    <w:rsid w:val="3F0D4721"/>
    <w:rsid w:val="40C50833"/>
    <w:rsid w:val="41187255"/>
    <w:rsid w:val="41E91C61"/>
    <w:rsid w:val="474E6296"/>
    <w:rsid w:val="476D2917"/>
    <w:rsid w:val="479D5F50"/>
    <w:rsid w:val="48DE27B4"/>
    <w:rsid w:val="4A9505B7"/>
    <w:rsid w:val="4AE449D4"/>
    <w:rsid w:val="4D2B0AE8"/>
    <w:rsid w:val="4D83137D"/>
    <w:rsid w:val="4E89485D"/>
    <w:rsid w:val="50A224C3"/>
    <w:rsid w:val="50CE0262"/>
    <w:rsid w:val="51BB6377"/>
    <w:rsid w:val="535A3AA7"/>
    <w:rsid w:val="5474181A"/>
    <w:rsid w:val="54C46226"/>
    <w:rsid w:val="552E253D"/>
    <w:rsid w:val="55855F1F"/>
    <w:rsid w:val="572D3B18"/>
    <w:rsid w:val="57E35FCE"/>
    <w:rsid w:val="5879258D"/>
    <w:rsid w:val="595F4B57"/>
    <w:rsid w:val="598A4E55"/>
    <w:rsid w:val="5A4F5EDF"/>
    <w:rsid w:val="5B022E7C"/>
    <w:rsid w:val="5B811555"/>
    <w:rsid w:val="5C6E35A5"/>
    <w:rsid w:val="5CBD57A3"/>
    <w:rsid w:val="5D9F0031"/>
    <w:rsid w:val="5DCE2B66"/>
    <w:rsid w:val="5E3059B6"/>
    <w:rsid w:val="5F5F150E"/>
    <w:rsid w:val="5FFF488E"/>
    <w:rsid w:val="610B7004"/>
    <w:rsid w:val="6118702B"/>
    <w:rsid w:val="621F26F5"/>
    <w:rsid w:val="62BB6808"/>
    <w:rsid w:val="631B2E02"/>
    <w:rsid w:val="641633C7"/>
    <w:rsid w:val="644767AE"/>
    <w:rsid w:val="66335ADF"/>
    <w:rsid w:val="68043894"/>
    <w:rsid w:val="6AAB51EE"/>
    <w:rsid w:val="6ADD3951"/>
    <w:rsid w:val="6C0006DE"/>
    <w:rsid w:val="6D4B15EF"/>
    <w:rsid w:val="6DEA5191"/>
    <w:rsid w:val="6F767451"/>
    <w:rsid w:val="6FFD6F3C"/>
    <w:rsid w:val="711C3567"/>
    <w:rsid w:val="712D49C8"/>
    <w:rsid w:val="73A56F15"/>
    <w:rsid w:val="73A6267B"/>
    <w:rsid w:val="73DA1C80"/>
    <w:rsid w:val="74016BA4"/>
    <w:rsid w:val="75E17C13"/>
    <w:rsid w:val="76BB072D"/>
    <w:rsid w:val="779F53D0"/>
    <w:rsid w:val="78853969"/>
    <w:rsid w:val="78870772"/>
    <w:rsid w:val="79BD7948"/>
    <w:rsid w:val="7B86755B"/>
    <w:rsid w:val="7BCE6AFA"/>
    <w:rsid w:val="7CBA1DFE"/>
    <w:rsid w:val="7CD97B5E"/>
    <w:rsid w:val="7CFB0F2E"/>
    <w:rsid w:val="7D067899"/>
    <w:rsid w:val="7DA74F5A"/>
    <w:rsid w:val="7DBE6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textAlignment w:val="baseline"/>
    </w:pPr>
    <w:rPr>
      <w:rFonts w:ascii="Arial" w:hAnsi="Arial" w:eastAsia="宋体" w:cs="Arial"/>
      <w:snapToGrid w:val="0"/>
      <w:color w:val="000000"/>
      <w:sz w:val="28"/>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31"/>
    <w:basedOn w:val="5"/>
    <w:qFormat/>
    <w:uiPriority w:val="0"/>
    <w:rPr>
      <w:rFonts w:hint="eastAsia" w:ascii="宋体" w:hAnsi="宋体" w:eastAsia="宋体" w:cs="宋体"/>
      <w:color w:val="000000"/>
      <w:sz w:val="24"/>
      <w:szCs w:val="24"/>
      <w:u w:val="none"/>
    </w:rPr>
  </w:style>
  <w:style w:type="character" w:customStyle="1" w:styleId="9">
    <w:name w:val="页脚 Char"/>
    <w:basedOn w:val="5"/>
    <w:link w:val="2"/>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2785</Words>
  <Characters>3074</Characters>
  <Lines>28</Lines>
  <Paragraphs>8</Paragraphs>
  <TotalTime>6</TotalTime>
  <ScaleCrop>false</ScaleCrop>
  <LinksUpToDate>false</LinksUpToDate>
  <CharactersWithSpaces>3101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2022-02-17T19:46:00Z</dcterms:created>
  <dc:creator>Administrator</dc:creator>
  <cp:lastModifiedBy>阿限</cp:lastModifiedBy>
  <cp:lastPrinted>2025-06-19T14:46:00Z</cp:lastPrinted>
  <dcterms:modified xsi:type="dcterms:W3CDTF">2026-02-25T16:15:50Z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2052-12.8.2.20327</vt:lpwstr>
  </property>
  <property fmtid="{D5CDD505-2E9C-101B-9397-08002B2CF9AE}" pid="5" name="ICV">
    <vt:lpwstr>4A49EDC382C0A176B6AF9E696792DF92_43</vt:lpwstr>
  </property>
  <property fmtid="{D5CDD505-2E9C-101B-9397-08002B2CF9AE}" pid="6" name="KSOTemplateDocerSaveRecord">
    <vt:lpwstr>eyJoZGlkIjoiYzQxYWNkMTgzOWM4ODg5YmRiZTRiMDdlOWYwZDg5NzEiLCJ1c2VySWQiOiI0NzgxNTM2MjEifQ==</vt:lpwstr>
  </property>
</Properties>
</file>