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89" w:lineRule="auto"/>
        <w:rPr>
          <w:lang w:eastAsia="zh-CN"/>
        </w:rPr>
      </w:pPr>
    </w:p>
    <w:p>
      <w:pPr>
        <w:spacing w:line="240" w:lineRule="auto"/>
        <w:ind w:firstLine="0" w:firstLineChars="0"/>
        <w:jc w:val="center"/>
        <w:rPr>
          <w:rFonts w:ascii="宋体" w:hAnsi="宋体" w:eastAsia="宋体" w:cs="宋体"/>
          <w:b/>
          <w:bCs/>
          <w:sz w:val="44"/>
          <w:szCs w:val="44"/>
          <w:lang w:eastAsia="zh-CN"/>
        </w:rPr>
      </w:pPr>
      <w:r>
        <w:rPr>
          <w:rFonts w:hint="eastAsia" w:ascii="宋体" w:hAnsi="宋体" w:eastAsia="宋体" w:cs="宋体"/>
          <w:b/>
          <w:bCs/>
          <w:spacing w:val="-4"/>
          <w:sz w:val="44"/>
          <w:szCs w:val="44"/>
          <w:lang w:eastAsia="zh-CN"/>
        </w:rPr>
        <w:t>浮梁县森林资源监测中心</w:t>
      </w:r>
      <w:r>
        <w:rPr>
          <w:rFonts w:ascii="宋体" w:hAnsi="宋体" w:eastAsia="宋体" w:cs="宋体"/>
          <w:b/>
          <w:bCs/>
          <w:spacing w:val="-4"/>
          <w:sz w:val="44"/>
          <w:szCs w:val="44"/>
          <w:lang w:eastAsia="zh-CN"/>
        </w:rPr>
        <w:t>2022年度决算</w:t>
      </w:r>
    </w:p>
    <w:p>
      <w:pPr>
        <w:pStyle w:val="2"/>
        <w:spacing w:line="331" w:lineRule="auto"/>
        <w:rPr>
          <w:lang w:eastAsia="zh-CN"/>
        </w:rPr>
      </w:pPr>
    </w:p>
    <w:p>
      <w:pPr>
        <w:pStyle w:val="2"/>
        <w:spacing w:line="332" w:lineRule="auto"/>
        <w:rPr>
          <w:lang w:eastAsia="zh-CN"/>
        </w:rPr>
      </w:pPr>
    </w:p>
    <w:p>
      <w:pPr>
        <w:spacing w:before="100" w:line="227" w:lineRule="auto"/>
        <w:jc w:val="center"/>
        <w:rPr>
          <w:rFonts w:ascii="黑体" w:hAnsi="黑体" w:eastAsia="黑体" w:cs="黑体"/>
          <w:sz w:val="36"/>
          <w:szCs w:val="36"/>
          <w:lang w:eastAsia="zh-CN"/>
        </w:rPr>
      </w:pPr>
      <w:r>
        <w:rPr>
          <w:rFonts w:ascii="黑体" w:hAnsi="黑体" w:eastAsia="黑体" w:cs="黑体"/>
          <w:spacing w:val="-22"/>
          <w:sz w:val="36"/>
          <w:szCs w:val="36"/>
          <w:lang w:eastAsia="zh-CN"/>
        </w:rPr>
        <w:t>目</w:t>
      </w:r>
      <w:r>
        <w:rPr>
          <w:rFonts w:hint="eastAsia" w:ascii="黑体" w:hAnsi="黑体" w:eastAsia="黑体" w:cs="黑体"/>
          <w:spacing w:val="-22"/>
          <w:sz w:val="36"/>
          <w:szCs w:val="36"/>
          <w:lang w:val="en-US" w:eastAsia="zh-CN"/>
        </w:rPr>
        <w:t xml:space="preserve">        </w:t>
      </w:r>
      <w:r>
        <w:rPr>
          <w:rFonts w:ascii="黑体" w:hAnsi="黑体" w:eastAsia="黑体" w:cs="黑体"/>
          <w:spacing w:val="-22"/>
          <w:sz w:val="36"/>
          <w:szCs w:val="36"/>
          <w:lang w:eastAsia="zh-CN"/>
        </w:rPr>
        <w:t>录</w:t>
      </w:r>
    </w:p>
    <w:p>
      <w:pPr>
        <w:pStyle w:val="2"/>
        <w:rPr>
          <w:lang w:eastAsia="zh-CN"/>
        </w:rPr>
      </w:pPr>
    </w:p>
    <w:p>
      <w:pPr>
        <w:pStyle w:val="2"/>
        <w:spacing w:line="241" w:lineRule="auto"/>
        <w:rPr>
          <w:lang w:eastAsia="zh-CN"/>
        </w:rPr>
      </w:pPr>
    </w:p>
    <w:p>
      <w:pPr>
        <w:spacing w:before="143" w:line="223" w:lineRule="auto"/>
        <w:ind w:firstLine="608" w:firstLineChars="200"/>
        <w:rPr>
          <w:rFonts w:ascii="黑体" w:hAnsi="黑体" w:eastAsia="黑体" w:cs="黑体"/>
          <w:sz w:val="31"/>
          <w:szCs w:val="31"/>
          <w:lang w:eastAsia="zh-CN"/>
        </w:rPr>
      </w:pPr>
      <w:r>
        <w:rPr>
          <w:rFonts w:ascii="黑体" w:hAnsi="黑体" w:eastAsia="黑体" w:cs="黑体"/>
          <w:spacing w:val="-3"/>
          <w:sz w:val="31"/>
          <w:szCs w:val="31"/>
          <w:lang w:eastAsia="zh-CN"/>
        </w:rPr>
        <w:t>第一部分</w:t>
      </w:r>
      <w:r>
        <w:rPr>
          <w:rFonts w:hint="eastAsia" w:ascii="黑体" w:hAnsi="黑体" w:eastAsia="黑体" w:cs="黑体"/>
          <w:spacing w:val="-3"/>
          <w:sz w:val="31"/>
          <w:szCs w:val="31"/>
          <w:lang w:val="en-US" w:eastAsia="zh-CN"/>
        </w:rPr>
        <w:t xml:space="preserve">  </w:t>
      </w:r>
      <w:r>
        <w:rPr>
          <w:rFonts w:hint="eastAsia" w:ascii="黑体" w:hAnsi="黑体" w:eastAsia="黑体" w:cs="黑体"/>
          <w:spacing w:val="-3"/>
          <w:sz w:val="31"/>
          <w:szCs w:val="31"/>
          <w:lang w:eastAsia="zh-CN"/>
        </w:rPr>
        <w:t>浮梁县森林资源监测中心</w:t>
      </w:r>
      <w:r>
        <w:rPr>
          <w:rFonts w:ascii="黑体" w:hAnsi="黑体" w:eastAsia="黑体" w:cs="黑体"/>
          <w:spacing w:val="-3"/>
          <w:sz w:val="31"/>
          <w:szCs w:val="31"/>
          <w:lang w:eastAsia="zh-CN"/>
        </w:rPr>
        <w:t>概况</w:t>
      </w:r>
    </w:p>
    <w:p>
      <w:pPr>
        <w:spacing w:before="203" w:line="627" w:lineRule="exact"/>
        <w:ind w:left="1305"/>
        <w:rPr>
          <w:rFonts w:ascii="仿宋" w:hAnsi="仿宋" w:eastAsia="仿宋" w:cs="仿宋"/>
          <w:sz w:val="31"/>
          <w:szCs w:val="31"/>
          <w:lang w:eastAsia="zh-CN"/>
        </w:rPr>
      </w:pPr>
      <w:r>
        <w:rPr>
          <w:rFonts w:ascii="仿宋" w:hAnsi="仿宋" w:eastAsia="仿宋" w:cs="仿宋"/>
          <w:position w:val="23"/>
          <w:sz w:val="31"/>
          <w:szCs w:val="31"/>
          <w:lang w:eastAsia="zh-CN"/>
        </w:rPr>
        <w:t>一、单位主要职责</w:t>
      </w:r>
    </w:p>
    <w:p>
      <w:pPr>
        <w:spacing w:line="226" w:lineRule="auto"/>
        <w:ind w:left="1310"/>
        <w:rPr>
          <w:rFonts w:ascii="仿宋" w:hAnsi="仿宋" w:eastAsia="仿宋" w:cs="仿宋"/>
          <w:sz w:val="31"/>
          <w:szCs w:val="31"/>
          <w:lang w:eastAsia="zh-CN"/>
        </w:rPr>
      </w:pPr>
      <w:r>
        <w:rPr>
          <w:rFonts w:ascii="仿宋" w:hAnsi="仿宋" w:eastAsia="仿宋" w:cs="仿宋"/>
          <w:spacing w:val="1"/>
          <w:sz w:val="31"/>
          <w:szCs w:val="31"/>
          <w:lang w:eastAsia="zh-CN"/>
        </w:rPr>
        <w:t>二、单位基本情况</w:t>
      </w:r>
    </w:p>
    <w:p>
      <w:pPr>
        <w:spacing w:before="199" w:line="227" w:lineRule="auto"/>
        <w:ind w:left="676"/>
        <w:rPr>
          <w:rFonts w:ascii="黑体" w:hAnsi="黑体" w:eastAsia="黑体" w:cs="黑体"/>
          <w:sz w:val="31"/>
          <w:szCs w:val="31"/>
          <w:lang w:eastAsia="zh-CN"/>
        </w:rPr>
      </w:pPr>
      <w:r>
        <w:rPr>
          <w:rFonts w:ascii="黑体" w:hAnsi="黑体" w:eastAsia="黑体" w:cs="黑体"/>
          <w:spacing w:val="6"/>
          <w:sz w:val="31"/>
          <w:szCs w:val="31"/>
          <w:lang w:eastAsia="zh-CN"/>
        </w:rPr>
        <w:t>第二部分</w:t>
      </w:r>
      <w:r>
        <w:rPr>
          <w:rFonts w:hint="eastAsia" w:ascii="黑体" w:hAnsi="黑体" w:eastAsia="黑体" w:cs="黑体"/>
          <w:spacing w:val="6"/>
          <w:sz w:val="31"/>
          <w:szCs w:val="31"/>
          <w:lang w:val="en-US" w:eastAsia="zh-CN"/>
        </w:rPr>
        <w:t xml:space="preserve">  </w:t>
      </w:r>
      <w:r>
        <w:rPr>
          <w:rFonts w:ascii="黑体" w:hAnsi="黑体" w:eastAsia="黑体" w:cs="黑体"/>
          <w:spacing w:val="6"/>
          <w:sz w:val="31"/>
          <w:szCs w:val="31"/>
          <w:lang w:eastAsia="zh-CN"/>
        </w:rPr>
        <w:t>2022年度单位决算表</w:t>
      </w:r>
    </w:p>
    <w:p>
      <w:pPr>
        <w:spacing w:before="236" w:line="227" w:lineRule="auto"/>
        <w:ind w:left="1305"/>
        <w:rPr>
          <w:rFonts w:ascii="仿宋" w:hAnsi="仿宋" w:eastAsia="仿宋" w:cs="仿宋"/>
          <w:sz w:val="31"/>
          <w:szCs w:val="31"/>
          <w:lang w:eastAsia="zh-CN"/>
        </w:rPr>
      </w:pPr>
      <w:r>
        <w:rPr>
          <w:rFonts w:ascii="仿宋" w:hAnsi="仿宋" w:eastAsia="仿宋" w:cs="仿宋"/>
          <w:spacing w:val="1"/>
          <w:sz w:val="31"/>
          <w:szCs w:val="31"/>
          <w:lang w:eastAsia="zh-CN"/>
        </w:rPr>
        <w:t>一、收入支出决算总表</w:t>
      </w:r>
    </w:p>
    <w:p>
      <w:pPr>
        <w:spacing w:before="225" w:line="598" w:lineRule="exact"/>
        <w:ind w:left="1310"/>
        <w:rPr>
          <w:rFonts w:ascii="仿宋" w:hAnsi="仿宋" w:eastAsia="仿宋" w:cs="仿宋"/>
          <w:sz w:val="31"/>
          <w:szCs w:val="31"/>
          <w:lang w:eastAsia="zh-CN"/>
        </w:rPr>
      </w:pPr>
      <w:r>
        <w:rPr>
          <w:rFonts w:ascii="仿宋" w:hAnsi="仿宋" w:eastAsia="仿宋" w:cs="仿宋"/>
          <w:spacing w:val="-14"/>
          <w:position w:val="20"/>
          <w:sz w:val="31"/>
          <w:szCs w:val="31"/>
          <w:lang w:eastAsia="zh-CN"/>
        </w:rPr>
        <w:t>二、收入决算表</w:t>
      </w:r>
    </w:p>
    <w:p>
      <w:pPr>
        <w:spacing w:line="227" w:lineRule="auto"/>
        <w:ind w:left="1308"/>
        <w:rPr>
          <w:rFonts w:ascii="仿宋" w:hAnsi="仿宋" w:eastAsia="仿宋" w:cs="仿宋"/>
          <w:sz w:val="31"/>
          <w:szCs w:val="31"/>
          <w:lang w:eastAsia="zh-CN"/>
        </w:rPr>
      </w:pPr>
      <w:r>
        <w:rPr>
          <w:rFonts w:ascii="仿宋" w:hAnsi="仿宋" w:eastAsia="仿宋" w:cs="仿宋"/>
          <w:spacing w:val="-12"/>
          <w:sz w:val="31"/>
          <w:szCs w:val="31"/>
          <w:lang w:eastAsia="zh-CN"/>
        </w:rPr>
        <w:t>三、支出决算表</w:t>
      </w:r>
    </w:p>
    <w:p>
      <w:pPr>
        <w:spacing w:before="226" w:line="227" w:lineRule="auto"/>
        <w:ind w:left="1337"/>
        <w:rPr>
          <w:rFonts w:ascii="仿宋" w:hAnsi="仿宋" w:eastAsia="仿宋" w:cs="仿宋"/>
          <w:sz w:val="31"/>
          <w:szCs w:val="31"/>
          <w:lang w:eastAsia="zh-CN"/>
        </w:rPr>
      </w:pPr>
      <w:r>
        <w:rPr>
          <w:rFonts w:ascii="仿宋" w:hAnsi="仿宋" w:eastAsia="仿宋" w:cs="仿宋"/>
          <w:spacing w:val="-1"/>
          <w:sz w:val="31"/>
          <w:szCs w:val="31"/>
          <w:lang w:eastAsia="zh-CN"/>
        </w:rPr>
        <w:t>四、财政拨款收入支出决算总表</w:t>
      </w:r>
    </w:p>
    <w:p>
      <w:pPr>
        <w:spacing w:before="219" w:line="227" w:lineRule="auto"/>
        <w:ind w:left="1305"/>
        <w:rPr>
          <w:rFonts w:ascii="仿宋" w:hAnsi="仿宋" w:eastAsia="仿宋" w:cs="仿宋"/>
          <w:sz w:val="31"/>
          <w:szCs w:val="31"/>
          <w:lang w:eastAsia="zh-CN"/>
        </w:rPr>
      </w:pPr>
      <w:r>
        <w:rPr>
          <w:rFonts w:ascii="仿宋" w:hAnsi="仿宋" w:eastAsia="仿宋" w:cs="仿宋"/>
          <w:spacing w:val="-4"/>
          <w:sz w:val="31"/>
          <w:szCs w:val="31"/>
          <w:lang w:eastAsia="zh-CN"/>
        </w:rPr>
        <w:t>五、一般公共预算财政拨款支出决算表</w:t>
      </w:r>
    </w:p>
    <w:p>
      <w:pPr>
        <w:spacing w:before="238" w:line="227" w:lineRule="auto"/>
        <w:ind w:left="1302"/>
        <w:rPr>
          <w:rFonts w:ascii="仿宋" w:hAnsi="仿宋" w:eastAsia="仿宋" w:cs="仿宋"/>
          <w:sz w:val="31"/>
          <w:szCs w:val="31"/>
          <w:lang w:eastAsia="zh-CN"/>
        </w:rPr>
      </w:pPr>
      <w:r>
        <w:rPr>
          <w:rFonts w:ascii="仿宋" w:hAnsi="仿宋" w:eastAsia="仿宋" w:cs="仿宋"/>
          <w:spacing w:val="-3"/>
          <w:sz w:val="31"/>
          <w:szCs w:val="31"/>
          <w:lang w:eastAsia="zh-CN"/>
        </w:rPr>
        <w:t>六 、一般公共预算财政拨款基本支出决算表</w:t>
      </w:r>
    </w:p>
    <w:p>
      <w:pPr>
        <w:spacing w:before="195" w:line="607" w:lineRule="exact"/>
        <w:ind w:left="1306"/>
        <w:rPr>
          <w:rFonts w:ascii="仿宋" w:hAnsi="仿宋" w:eastAsia="仿宋" w:cs="仿宋"/>
          <w:sz w:val="31"/>
          <w:szCs w:val="31"/>
          <w:lang w:eastAsia="zh-CN"/>
        </w:rPr>
      </w:pPr>
      <w:r>
        <w:rPr>
          <w:rFonts w:ascii="仿宋" w:hAnsi="仿宋" w:eastAsia="仿宋" w:cs="仿宋"/>
          <w:spacing w:val="4"/>
          <w:position w:val="21"/>
          <w:sz w:val="31"/>
          <w:szCs w:val="31"/>
          <w:lang w:eastAsia="zh-CN"/>
        </w:rPr>
        <w:t>七、政府性基金预算财政拨款收入支出决算表</w:t>
      </w:r>
    </w:p>
    <w:p>
      <w:pPr>
        <w:spacing w:line="227" w:lineRule="auto"/>
        <w:ind w:left="1298"/>
        <w:rPr>
          <w:rFonts w:ascii="仿宋" w:hAnsi="仿宋" w:eastAsia="仿宋" w:cs="仿宋"/>
          <w:sz w:val="31"/>
          <w:szCs w:val="31"/>
          <w:lang w:eastAsia="zh-CN"/>
        </w:rPr>
      </w:pPr>
      <w:r>
        <w:rPr>
          <w:rFonts w:ascii="仿宋" w:hAnsi="仿宋" w:eastAsia="仿宋" w:cs="仿宋"/>
          <w:spacing w:val="-3"/>
          <w:sz w:val="31"/>
          <w:szCs w:val="31"/>
          <w:lang w:eastAsia="zh-CN"/>
        </w:rPr>
        <w:t>八、 国有资本经营预算财政拨款支出决算表</w:t>
      </w:r>
    </w:p>
    <w:p>
      <w:pPr>
        <w:spacing w:before="224" w:line="592" w:lineRule="exact"/>
        <w:ind w:left="1311"/>
        <w:rPr>
          <w:rFonts w:ascii="仿宋" w:hAnsi="仿宋" w:eastAsia="仿宋" w:cs="仿宋"/>
          <w:sz w:val="31"/>
          <w:szCs w:val="31"/>
          <w:lang w:eastAsia="zh-CN"/>
        </w:rPr>
      </w:pPr>
      <w:r>
        <w:rPr>
          <w:rFonts w:ascii="仿宋" w:hAnsi="仿宋" w:eastAsia="仿宋" w:cs="仿宋"/>
          <w:spacing w:val="2"/>
          <w:position w:val="20"/>
          <w:sz w:val="31"/>
          <w:szCs w:val="31"/>
          <w:lang w:eastAsia="zh-CN"/>
        </w:rPr>
        <w:t>九、财政拨款“三公”经费支出决算表</w:t>
      </w:r>
    </w:p>
    <w:p>
      <w:pPr>
        <w:spacing w:before="2" w:line="227" w:lineRule="auto"/>
        <w:ind w:left="1308"/>
        <w:rPr>
          <w:rFonts w:ascii="仿宋" w:hAnsi="仿宋" w:eastAsia="仿宋" w:cs="仿宋"/>
          <w:sz w:val="31"/>
          <w:szCs w:val="31"/>
          <w:lang w:eastAsia="zh-CN"/>
        </w:rPr>
      </w:pPr>
      <w:r>
        <w:rPr>
          <w:rFonts w:ascii="仿宋" w:hAnsi="仿宋" w:eastAsia="仿宋" w:cs="仿宋"/>
          <w:spacing w:val="-10"/>
          <w:sz w:val="31"/>
          <w:szCs w:val="31"/>
          <w:lang w:eastAsia="zh-CN"/>
        </w:rPr>
        <w:t>十、国有资产占用情况表</w:t>
      </w:r>
    </w:p>
    <w:p>
      <w:pPr>
        <w:spacing w:line="227" w:lineRule="auto"/>
        <w:rPr>
          <w:rFonts w:ascii="仿宋" w:hAnsi="仿宋" w:eastAsia="仿宋" w:cs="仿宋"/>
          <w:sz w:val="31"/>
          <w:szCs w:val="31"/>
          <w:lang w:eastAsia="zh-CN"/>
        </w:rPr>
        <w:sectPr>
          <w:footerReference r:id="rId3" w:type="default"/>
          <w:pgSz w:w="11840" w:h="16780"/>
          <w:pgMar w:top="1426" w:right="1474" w:bottom="1612" w:left="1620" w:header="0" w:footer="1297" w:gutter="0"/>
          <w:pgNumType w:fmt="numberInDash"/>
          <w:cols w:space="720" w:num="1"/>
        </w:sectPr>
      </w:pPr>
    </w:p>
    <w:p>
      <w:pPr>
        <w:pStyle w:val="2"/>
        <w:spacing w:line="257" w:lineRule="auto"/>
        <w:rPr>
          <w:lang w:eastAsia="zh-CN"/>
        </w:rPr>
      </w:pPr>
    </w:p>
    <w:p>
      <w:pPr>
        <w:pStyle w:val="2"/>
        <w:spacing w:line="257" w:lineRule="auto"/>
        <w:rPr>
          <w:lang w:eastAsia="zh-CN"/>
        </w:rPr>
      </w:pPr>
    </w:p>
    <w:p>
      <w:pPr>
        <w:pStyle w:val="2"/>
        <w:spacing w:line="258" w:lineRule="auto"/>
        <w:rPr>
          <w:lang w:eastAsia="zh-CN"/>
        </w:rPr>
      </w:pPr>
    </w:p>
    <w:p>
      <w:pPr>
        <w:spacing w:before="98" w:line="227" w:lineRule="auto"/>
        <w:ind w:left="645"/>
        <w:rPr>
          <w:rFonts w:ascii="黑体" w:hAnsi="黑体" w:eastAsia="黑体" w:cs="黑体"/>
          <w:sz w:val="30"/>
          <w:szCs w:val="30"/>
          <w:lang w:eastAsia="zh-CN"/>
        </w:rPr>
      </w:pPr>
      <w:r>
        <w:rPr>
          <w:rFonts w:ascii="黑体" w:hAnsi="黑体" w:eastAsia="黑体" w:cs="黑体"/>
          <w:spacing w:val="14"/>
          <w:sz w:val="30"/>
          <w:szCs w:val="30"/>
          <w:lang w:eastAsia="zh-CN"/>
        </w:rPr>
        <w:t>第三部分</w:t>
      </w:r>
      <w:r>
        <w:rPr>
          <w:rFonts w:hint="eastAsia" w:ascii="黑体" w:hAnsi="黑体" w:eastAsia="黑体" w:cs="黑体"/>
          <w:spacing w:val="14"/>
          <w:sz w:val="30"/>
          <w:szCs w:val="30"/>
          <w:lang w:val="en-US" w:eastAsia="zh-CN"/>
        </w:rPr>
        <w:t xml:space="preserve">  </w:t>
      </w:r>
      <w:r>
        <w:rPr>
          <w:rFonts w:ascii="黑体" w:hAnsi="黑体" w:eastAsia="黑体" w:cs="黑体"/>
          <w:spacing w:val="14"/>
          <w:sz w:val="30"/>
          <w:szCs w:val="30"/>
          <w:lang w:eastAsia="zh-CN"/>
        </w:rPr>
        <w:t>2022年度单位决算情况说明</w:t>
      </w:r>
    </w:p>
    <w:p>
      <w:pPr>
        <w:spacing w:before="214" w:line="640" w:lineRule="exact"/>
        <w:ind w:left="1285"/>
        <w:rPr>
          <w:rFonts w:ascii="仿宋" w:hAnsi="仿宋" w:eastAsia="仿宋" w:cs="仿宋"/>
          <w:sz w:val="30"/>
          <w:szCs w:val="30"/>
          <w:lang w:eastAsia="zh-CN"/>
        </w:rPr>
      </w:pPr>
      <w:r>
        <w:rPr>
          <w:rFonts w:ascii="仿宋" w:hAnsi="仿宋" w:eastAsia="仿宋" w:cs="仿宋"/>
          <w:spacing w:val="10"/>
          <w:position w:val="25"/>
          <w:sz w:val="30"/>
          <w:szCs w:val="30"/>
          <w:lang w:eastAsia="zh-CN"/>
        </w:rPr>
        <w:t>一、收入决算情况说明</w:t>
      </w:r>
    </w:p>
    <w:p>
      <w:pPr>
        <w:spacing w:before="1" w:line="227" w:lineRule="auto"/>
        <w:ind w:left="1290"/>
        <w:rPr>
          <w:rFonts w:ascii="仿宋" w:hAnsi="仿宋" w:eastAsia="仿宋" w:cs="仿宋"/>
          <w:sz w:val="30"/>
          <w:szCs w:val="30"/>
          <w:lang w:eastAsia="zh-CN"/>
        </w:rPr>
      </w:pPr>
      <w:r>
        <w:rPr>
          <w:rFonts w:ascii="仿宋" w:hAnsi="仿宋" w:eastAsia="仿宋" w:cs="仿宋"/>
          <w:spacing w:val="-6"/>
          <w:sz w:val="30"/>
          <w:szCs w:val="30"/>
          <w:lang w:eastAsia="zh-CN"/>
        </w:rPr>
        <w:t>二、支出决算情况说明</w:t>
      </w:r>
    </w:p>
    <w:p>
      <w:pPr>
        <w:spacing w:before="219" w:line="228" w:lineRule="auto"/>
        <w:ind w:left="1289"/>
        <w:rPr>
          <w:rFonts w:ascii="仿宋" w:hAnsi="仿宋" w:eastAsia="仿宋" w:cs="仿宋"/>
          <w:sz w:val="30"/>
          <w:szCs w:val="30"/>
          <w:lang w:eastAsia="zh-CN"/>
        </w:rPr>
      </w:pPr>
      <w:r>
        <w:rPr>
          <w:rFonts w:ascii="仿宋" w:hAnsi="仿宋" w:eastAsia="仿宋" w:cs="仿宋"/>
          <w:spacing w:val="1"/>
          <w:sz w:val="30"/>
          <w:szCs w:val="30"/>
          <w:lang w:eastAsia="zh-CN"/>
        </w:rPr>
        <w:t>三 、财政拨款支出决算情况说明</w:t>
      </w:r>
    </w:p>
    <w:p>
      <w:pPr>
        <w:spacing w:before="210" w:line="617" w:lineRule="exact"/>
        <w:ind w:left="1317"/>
        <w:rPr>
          <w:rFonts w:ascii="仿宋" w:hAnsi="仿宋" w:eastAsia="仿宋" w:cs="仿宋"/>
          <w:sz w:val="30"/>
          <w:szCs w:val="30"/>
          <w:lang w:eastAsia="zh-CN"/>
        </w:rPr>
      </w:pPr>
      <w:r>
        <w:rPr>
          <w:rFonts w:ascii="仿宋" w:hAnsi="仿宋" w:eastAsia="仿宋" w:cs="仿宋"/>
          <w:spacing w:val="3"/>
          <w:position w:val="23"/>
          <w:sz w:val="30"/>
          <w:szCs w:val="30"/>
          <w:lang w:eastAsia="zh-CN"/>
        </w:rPr>
        <w:t>四、一般公共预算财政拨款基本支出决算情况说明</w:t>
      </w:r>
    </w:p>
    <w:p>
      <w:pPr>
        <w:spacing w:before="2" w:line="227" w:lineRule="auto"/>
        <w:ind w:left="1285"/>
        <w:rPr>
          <w:rFonts w:ascii="仿宋" w:hAnsi="仿宋" w:eastAsia="仿宋" w:cs="仿宋"/>
          <w:sz w:val="30"/>
          <w:szCs w:val="30"/>
          <w:lang w:eastAsia="zh-CN"/>
        </w:rPr>
      </w:pPr>
      <w:r>
        <w:rPr>
          <w:rFonts w:ascii="仿宋" w:hAnsi="仿宋" w:eastAsia="仿宋" w:cs="仿宋"/>
          <w:spacing w:val="9"/>
          <w:sz w:val="30"/>
          <w:szCs w:val="30"/>
          <w:lang w:eastAsia="zh-CN"/>
        </w:rPr>
        <w:t>五、财政拨款“三公”经费支出决算情况说明</w:t>
      </w:r>
    </w:p>
    <w:p>
      <w:pPr>
        <w:spacing w:before="234" w:line="227" w:lineRule="auto"/>
        <w:ind w:left="1282"/>
        <w:rPr>
          <w:rFonts w:ascii="仿宋" w:hAnsi="仿宋" w:eastAsia="仿宋" w:cs="仿宋"/>
          <w:sz w:val="30"/>
          <w:szCs w:val="30"/>
          <w:lang w:eastAsia="zh-CN"/>
        </w:rPr>
      </w:pPr>
      <w:r>
        <w:rPr>
          <w:rFonts w:ascii="仿宋" w:hAnsi="仿宋" w:eastAsia="仿宋" w:cs="仿宋"/>
          <w:spacing w:val="11"/>
          <w:sz w:val="30"/>
          <w:szCs w:val="30"/>
          <w:lang w:eastAsia="zh-CN"/>
        </w:rPr>
        <w:t>六、机关运行经费支出情况说明</w:t>
      </w:r>
    </w:p>
    <w:p>
      <w:pPr>
        <w:spacing w:before="219" w:line="617" w:lineRule="exact"/>
        <w:ind w:left="1286"/>
        <w:rPr>
          <w:rFonts w:ascii="仿宋" w:hAnsi="仿宋" w:eastAsia="仿宋" w:cs="仿宋"/>
          <w:sz w:val="30"/>
          <w:szCs w:val="30"/>
          <w:lang w:eastAsia="zh-CN"/>
        </w:rPr>
      </w:pPr>
      <w:r>
        <w:rPr>
          <w:rFonts w:ascii="仿宋" w:hAnsi="仿宋" w:eastAsia="仿宋" w:cs="仿宋"/>
          <w:spacing w:val="10"/>
          <w:position w:val="23"/>
          <w:sz w:val="30"/>
          <w:szCs w:val="30"/>
          <w:lang w:eastAsia="zh-CN"/>
        </w:rPr>
        <w:t>七、政府采购支出情况说明</w:t>
      </w:r>
    </w:p>
    <w:p>
      <w:pPr>
        <w:spacing w:before="1" w:line="228" w:lineRule="auto"/>
        <w:ind w:left="1279"/>
        <w:rPr>
          <w:rFonts w:ascii="仿宋" w:hAnsi="仿宋" w:eastAsia="仿宋" w:cs="仿宋"/>
          <w:sz w:val="30"/>
          <w:szCs w:val="30"/>
          <w:lang w:eastAsia="zh-CN"/>
        </w:rPr>
      </w:pPr>
      <w:r>
        <w:rPr>
          <w:rFonts w:ascii="仿宋" w:hAnsi="仿宋" w:eastAsia="仿宋" w:cs="仿宋"/>
          <w:spacing w:val="2"/>
          <w:sz w:val="30"/>
          <w:szCs w:val="30"/>
          <w:lang w:eastAsia="zh-CN"/>
        </w:rPr>
        <w:t>八 、国有资产占用情况说明</w:t>
      </w:r>
    </w:p>
    <w:p>
      <w:pPr>
        <w:spacing w:before="226" w:line="228" w:lineRule="auto"/>
        <w:ind w:left="1291"/>
        <w:rPr>
          <w:rFonts w:ascii="仿宋" w:hAnsi="仿宋" w:eastAsia="仿宋" w:cs="仿宋"/>
          <w:sz w:val="30"/>
          <w:szCs w:val="30"/>
          <w:lang w:eastAsia="zh-CN"/>
        </w:rPr>
      </w:pPr>
      <w:r>
        <w:rPr>
          <w:rFonts w:ascii="仿宋" w:hAnsi="仿宋" w:eastAsia="仿宋" w:cs="仿宋"/>
          <w:spacing w:val="-3"/>
          <w:sz w:val="30"/>
          <w:szCs w:val="30"/>
          <w:lang w:eastAsia="zh-CN"/>
        </w:rPr>
        <w:t>九、 预算绩效情况说明</w:t>
      </w:r>
    </w:p>
    <w:p>
      <w:pPr>
        <w:spacing w:before="227" w:line="228" w:lineRule="auto"/>
        <w:ind w:left="657"/>
        <w:rPr>
          <w:rFonts w:ascii="黑体" w:hAnsi="黑体" w:eastAsia="黑体" w:cs="黑体"/>
          <w:sz w:val="30"/>
          <w:szCs w:val="30"/>
          <w:lang w:eastAsia="zh-CN"/>
        </w:rPr>
      </w:pPr>
      <w:r>
        <w:rPr>
          <w:rFonts w:ascii="黑体" w:hAnsi="黑体" w:eastAsia="黑体" w:cs="黑体"/>
          <w:spacing w:val="9"/>
          <w:sz w:val="30"/>
          <w:szCs w:val="30"/>
          <w:lang w:eastAsia="zh-CN"/>
        </w:rPr>
        <w:t>第四部分</w:t>
      </w:r>
      <w:r>
        <w:rPr>
          <w:rFonts w:hint="eastAsia" w:ascii="黑体" w:hAnsi="黑体" w:eastAsia="黑体" w:cs="黑体"/>
          <w:spacing w:val="9"/>
          <w:sz w:val="30"/>
          <w:szCs w:val="30"/>
          <w:lang w:val="en-US" w:eastAsia="zh-CN"/>
        </w:rPr>
        <w:t xml:space="preserve">  </w:t>
      </w:r>
      <w:r>
        <w:rPr>
          <w:rFonts w:ascii="黑体" w:hAnsi="黑体" w:eastAsia="黑体" w:cs="黑体"/>
          <w:spacing w:val="9"/>
          <w:sz w:val="30"/>
          <w:szCs w:val="30"/>
          <w:lang w:eastAsia="zh-CN"/>
        </w:rPr>
        <w:t>名词解释</w:t>
      </w:r>
    </w:p>
    <w:p>
      <w:pPr>
        <w:spacing w:line="228" w:lineRule="auto"/>
        <w:rPr>
          <w:rFonts w:ascii="黑体" w:hAnsi="黑体" w:eastAsia="黑体" w:cs="黑体"/>
          <w:sz w:val="30"/>
          <w:szCs w:val="30"/>
          <w:lang w:eastAsia="zh-CN"/>
        </w:rPr>
        <w:sectPr>
          <w:footerReference r:id="rId4" w:type="default"/>
          <w:pgSz w:w="11840" w:h="16800"/>
          <w:pgMar w:top="1428" w:right="1776" w:bottom="1586" w:left="1639" w:header="0" w:footer="1282" w:gutter="0"/>
          <w:pgNumType w:fmt="numberInDash"/>
          <w:cols w:space="720" w:num="1"/>
        </w:sectPr>
      </w:pPr>
    </w:p>
    <w:p>
      <w:pPr>
        <w:spacing w:before="137" w:line="224" w:lineRule="auto"/>
        <w:jc w:val="center"/>
        <w:rPr>
          <w:rFonts w:ascii="宋体" w:hAnsi="宋体" w:eastAsia="宋体" w:cs="宋体"/>
          <w:sz w:val="44"/>
          <w:szCs w:val="44"/>
          <w:lang w:eastAsia="zh-CN"/>
        </w:rPr>
      </w:pPr>
      <w:r>
        <w:rPr>
          <w:rFonts w:ascii="宋体" w:hAnsi="宋体" w:eastAsia="宋体" w:cs="宋体"/>
          <w:spacing w:val="11"/>
          <w:sz w:val="42"/>
          <w:szCs w:val="42"/>
          <w:lang w:eastAsia="zh-CN"/>
        </w:rPr>
        <w:t>第一部分</w:t>
      </w:r>
      <w:r>
        <w:rPr>
          <w:rFonts w:hint="eastAsia" w:ascii="宋体" w:hAnsi="宋体" w:eastAsia="宋体" w:cs="宋体"/>
          <w:spacing w:val="11"/>
          <w:sz w:val="42"/>
          <w:szCs w:val="42"/>
          <w:lang w:val="en-US" w:eastAsia="zh-CN"/>
        </w:rPr>
        <w:t xml:space="preserve">  </w:t>
      </w:r>
      <w:r>
        <w:rPr>
          <w:rFonts w:hint="eastAsia" w:ascii="宋体" w:hAnsi="宋体" w:eastAsia="宋体" w:cs="宋体"/>
          <w:spacing w:val="11"/>
          <w:sz w:val="42"/>
          <w:szCs w:val="42"/>
          <w:lang w:eastAsia="zh-CN"/>
        </w:rPr>
        <w:t>浮梁县森林资源监测中心单位</w:t>
      </w:r>
      <w:r>
        <w:rPr>
          <w:rFonts w:ascii="宋体" w:hAnsi="宋体" w:eastAsia="宋体" w:cs="宋体"/>
          <w:spacing w:val="11"/>
          <w:sz w:val="42"/>
          <w:szCs w:val="42"/>
          <w:lang w:eastAsia="zh-CN"/>
        </w:rPr>
        <w:t>概况</w:t>
      </w:r>
    </w:p>
    <w:p>
      <w:pPr>
        <w:pStyle w:val="2"/>
        <w:spacing w:line="331" w:lineRule="auto"/>
        <w:rPr>
          <w:lang w:eastAsia="zh-CN"/>
        </w:rPr>
      </w:pPr>
    </w:p>
    <w:p>
      <w:pPr>
        <w:pStyle w:val="2"/>
        <w:spacing w:line="331" w:lineRule="auto"/>
        <w:rPr>
          <w:lang w:eastAsia="zh-CN"/>
        </w:rPr>
      </w:pPr>
    </w:p>
    <w:p>
      <w:pPr>
        <w:spacing w:before="104" w:line="226" w:lineRule="auto"/>
        <w:ind w:left="598"/>
        <w:outlineLvl w:val="0"/>
        <w:rPr>
          <w:rFonts w:ascii="黑体" w:hAnsi="黑体" w:eastAsia="黑体" w:cs="黑体"/>
          <w:sz w:val="32"/>
          <w:szCs w:val="32"/>
          <w:lang w:eastAsia="zh-CN"/>
        </w:rPr>
      </w:pPr>
      <w:r>
        <w:rPr>
          <w:rFonts w:ascii="黑体" w:hAnsi="黑体" w:eastAsia="黑体" w:cs="黑体"/>
          <w:spacing w:val="-7"/>
          <w:sz w:val="32"/>
          <w:szCs w:val="32"/>
          <w:lang w:eastAsia="zh-CN"/>
        </w:rPr>
        <w:t>一、单位主要职责</w:t>
      </w:r>
    </w:p>
    <w:p>
      <w:pPr>
        <w:spacing w:line="520" w:lineRule="exact"/>
        <w:ind w:firstLine="560" w:firstLineChars="200"/>
        <w:rPr>
          <w:sz w:val="28"/>
          <w:szCs w:val="28"/>
          <w:lang w:eastAsia="zh-CN"/>
        </w:rPr>
      </w:pPr>
      <w:r>
        <w:rPr>
          <w:rFonts w:hint="eastAsia"/>
          <w:sz w:val="28"/>
          <w:szCs w:val="28"/>
          <w:lang w:eastAsia="zh-CN"/>
        </w:rPr>
        <w:t>(一)负责全县森林、湿地、草地资源的监督管理。组织编制并监督执行全县森林采伐限额。</w:t>
      </w:r>
    </w:p>
    <w:p>
      <w:pPr>
        <w:spacing w:line="520" w:lineRule="exact"/>
        <w:ind w:firstLine="560" w:firstLineChars="200"/>
        <w:rPr>
          <w:sz w:val="28"/>
          <w:szCs w:val="28"/>
          <w:lang w:eastAsia="zh-CN"/>
        </w:rPr>
      </w:pPr>
      <w:r>
        <w:rPr>
          <w:rFonts w:hint="eastAsia"/>
          <w:sz w:val="28"/>
          <w:szCs w:val="28"/>
          <w:lang w:eastAsia="zh-CN"/>
        </w:rPr>
        <w:t>(二)负责林地管理，拟订全县林地保护利用规划并组织实施。组织开展公益林划定和管理工作，监督管理国有森林资源。</w:t>
      </w:r>
    </w:p>
    <w:p>
      <w:pPr>
        <w:spacing w:line="520" w:lineRule="exact"/>
        <w:ind w:firstLine="560" w:firstLineChars="200"/>
        <w:rPr>
          <w:sz w:val="28"/>
          <w:szCs w:val="28"/>
          <w:lang w:eastAsia="zh-CN"/>
        </w:rPr>
      </w:pPr>
      <w:r>
        <w:rPr>
          <w:rFonts w:hint="eastAsia"/>
          <w:sz w:val="28"/>
          <w:szCs w:val="28"/>
          <w:lang w:eastAsia="zh-CN"/>
        </w:rPr>
        <w:t>(三)负责草地草畜平衡和草地生态修复治理工作，监督管理草地的开发利用。</w:t>
      </w:r>
    </w:p>
    <w:p>
      <w:pPr>
        <w:spacing w:line="520" w:lineRule="exact"/>
        <w:ind w:firstLine="560" w:firstLineChars="200"/>
        <w:rPr>
          <w:rFonts w:ascii="仿宋" w:hAnsi="仿宋" w:eastAsia="宋体" w:cs="宋体"/>
          <w:color w:val="auto"/>
          <w:sz w:val="30"/>
          <w:szCs w:val="30"/>
          <w:shd w:val="clear" w:color="auto" w:fill="FFFFFF"/>
          <w:lang w:eastAsia="zh-CN"/>
        </w:rPr>
      </w:pPr>
      <w:r>
        <w:rPr>
          <w:rFonts w:hint="eastAsia"/>
          <w:sz w:val="28"/>
          <w:szCs w:val="28"/>
          <w:lang w:eastAsia="zh-CN"/>
        </w:rPr>
        <w:t>(四)负责湿地生态保护修复工作，拟订全县湿地保护规划，组织实施建立湿地公园等保护管理工作，监督管理湿地的开发利用。</w:t>
      </w:r>
    </w:p>
    <w:p>
      <w:pPr>
        <w:spacing w:before="305" w:line="228" w:lineRule="auto"/>
        <w:ind w:left="598"/>
        <w:outlineLvl w:val="0"/>
        <w:rPr>
          <w:rFonts w:ascii="黑体" w:hAnsi="黑体" w:eastAsia="黑体" w:cs="黑体"/>
          <w:sz w:val="32"/>
          <w:szCs w:val="32"/>
          <w:lang w:eastAsia="zh-CN"/>
        </w:rPr>
      </w:pPr>
      <w:r>
        <w:rPr>
          <w:rFonts w:ascii="黑体" w:hAnsi="黑体" w:eastAsia="黑体" w:cs="黑体"/>
          <w:spacing w:val="-7"/>
          <w:sz w:val="32"/>
          <w:szCs w:val="32"/>
          <w:lang w:eastAsia="zh-CN"/>
        </w:rPr>
        <w:t>二、单位基本情况</w:t>
      </w:r>
    </w:p>
    <w:p>
      <w:pPr>
        <w:spacing w:line="520" w:lineRule="exact"/>
        <w:ind w:firstLine="560" w:firstLineChars="200"/>
        <w:rPr>
          <w:rFonts w:hint="eastAsia"/>
          <w:sz w:val="28"/>
          <w:szCs w:val="28"/>
          <w:lang w:eastAsia="zh-CN"/>
        </w:rPr>
      </w:pPr>
      <w:r>
        <w:rPr>
          <w:rFonts w:hint="eastAsia"/>
          <w:sz w:val="28"/>
          <w:szCs w:val="28"/>
          <w:lang w:val="en-US" w:eastAsia="zh-CN"/>
        </w:rPr>
        <w:t>本单位无内设机构，</w:t>
      </w:r>
      <w:r>
        <w:rPr>
          <w:rFonts w:hint="eastAsia"/>
          <w:sz w:val="28"/>
          <w:szCs w:val="28"/>
          <w:lang w:eastAsia="zh-CN"/>
        </w:rPr>
        <w:t>隶属浮梁县林业局的全额拨款的股级事业单位，独立机构1个。</w:t>
      </w:r>
    </w:p>
    <w:p>
      <w:pPr>
        <w:spacing w:line="520" w:lineRule="exact"/>
        <w:ind w:firstLine="560" w:firstLineChars="200"/>
        <w:rPr>
          <w:rFonts w:hint="eastAsia"/>
          <w:sz w:val="28"/>
          <w:szCs w:val="28"/>
          <w:lang w:eastAsia="zh-CN"/>
        </w:rPr>
      </w:pPr>
      <w:r>
        <w:rPr>
          <w:rFonts w:hint="eastAsia"/>
          <w:sz w:val="28"/>
          <w:szCs w:val="28"/>
          <w:lang w:eastAsia="zh-CN"/>
        </w:rPr>
        <w:t>本单位2022 年年末实有人数15人，其中在职人员15人，离休人员0人，退休人员</w:t>
      </w:r>
      <w:r>
        <w:rPr>
          <w:rFonts w:hint="eastAsia"/>
          <w:sz w:val="28"/>
          <w:szCs w:val="28"/>
          <w:lang w:val="en-US" w:eastAsia="zh-CN"/>
        </w:rPr>
        <w:t>0</w:t>
      </w:r>
      <w:r>
        <w:rPr>
          <w:rFonts w:hint="eastAsia"/>
          <w:sz w:val="28"/>
          <w:szCs w:val="28"/>
          <w:lang w:eastAsia="zh-CN"/>
        </w:rPr>
        <w:t>人(不含由养老保险基金发放养老金的离退休人员);年末其他人员0人；年末学生人数0人；由养老保险基金发放养老金的离退休人员</w:t>
      </w:r>
      <w:r>
        <w:rPr>
          <w:rFonts w:hint="eastAsia"/>
          <w:sz w:val="28"/>
          <w:szCs w:val="28"/>
          <w:lang w:val="en-US" w:eastAsia="zh-CN"/>
        </w:rPr>
        <w:t>6</w:t>
      </w:r>
      <w:r>
        <w:rPr>
          <w:rFonts w:hint="eastAsia"/>
          <w:sz w:val="28"/>
          <w:szCs w:val="28"/>
          <w:lang w:eastAsia="zh-CN"/>
        </w:rPr>
        <w:t>人。</w:t>
      </w:r>
    </w:p>
    <w:p>
      <w:pPr>
        <w:spacing w:line="225" w:lineRule="auto"/>
        <w:rPr>
          <w:rFonts w:ascii="仿宋" w:hAnsi="仿宋" w:eastAsia="仿宋" w:cs="仿宋"/>
          <w:sz w:val="32"/>
          <w:szCs w:val="32"/>
          <w:lang w:eastAsia="zh-CN"/>
        </w:rPr>
        <w:sectPr>
          <w:footerReference r:id="rId5" w:type="default"/>
          <w:pgSz w:w="11840" w:h="16780"/>
          <w:pgMar w:top="1426" w:right="1453" w:bottom="1628" w:left="1673" w:header="0" w:footer="1304" w:gutter="0"/>
          <w:pgNumType w:fmt="numberInDash"/>
          <w:cols w:space="720" w:num="1"/>
        </w:sectPr>
      </w:pPr>
    </w:p>
    <w:p>
      <w:pPr>
        <w:spacing w:before="136" w:line="224" w:lineRule="auto"/>
        <w:jc w:val="center"/>
        <w:rPr>
          <w:rFonts w:ascii="宋体" w:hAnsi="宋体" w:eastAsia="宋体" w:cs="宋体"/>
          <w:spacing w:val="11"/>
          <w:sz w:val="42"/>
          <w:szCs w:val="42"/>
          <w:lang w:eastAsia="zh-CN"/>
        </w:rPr>
      </w:pPr>
      <w:r>
        <w:rPr>
          <w:rFonts w:ascii="宋体" w:hAnsi="宋体" w:eastAsia="宋体" w:cs="宋体"/>
          <w:spacing w:val="11"/>
          <w:sz w:val="42"/>
          <w:szCs w:val="42"/>
          <w:lang w:eastAsia="zh-CN"/>
        </w:rPr>
        <w:t>第二部分</w:t>
      </w:r>
      <w:r>
        <w:rPr>
          <w:rFonts w:hint="eastAsia" w:ascii="宋体" w:hAnsi="宋体" w:eastAsia="宋体" w:cs="宋体"/>
          <w:spacing w:val="11"/>
          <w:sz w:val="42"/>
          <w:szCs w:val="42"/>
          <w:lang w:val="en-US" w:eastAsia="zh-CN"/>
        </w:rPr>
        <w:t xml:space="preserve">  </w:t>
      </w:r>
      <w:r>
        <w:rPr>
          <w:rFonts w:ascii="宋体" w:hAnsi="宋体" w:eastAsia="宋体" w:cs="宋体"/>
          <w:spacing w:val="11"/>
          <w:sz w:val="42"/>
          <w:szCs w:val="42"/>
          <w:lang w:eastAsia="zh-CN"/>
        </w:rPr>
        <w:t>2022年度单位决算表</w:t>
      </w:r>
    </w:p>
    <w:p>
      <w:pPr>
        <w:spacing w:before="136" w:line="224" w:lineRule="auto"/>
        <w:ind w:left="1594"/>
        <w:rPr>
          <w:rFonts w:ascii="宋体" w:hAnsi="宋体" w:eastAsia="宋体" w:cs="宋体"/>
          <w:spacing w:val="11"/>
          <w:sz w:val="42"/>
          <w:szCs w:val="42"/>
          <w:lang w:eastAsia="zh-CN"/>
        </w:rPr>
      </w:pPr>
    </w:p>
    <w:p>
      <w:pPr>
        <w:spacing w:before="8"/>
        <w:rPr>
          <w:rFonts w:hint="eastAsia" w:eastAsia="宋体"/>
          <w:lang w:eastAsia="zh-CN"/>
        </w:rPr>
      </w:pPr>
      <w:r>
        <w:rPr>
          <w:rFonts w:hint="eastAsia" w:eastAsia="宋体"/>
          <w:lang w:eastAsia="zh-CN"/>
        </w:rPr>
        <w:drawing>
          <wp:inline distT="0" distB="0" distL="114300" distR="114300">
            <wp:extent cx="5535930" cy="5267960"/>
            <wp:effectExtent l="0" t="0" r="1270" b="2540"/>
            <wp:docPr id="10" name="图片 10" descr="浮梁县森林资源监测中心_GK01 收入支出决算总表(公开01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浮梁县森林资源监测中心_GK01 收入支出决算总表(公开01表)"/>
                    <pic:cNvPicPr>
                      <a:picLocks noChangeAspect="1"/>
                    </pic:cNvPicPr>
                  </pic:nvPicPr>
                  <pic:blipFill>
                    <a:blip r:embed="rId9"/>
                    <a:stretch>
                      <a:fillRect/>
                    </a:stretch>
                  </pic:blipFill>
                  <pic:spPr>
                    <a:xfrm>
                      <a:off x="0" y="0"/>
                      <a:ext cx="5535930" cy="5267960"/>
                    </a:xfrm>
                    <a:prstGeom prst="rect">
                      <a:avLst/>
                    </a:prstGeom>
                  </pic:spPr>
                </pic:pic>
              </a:graphicData>
            </a:graphic>
          </wp:inline>
        </w:drawing>
      </w:r>
      <w:r>
        <w:rPr>
          <w:rFonts w:hint="eastAsia" w:eastAsia="宋体"/>
          <w:lang w:eastAsia="zh-CN"/>
        </w:rPr>
        <w:drawing>
          <wp:inline distT="0" distB="0" distL="114300" distR="114300">
            <wp:extent cx="5534025" cy="1860550"/>
            <wp:effectExtent l="0" t="0" r="3175" b="6350"/>
            <wp:docPr id="9" name="图片 9" descr="浮梁县森林资源监测中心_GK02 收入决算表(公开02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浮梁县森林资源监测中心_GK02 收入决算表(公开02表)"/>
                    <pic:cNvPicPr>
                      <a:picLocks noChangeAspect="1"/>
                    </pic:cNvPicPr>
                  </pic:nvPicPr>
                  <pic:blipFill>
                    <a:blip r:embed="rId10"/>
                    <a:stretch>
                      <a:fillRect/>
                    </a:stretch>
                  </pic:blipFill>
                  <pic:spPr>
                    <a:xfrm>
                      <a:off x="0" y="0"/>
                      <a:ext cx="5534025" cy="1860550"/>
                    </a:xfrm>
                    <a:prstGeom prst="rect">
                      <a:avLst/>
                    </a:prstGeom>
                  </pic:spPr>
                </pic:pic>
              </a:graphicData>
            </a:graphic>
          </wp:inline>
        </w:drawing>
      </w:r>
      <w:r>
        <w:rPr>
          <w:rFonts w:hint="eastAsia" w:eastAsia="宋体"/>
          <w:lang w:eastAsia="zh-CN"/>
        </w:rPr>
        <w:drawing>
          <wp:inline distT="0" distB="0" distL="114300" distR="114300">
            <wp:extent cx="5543550" cy="2322830"/>
            <wp:effectExtent l="0" t="0" r="6350" b="1270"/>
            <wp:docPr id="8" name="图片 8" descr="浮梁县森林资源监测中心_GK03 支出决算表(公开03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浮梁县森林资源监测中心_GK03 支出决算表(公开03表)"/>
                    <pic:cNvPicPr>
                      <a:picLocks noChangeAspect="1"/>
                    </pic:cNvPicPr>
                  </pic:nvPicPr>
                  <pic:blipFill>
                    <a:blip r:embed="rId11"/>
                    <a:stretch>
                      <a:fillRect/>
                    </a:stretch>
                  </pic:blipFill>
                  <pic:spPr>
                    <a:xfrm>
                      <a:off x="0" y="0"/>
                      <a:ext cx="5543550" cy="2322830"/>
                    </a:xfrm>
                    <a:prstGeom prst="rect">
                      <a:avLst/>
                    </a:prstGeom>
                  </pic:spPr>
                </pic:pic>
              </a:graphicData>
            </a:graphic>
          </wp:inline>
        </w:drawing>
      </w:r>
      <w:r>
        <w:rPr>
          <w:rFonts w:hint="eastAsia" w:eastAsia="宋体"/>
          <w:lang w:eastAsia="zh-CN"/>
        </w:rPr>
        <w:drawing>
          <wp:inline distT="0" distB="0" distL="114300" distR="114300">
            <wp:extent cx="5542915" cy="3876040"/>
            <wp:effectExtent l="0" t="0" r="6985" b="10160"/>
            <wp:docPr id="7" name="图片 7" descr="浮梁县森林资源监测中心_GK04 财政拨款收入支出决算总表(公开04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浮梁县森林资源监测中心_GK04 财政拨款收入支出决算总表(公开04表)"/>
                    <pic:cNvPicPr>
                      <a:picLocks noChangeAspect="1"/>
                    </pic:cNvPicPr>
                  </pic:nvPicPr>
                  <pic:blipFill>
                    <a:blip r:embed="rId12"/>
                    <a:stretch>
                      <a:fillRect/>
                    </a:stretch>
                  </pic:blipFill>
                  <pic:spPr>
                    <a:xfrm>
                      <a:off x="0" y="0"/>
                      <a:ext cx="5542915" cy="3876040"/>
                    </a:xfrm>
                    <a:prstGeom prst="rect">
                      <a:avLst/>
                    </a:prstGeom>
                  </pic:spPr>
                </pic:pic>
              </a:graphicData>
            </a:graphic>
          </wp:inline>
        </w:drawing>
      </w:r>
      <w:r>
        <w:rPr>
          <w:rFonts w:hint="eastAsia" w:eastAsia="宋体"/>
          <w:lang w:eastAsia="zh-CN"/>
        </w:rPr>
        <w:drawing>
          <wp:inline distT="0" distB="0" distL="114300" distR="114300">
            <wp:extent cx="5544820" cy="3355340"/>
            <wp:effectExtent l="0" t="0" r="5080" b="10160"/>
            <wp:docPr id="6" name="图片 6" descr="浮梁县森林资源监测中心_GK05 一般公共预算财政拨款支出决算表(公开05表)"/>
            <wp:cNvGraphicFramePr/>
            <a:graphic xmlns:a="http://schemas.openxmlformats.org/drawingml/2006/main">
              <a:graphicData uri="http://schemas.openxmlformats.org/drawingml/2006/picture">
                <pic:pic xmlns:pic="http://schemas.openxmlformats.org/drawingml/2006/picture">
                  <pic:nvPicPr>
                    <pic:cNvPr id="6" name="图片 6" descr="浮梁县森林资源监测中心_GK05 一般公共预算财政拨款支出决算表(公开05表)"/>
                    <pic:cNvPicPr/>
                  </pic:nvPicPr>
                  <pic:blipFill>
                    <a:blip r:embed="rId13"/>
                    <a:stretch>
                      <a:fillRect/>
                    </a:stretch>
                  </pic:blipFill>
                  <pic:spPr>
                    <a:xfrm>
                      <a:off x="0" y="0"/>
                      <a:ext cx="5544820" cy="3355340"/>
                    </a:xfrm>
                    <a:prstGeom prst="rect">
                      <a:avLst/>
                    </a:prstGeom>
                  </pic:spPr>
                </pic:pic>
              </a:graphicData>
            </a:graphic>
          </wp:inline>
        </w:drawing>
      </w:r>
      <w:r>
        <w:rPr>
          <w:rFonts w:hint="eastAsia" w:eastAsia="宋体"/>
          <w:lang w:eastAsia="zh-CN"/>
        </w:rPr>
        <w:drawing>
          <wp:inline distT="0" distB="0" distL="114300" distR="114300">
            <wp:extent cx="5541010" cy="8397875"/>
            <wp:effectExtent l="0" t="0" r="8890" b="9525"/>
            <wp:docPr id="5" name="图片 5" descr="浮梁县森林资源监测中心_GK06 一般公共预算财政拨款基本支出决算表(公开06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浮梁县森林资源监测中心_GK06 一般公共预算财政拨款基本支出决算表(公开06表)"/>
                    <pic:cNvPicPr>
                      <a:picLocks noChangeAspect="1"/>
                    </pic:cNvPicPr>
                  </pic:nvPicPr>
                  <pic:blipFill>
                    <a:blip r:embed="rId14"/>
                    <a:stretch>
                      <a:fillRect/>
                    </a:stretch>
                  </pic:blipFill>
                  <pic:spPr>
                    <a:xfrm>
                      <a:off x="0" y="0"/>
                      <a:ext cx="5541010" cy="8397875"/>
                    </a:xfrm>
                    <a:prstGeom prst="rect">
                      <a:avLst/>
                    </a:prstGeom>
                  </pic:spPr>
                </pic:pic>
              </a:graphicData>
            </a:graphic>
          </wp:inline>
        </w:drawing>
      </w:r>
      <w:r>
        <w:rPr>
          <w:rFonts w:hint="eastAsia" w:eastAsia="宋体"/>
          <w:lang w:eastAsia="zh-CN"/>
        </w:rPr>
        <w:drawing>
          <wp:inline distT="0" distB="0" distL="114300" distR="114300">
            <wp:extent cx="5544820" cy="1882140"/>
            <wp:effectExtent l="0" t="0" r="5080" b="10160"/>
            <wp:docPr id="4" name="图片 4" descr="浮梁县森林资源监测中心_GK07 政府性基金预算财政拨款收入支出决算表(公开07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浮梁县森林资源监测中心_GK07 政府性基金预算财政拨款收入支出决算表(公开07表)"/>
                    <pic:cNvPicPr>
                      <a:picLocks noChangeAspect="1"/>
                    </pic:cNvPicPr>
                  </pic:nvPicPr>
                  <pic:blipFill>
                    <a:blip r:embed="rId15"/>
                    <a:stretch>
                      <a:fillRect/>
                    </a:stretch>
                  </pic:blipFill>
                  <pic:spPr>
                    <a:xfrm>
                      <a:off x="0" y="0"/>
                      <a:ext cx="5544820" cy="1882140"/>
                    </a:xfrm>
                    <a:prstGeom prst="rect">
                      <a:avLst/>
                    </a:prstGeom>
                  </pic:spPr>
                </pic:pic>
              </a:graphicData>
            </a:graphic>
          </wp:inline>
        </w:drawing>
      </w:r>
      <w:r>
        <w:rPr>
          <w:rFonts w:hint="eastAsia" w:eastAsia="宋体"/>
          <w:lang w:eastAsia="zh-CN"/>
        </w:rPr>
        <w:drawing>
          <wp:inline distT="0" distB="0" distL="114300" distR="114300">
            <wp:extent cx="5542915" cy="2809875"/>
            <wp:effectExtent l="0" t="0" r="6985" b="9525"/>
            <wp:docPr id="3" name="图片 3" descr="浮梁县森林资源监测中心_GK08 国有资本经营预算财政拨款支出决算表(公开08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浮梁县森林资源监测中心_GK08 国有资本经营预算财政拨款支出决算表(公开08表)"/>
                    <pic:cNvPicPr>
                      <a:picLocks noChangeAspect="1"/>
                    </pic:cNvPicPr>
                  </pic:nvPicPr>
                  <pic:blipFill>
                    <a:blip r:embed="rId16"/>
                    <a:stretch>
                      <a:fillRect/>
                    </a:stretch>
                  </pic:blipFill>
                  <pic:spPr>
                    <a:xfrm>
                      <a:off x="0" y="0"/>
                      <a:ext cx="5542915" cy="2809875"/>
                    </a:xfrm>
                    <a:prstGeom prst="rect">
                      <a:avLst/>
                    </a:prstGeom>
                  </pic:spPr>
                </pic:pic>
              </a:graphicData>
            </a:graphic>
          </wp:inline>
        </w:drawing>
      </w:r>
      <w:r>
        <w:rPr>
          <w:rFonts w:hint="eastAsia" w:eastAsia="宋体"/>
          <w:lang w:eastAsia="zh-CN"/>
        </w:rPr>
        <w:drawing>
          <wp:inline distT="0" distB="0" distL="114300" distR="114300">
            <wp:extent cx="5533390" cy="4727575"/>
            <wp:effectExtent l="0" t="0" r="3810" b="9525"/>
            <wp:docPr id="2" name="图片 2" descr="浮梁县森林资源监测中心_GK09 财政拨款“三公”经费支出决算表(公开09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浮梁县森林资源监测中心_GK09 财政拨款“三公”经费支出决算表(公开09表)"/>
                    <pic:cNvPicPr>
                      <a:picLocks noChangeAspect="1"/>
                    </pic:cNvPicPr>
                  </pic:nvPicPr>
                  <pic:blipFill>
                    <a:blip r:embed="rId17"/>
                    <a:stretch>
                      <a:fillRect/>
                    </a:stretch>
                  </pic:blipFill>
                  <pic:spPr>
                    <a:xfrm>
                      <a:off x="0" y="0"/>
                      <a:ext cx="5533390" cy="4727575"/>
                    </a:xfrm>
                    <a:prstGeom prst="rect">
                      <a:avLst/>
                    </a:prstGeom>
                  </pic:spPr>
                </pic:pic>
              </a:graphicData>
            </a:graphic>
          </wp:inline>
        </w:drawing>
      </w:r>
      <w:r>
        <w:rPr>
          <w:rFonts w:hint="eastAsia" w:eastAsia="宋体"/>
          <w:lang w:eastAsia="zh-CN"/>
        </w:rPr>
        <w:drawing>
          <wp:inline distT="0" distB="0" distL="114300" distR="114300">
            <wp:extent cx="5533390" cy="3130550"/>
            <wp:effectExtent l="0" t="0" r="3810" b="6350"/>
            <wp:docPr id="1" name="图片 1" descr="浮梁县森林资源监测中心_GK10 国有资产占用情况表(公开10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浮梁县森林资源监测中心_GK10 国有资产占用情况表(公开10表)"/>
                    <pic:cNvPicPr>
                      <a:picLocks noChangeAspect="1"/>
                    </pic:cNvPicPr>
                  </pic:nvPicPr>
                  <pic:blipFill>
                    <a:blip r:embed="rId18"/>
                    <a:stretch>
                      <a:fillRect/>
                    </a:stretch>
                  </pic:blipFill>
                  <pic:spPr>
                    <a:xfrm>
                      <a:off x="0" y="0"/>
                      <a:ext cx="5533390" cy="3130550"/>
                    </a:xfrm>
                    <a:prstGeom prst="rect">
                      <a:avLst/>
                    </a:prstGeom>
                  </pic:spPr>
                </pic:pic>
              </a:graphicData>
            </a:graphic>
          </wp:inline>
        </w:drawing>
      </w:r>
    </w:p>
    <w:p>
      <w:pPr>
        <w:pStyle w:val="2"/>
        <w:spacing w:line="325" w:lineRule="auto"/>
      </w:pPr>
    </w:p>
    <w:p>
      <w:pPr>
        <w:spacing w:before="137" w:line="224" w:lineRule="auto"/>
        <w:ind w:left="969"/>
        <w:rPr>
          <w:rFonts w:ascii="宋体" w:hAnsi="宋体" w:eastAsia="宋体" w:cs="宋体"/>
          <w:spacing w:val="12"/>
          <w:sz w:val="42"/>
          <w:szCs w:val="42"/>
          <w:lang w:eastAsia="zh-CN"/>
        </w:rPr>
      </w:pPr>
    </w:p>
    <w:p>
      <w:pPr>
        <w:spacing w:before="136" w:line="224" w:lineRule="auto"/>
        <w:jc w:val="center"/>
        <w:rPr>
          <w:rFonts w:ascii="宋体" w:hAnsi="宋体" w:eastAsia="宋体" w:cs="宋体"/>
          <w:spacing w:val="11"/>
          <w:sz w:val="42"/>
          <w:szCs w:val="42"/>
          <w:lang w:eastAsia="zh-CN"/>
        </w:rPr>
      </w:pPr>
      <w:r>
        <w:rPr>
          <w:rFonts w:ascii="宋体" w:hAnsi="宋体" w:eastAsia="宋体" w:cs="宋体"/>
          <w:spacing w:val="11"/>
          <w:sz w:val="42"/>
          <w:szCs w:val="42"/>
          <w:lang w:eastAsia="zh-CN"/>
        </w:rPr>
        <w:t>第三部分</w:t>
      </w:r>
      <w:r>
        <w:rPr>
          <w:rFonts w:hint="eastAsia" w:ascii="宋体" w:hAnsi="宋体" w:eastAsia="宋体" w:cs="宋体"/>
          <w:spacing w:val="11"/>
          <w:sz w:val="42"/>
          <w:szCs w:val="42"/>
          <w:lang w:val="en-US" w:eastAsia="zh-CN"/>
        </w:rPr>
        <w:t xml:space="preserve">  </w:t>
      </w:r>
      <w:r>
        <w:rPr>
          <w:rFonts w:ascii="宋体" w:hAnsi="宋体" w:eastAsia="宋体" w:cs="宋体"/>
          <w:spacing w:val="11"/>
          <w:sz w:val="42"/>
          <w:szCs w:val="42"/>
          <w:lang w:eastAsia="zh-CN"/>
        </w:rPr>
        <w:t>2022年度单位决算情况说明</w:t>
      </w:r>
    </w:p>
    <w:p>
      <w:pPr>
        <w:pStyle w:val="2"/>
        <w:spacing w:line="307" w:lineRule="auto"/>
        <w:rPr>
          <w:lang w:eastAsia="zh-CN"/>
        </w:rPr>
      </w:pPr>
    </w:p>
    <w:p>
      <w:pPr>
        <w:pStyle w:val="2"/>
        <w:spacing w:line="308" w:lineRule="auto"/>
        <w:rPr>
          <w:lang w:eastAsia="zh-CN"/>
        </w:rPr>
      </w:pPr>
    </w:p>
    <w:p>
      <w:pPr>
        <w:spacing w:before="100" w:line="226" w:lineRule="auto"/>
        <w:ind w:left="670"/>
        <w:outlineLvl w:val="0"/>
        <w:rPr>
          <w:rFonts w:ascii="黑体" w:hAnsi="黑体" w:eastAsia="黑体" w:cs="黑体"/>
          <w:sz w:val="31"/>
          <w:szCs w:val="31"/>
        </w:rPr>
      </w:pPr>
      <w:r>
        <w:rPr>
          <w:rFonts w:ascii="黑体" w:hAnsi="黑体" w:eastAsia="黑体" w:cs="黑体"/>
          <w:spacing w:val="2"/>
          <w:sz w:val="31"/>
          <w:szCs w:val="31"/>
        </w:rPr>
        <w:t>一、收入决算情况说明</w:t>
      </w:r>
    </w:p>
    <w:p>
      <w:pPr>
        <w:spacing w:before="278" w:line="370" w:lineRule="auto"/>
        <w:ind w:left="18" w:right="45" w:firstLine="651"/>
        <w:jc w:val="both"/>
        <w:rPr>
          <w:rFonts w:ascii="仿宋" w:hAnsi="仿宋" w:eastAsia="仿宋" w:cs="仿宋"/>
          <w:spacing w:val="22"/>
          <w:sz w:val="31"/>
          <w:szCs w:val="31"/>
          <w:lang w:eastAsia="zh-CN"/>
        </w:rPr>
      </w:pPr>
      <w:r>
        <w:rPr>
          <w:rFonts w:ascii="仿宋" w:hAnsi="仿宋" w:eastAsia="仿宋" w:cs="仿宋"/>
          <w:spacing w:val="22"/>
          <w:sz w:val="31"/>
          <w:szCs w:val="31"/>
          <w:lang w:eastAsia="zh-CN"/>
        </w:rPr>
        <w:t>本单位2022年度收入总计</w:t>
      </w:r>
      <w:r>
        <w:rPr>
          <w:rFonts w:hint="eastAsia" w:ascii="仿宋" w:hAnsi="仿宋" w:eastAsia="仿宋" w:cs="仿宋"/>
          <w:spacing w:val="22"/>
          <w:sz w:val="31"/>
          <w:szCs w:val="31"/>
          <w:lang w:eastAsia="zh-CN"/>
        </w:rPr>
        <w:t>252.74</w:t>
      </w:r>
      <w:r>
        <w:rPr>
          <w:rFonts w:ascii="仿宋" w:hAnsi="仿宋" w:eastAsia="仿宋" w:cs="仿宋"/>
          <w:spacing w:val="22"/>
          <w:sz w:val="31"/>
          <w:szCs w:val="31"/>
          <w:lang w:eastAsia="zh-CN"/>
        </w:rPr>
        <w:t>万元，较2021年增加(减少)万元。其中年初结转和结余</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万元，较2021年增加(减少)万元，增长(下降)%;本年收入合计</w:t>
      </w:r>
      <w:r>
        <w:rPr>
          <w:rFonts w:hint="eastAsia" w:ascii="仿宋" w:hAnsi="仿宋" w:eastAsia="仿宋" w:cs="仿宋"/>
          <w:spacing w:val="22"/>
          <w:sz w:val="31"/>
          <w:szCs w:val="31"/>
          <w:lang w:eastAsia="zh-CN"/>
        </w:rPr>
        <w:t>252.74</w:t>
      </w:r>
      <w:r>
        <w:rPr>
          <w:rFonts w:ascii="仿宋" w:hAnsi="仿宋" w:eastAsia="仿宋" w:cs="仿宋"/>
          <w:spacing w:val="22"/>
          <w:sz w:val="31"/>
          <w:szCs w:val="31"/>
          <w:lang w:eastAsia="zh-CN"/>
        </w:rPr>
        <w:t>万元，较2021年增加(减少)万元，增长(下降)%,主要原因是</w:t>
      </w:r>
      <w:r>
        <w:rPr>
          <w:rFonts w:hint="eastAsia" w:ascii="仿宋" w:hAnsi="仿宋" w:eastAsia="仿宋" w:cs="仿宋"/>
          <w:spacing w:val="22"/>
          <w:sz w:val="31"/>
          <w:szCs w:val="31"/>
          <w:lang w:eastAsia="zh-CN"/>
        </w:rPr>
        <w:t>；本单位是2022年开始财务独立核算，故无</w:t>
      </w:r>
      <w:r>
        <w:rPr>
          <w:rFonts w:hint="eastAsia" w:ascii="仿宋" w:hAnsi="仿宋" w:eastAsia="仿宋" w:cs="仿宋"/>
          <w:spacing w:val="22"/>
          <w:sz w:val="31"/>
          <w:szCs w:val="31"/>
          <w:lang w:val="en-US" w:eastAsia="zh-CN"/>
        </w:rPr>
        <w:t>2021年</w:t>
      </w:r>
      <w:r>
        <w:rPr>
          <w:rFonts w:hint="eastAsia" w:ascii="仿宋" w:hAnsi="仿宋" w:eastAsia="仿宋" w:cs="仿宋"/>
          <w:spacing w:val="22"/>
          <w:sz w:val="31"/>
          <w:szCs w:val="31"/>
          <w:lang w:eastAsia="zh-CN"/>
        </w:rPr>
        <w:t>数据</w:t>
      </w:r>
      <w:r>
        <w:rPr>
          <w:rFonts w:ascii="仿宋" w:hAnsi="仿宋" w:eastAsia="仿宋" w:cs="仿宋"/>
          <w:spacing w:val="22"/>
          <w:sz w:val="31"/>
          <w:szCs w:val="31"/>
          <w:lang w:eastAsia="zh-CN"/>
        </w:rPr>
        <w:t>。</w:t>
      </w:r>
    </w:p>
    <w:p>
      <w:pPr>
        <w:spacing w:before="278" w:line="370" w:lineRule="auto"/>
        <w:ind w:left="18" w:right="45" w:firstLine="651"/>
        <w:jc w:val="both"/>
        <w:rPr>
          <w:rFonts w:ascii="仿宋" w:hAnsi="仿宋" w:eastAsia="仿宋" w:cs="仿宋"/>
          <w:sz w:val="31"/>
          <w:szCs w:val="31"/>
          <w:lang w:eastAsia="zh-CN"/>
        </w:rPr>
      </w:pPr>
      <w:r>
        <w:rPr>
          <w:rFonts w:ascii="仿宋" w:hAnsi="仿宋" w:eastAsia="仿宋" w:cs="仿宋"/>
          <w:spacing w:val="22"/>
          <w:sz w:val="31"/>
          <w:szCs w:val="31"/>
          <w:lang w:eastAsia="zh-CN"/>
        </w:rPr>
        <w:t>年收入的具体构成为：财政拨款收入</w:t>
      </w:r>
      <w:r>
        <w:rPr>
          <w:rFonts w:hint="eastAsia" w:ascii="仿宋" w:hAnsi="仿宋" w:eastAsia="仿宋" w:cs="仿宋"/>
          <w:spacing w:val="22"/>
          <w:sz w:val="31"/>
          <w:szCs w:val="31"/>
          <w:lang w:eastAsia="zh-CN"/>
        </w:rPr>
        <w:t>204.32</w:t>
      </w:r>
      <w:r>
        <w:rPr>
          <w:rFonts w:ascii="仿宋" w:hAnsi="仿宋" w:eastAsia="仿宋" w:cs="仿宋"/>
          <w:spacing w:val="22"/>
          <w:sz w:val="31"/>
          <w:szCs w:val="31"/>
          <w:lang w:eastAsia="zh-CN"/>
        </w:rPr>
        <w:t>万元，占</w:t>
      </w:r>
      <w:r>
        <w:rPr>
          <w:rFonts w:hint="eastAsia" w:ascii="仿宋" w:hAnsi="仿宋" w:eastAsia="仿宋" w:cs="仿宋"/>
          <w:spacing w:val="22"/>
          <w:sz w:val="31"/>
          <w:szCs w:val="31"/>
          <w:lang w:val="en-US" w:eastAsia="zh-CN"/>
        </w:rPr>
        <w:t xml:space="preserve"> 81</w:t>
      </w:r>
      <w:r>
        <w:rPr>
          <w:rFonts w:ascii="仿宋" w:hAnsi="仿宋" w:eastAsia="仿宋" w:cs="仿宋"/>
          <w:spacing w:val="22"/>
          <w:sz w:val="31"/>
          <w:szCs w:val="31"/>
          <w:lang w:eastAsia="zh-CN"/>
        </w:rPr>
        <w:t>%;事业收入</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万元，占</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%;经营收入</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万元，占</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%;其他收入</w:t>
      </w:r>
      <w:r>
        <w:rPr>
          <w:rFonts w:hint="eastAsia" w:ascii="仿宋" w:hAnsi="仿宋" w:eastAsia="仿宋" w:cs="仿宋"/>
          <w:spacing w:val="22"/>
          <w:sz w:val="31"/>
          <w:szCs w:val="31"/>
          <w:lang w:eastAsia="zh-CN"/>
        </w:rPr>
        <w:t>48.43</w:t>
      </w:r>
      <w:r>
        <w:rPr>
          <w:rFonts w:ascii="仿宋" w:hAnsi="仿宋" w:eastAsia="仿宋" w:cs="仿宋"/>
          <w:spacing w:val="22"/>
          <w:sz w:val="31"/>
          <w:szCs w:val="31"/>
          <w:lang w:eastAsia="zh-CN"/>
        </w:rPr>
        <w:t>万元，占</w:t>
      </w:r>
      <w:r>
        <w:rPr>
          <w:rFonts w:hint="eastAsia" w:ascii="仿宋" w:hAnsi="仿宋" w:eastAsia="仿宋" w:cs="仿宋"/>
          <w:spacing w:val="22"/>
          <w:sz w:val="31"/>
          <w:szCs w:val="31"/>
          <w:lang w:val="en-US" w:eastAsia="zh-CN"/>
        </w:rPr>
        <w:t>19</w:t>
      </w:r>
      <w:r>
        <w:rPr>
          <w:rFonts w:ascii="仿宋" w:hAnsi="仿宋" w:eastAsia="仿宋" w:cs="仿宋"/>
          <w:spacing w:val="22"/>
          <w:sz w:val="31"/>
          <w:szCs w:val="31"/>
          <w:lang w:eastAsia="zh-CN"/>
        </w:rPr>
        <w:t>%。</w:t>
      </w:r>
    </w:p>
    <w:p>
      <w:pPr>
        <w:spacing w:before="234" w:line="226" w:lineRule="auto"/>
        <w:ind w:left="670"/>
        <w:outlineLvl w:val="0"/>
        <w:rPr>
          <w:rFonts w:ascii="黑体" w:hAnsi="黑体" w:eastAsia="黑体" w:cs="黑体"/>
          <w:sz w:val="31"/>
          <w:szCs w:val="31"/>
          <w:lang w:eastAsia="zh-CN"/>
        </w:rPr>
      </w:pPr>
      <w:r>
        <w:rPr>
          <w:rFonts w:ascii="黑体" w:hAnsi="黑体" w:eastAsia="黑体" w:cs="黑体"/>
          <w:spacing w:val="1"/>
          <w:sz w:val="31"/>
          <w:szCs w:val="31"/>
          <w:lang w:eastAsia="zh-CN"/>
        </w:rPr>
        <w:t>二、支出决算情况说明</w:t>
      </w:r>
    </w:p>
    <w:p>
      <w:pPr>
        <w:spacing w:before="278" w:line="370" w:lineRule="auto"/>
        <w:ind w:left="18" w:right="45" w:firstLine="651"/>
        <w:jc w:val="both"/>
        <w:rPr>
          <w:rFonts w:ascii="仿宋" w:hAnsi="仿宋" w:eastAsia="仿宋" w:cs="仿宋"/>
          <w:spacing w:val="22"/>
          <w:sz w:val="31"/>
          <w:szCs w:val="31"/>
          <w:lang w:eastAsia="zh-CN"/>
        </w:rPr>
      </w:pPr>
      <w:r>
        <w:rPr>
          <w:rFonts w:ascii="仿宋" w:hAnsi="仿宋" w:eastAsia="仿宋" w:cs="仿宋"/>
          <w:spacing w:val="22"/>
          <w:sz w:val="31"/>
          <w:szCs w:val="31"/>
          <w:lang w:eastAsia="zh-CN"/>
        </w:rPr>
        <w:t>本单位2022年度支出总计</w:t>
      </w:r>
      <w:r>
        <w:rPr>
          <w:rFonts w:hint="eastAsia" w:ascii="仿宋" w:hAnsi="仿宋" w:eastAsia="仿宋" w:cs="仿宋"/>
          <w:spacing w:val="22"/>
          <w:sz w:val="31"/>
          <w:szCs w:val="31"/>
          <w:lang w:eastAsia="zh-CN"/>
        </w:rPr>
        <w:t>252.74</w:t>
      </w:r>
      <w:r>
        <w:rPr>
          <w:rFonts w:ascii="仿宋" w:hAnsi="仿宋" w:eastAsia="仿宋" w:cs="仿宋"/>
          <w:spacing w:val="22"/>
          <w:sz w:val="31"/>
          <w:szCs w:val="31"/>
          <w:lang w:eastAsia="zh-CN"/>
        </w:rPr>
        <w:t>万元，较2021年增加(减少)万元。其中本年支出合计</w:t>
      </w:r>
      <w:r>
        <w:rPr>
          <w:rFonts w:hint="eastAsia" w:ascii="仿宋" w:hAnsi="仿宋" w:eastAsia="仿宋" w:cs="仿宋"/>
          <w:spacing w:val="22"/>
          <w:sz w:val="31"/>
          <w:szCs w:val="31"/>
          <w:lang w:eastAsia="zh-CN"/>
        </w:rPr>
        <w:t>252.74</w:t>
      </w:r>
      <w:r>
        <w:rPr>
          <w:rFonts w:ascii="仿宋" w:hAnsi="仿宋" w:eastAsia="仿宋" w:cs="仿宋"/>
          <w:spacing w:val="22"/>
          <w:sz w:val="31"/>
          <w:szCs w:val="31"/>
          <w:lang w:eastAsia="zh-CN"/>
        </w:rPr>
        <w:t>万元，较2021年增加(减少)万元，增长(下降)%,主要原因是：</w:t>
      </w:r>
      <w:r>
        <w:rPr>
          <w:rFonts w:hint="eastAsia" w:ascii="仿宋" w:hAnsi="仿宋" w:eastAsia="仿宋" w:cs="仿宋"/>
          <w:spacing w:val="22"/>
          <w:sz w:val="31"/>
          <w:szCs w:val="31"/>
          <w:lang w:eastAsia="zh-CN"/>
        </w:rPr>
        <w:t>本单位是2022年开始财务独立核算，故无</w:t>
      </w:r>
      <w:r>
        <w:rPr>
          <w:rFonts w:hint="eastAsia" w:ascii="仿宋" w:hAnsi="仿宋" w:eastAsia="仿宋" w:cs="仿宋"/>
          <w:spacing w:val="22"/>
          <w:sz w:val="31"/>
          <w:szCs w:val="31"/>
          <w:lang w:val="en-US" w:eastAsia="zh-CN"/>
        </w:rPr>
        <w:t>2021年</w:t>
      </w:r>
      <w:r>
        <w:rPr>
          <w:rFonts w:hint="eastAsia" w:ascii="仿宋" w:hAnsi="仿宋" w:eastAsia="仿宋" w:cs="仿宋"/>
          <w:spacing w:val="22"/>
          <w:sz w:val="31"/>
          <w:szCs w:val="31"/>
          <w:lang w:eastAsia="zh-CN"/>
        </w:rPr>
        <w:t>数据</w:t>
      </w:r>
      <w:r>
        <w:rPr>
          <w:rFonts w:ascii="仿宋" w:hAnsi="仿宋" w:eastAsia="仿宋" w:cs="仿宋"/>
          <w:spacing w:val="22"/>
          <w:sz w:val="31"/>
          <w:szCs w:val="31"/>
          <w:lang w:eastAsia="zh-CN"/>
        </w:rPr>
        <w:t>;年末结转和结余</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万元，较2021年增加(减少)万元，增长(下降)%,主要原因是：</w:t>
      </w:r>
      <w:r>
        <w:rPr>
          <w:rFonts w:hint="eastAsia" w:ascii="仿宋" w:hAnsi="仿宋" w:eastAsia="仿宋" w:cs="仿宋"/>
          <w:spacing w:val="22"/>
          <w:sz w:val="31"/>
          <w:szCs w:val="31"/>
          <w:lang w:eastAsia="zh-CN"/>
        </w:rPr>
        <w:t>本单位是2022年开始财务独立核算，故无</w:t>
      </w:r>
      <w:r>
        <w:rPr>
          <w:rFonts w:hint="eastAsia" w:ascii="仿宋" w:hAnsi="仿宋" w:eastAsia="仿宋" w:cs="仿宋"/>
          <w:spacing w:val="22"/>
          <w:sz w:val="31"/>
          <w:szCs w:val="31"/>
          <w:lang w:val="en-US" w:eastAsia="zh-CN"/>
        </w:rPr>
        <w:t>2021年</w:t>
      </w:r>
      <w:r>
        <w:rPr>
          <w:rFonts w:hint="eastAsia" w:ascii="仿宋" w:hAnsi="仿宋" w:eastAsia="仿宋" w:cs="仿宋"/>
          <w:spacing w:val="22"/>
          <w:sz w:val="31"/>
          <w:szCs w:val="31"/>
          <w:lang w:eastAsia="zh-CN"/>
        </w:rPr>
        <w:t>数据</w:t>
      </w:r>
      <w:r>
        <w:rPr>
          <w:rFonts w:ascii="仿宋" w:hAnsi="仿宋" w:eastAsia="仿宋" w:cs="仿宋"/>
          <w:spacing w:val="22"/>
          <w:sz w:val="31"/>
          <w:szCs w:val="31"/>
          <w:lang w:eastAsia="zh-CN"/>
        </w:rPr>
        <w:t>。</w:t>
      </w:r>
    </w:p>
    <w:p>
      <w:pPr>
        <w:spacing w:before="278" w:line="370" w:lineRule="auto"/>
        <w:ind w:left="18" w:right="45" w:firstLine="651"/>
        <w:jc w:val="both"/>
        <w:rPr>
          <w:rFonts w:ascii="仿宋" w:hAnsi="仿宋" w:eastAsia="仿宋" w:cs="仿宋"/>
          <w:sz w:val="31"/>
          <w:szCs w:val="31"/>
          <w:lang w:eastAsia="zh-CN"/>
        </w:rPr>
      </w:pPr>
      <w:r>
        <w:rPr>
          <w:rFonts w:ascii="仿宋" w:hAnsi="仿宋" w:eastAsia="仿宋" w:cs="仿宋"/>
          <w:spacing w:val="22"/>
          <w:sz w:val="31"/>
          <w:szCs w:val="31"/>
          <w:lang w:eastAsia="zh-CN"/>
        </w:rPr>
        <w:t>本年支出的具体构成为：基本支出</w:t>
      </w:r>
      <w:r>
        <w:rPr>
          <w:rFonts w:hint="eastAsia" w:ascii="仿宋" w:hAnsi="仿宋" w:eastAsia="仿宋" w:cs="仿宋"/>
          <w:spacing w:val="22"/>
          <w:sz w:val="31"/>
          <w:szCs w:val="31"/>
          <w:lang w:eastAsia="zh-CN"/>
        </w:rPr>
        <w:t>252.74</w:t>
      </w:r>
      <w:r>
        <w:rPr>
          <w:rFonts w:ascii="仿宋" w:hAnsi="仿宋" w:eastAsia="仿宋" w:cs="仿宋"/>
          <w:spacing w:val="22"/>
          <w:sz w:val="31"/>
          <w:szCs w:val="31"/>
          <w:lang w:eastAsia="zh-CN"/>
        </w:rPr>
        <w:t>万元，占</w:t>
      </w:r>
      <w:r>
        <w:rPr>
          <w:rFonts w:hint="eastAsia" w:ascii="仿宋" w:hAnsi="仿宋" w:eastAsia="仿宋" w:cs="仿宋"/>
          <w:spacing w:val="22"/>
          <w:sz w:val="31"/>
          <w:szCs w:val="31"/>
          <w:lang w:eastAsia="zh-CN"/>
        </w:rPr>
        <w:t>100</w:t>
      </w:r>
      <w:r>
        <w:rPr>
          <w:rFonts w:ascii="仿宋" w:hAnsi="仿宋" w:eastAsia="仿宋" w:cs="仿宋"/>
          <w:spacing w:val="22"/>
          <w:sz w:val="31"/>
          <w:szCs w:val="31"/>
          <w:lang w:eastAsia="zh-CN"/>
        </w:rPr>
        <w:t>%;项目支出</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万元，占</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%;经营支出</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万元，占</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%;其他支出(对附属单位补助支出、上缴上级支出)</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万元，占</w:t>
      </w:r>
      <w:r>
        <w:rPr>
          <w:rFonts w:hint="eastAsia" w:ascii="仿宋" w:hAnsi="仿宋" w:eastAsia="仿宋" w:cs="仿宋"/>
          <w:spacing w:val="22"/>
          <w:sz w:val="31"/>
          <w:szCs w:val="31"/>
          <w:lang w:val="en-US" w:eastAsia="zh-CN"/>
        </w:rPr>
        <w:t>0</w:t>
      </w:r>
      <w:r>
        <w:rPr>
          <w:rFonts w:ascii="仿宋" w:hAnsi="仿宋" w:eastAsia="仿宋" w:cs="仿宋"/>
          <w:spacing w:val="22"/>
          <w:sz w:val="31"/>
          <w:szCs w:val="31"/>
          <w:lang w:eastAsia="zh-CN"/>
        </w:rPr>
        <w:t>%。</w:t>
      </w:r>
    </w:p>
    <w:p>
      <w:pPr>
        <w:numPr>
          <w:ilvl w:val="0"/>
          <w:numId w:val="1"/>
        </w:numPr>
        <w:spacing w:before="218" w:line="226" w:lineRule="auto"/>
        <w:ind w:left="671"/>
        <w:outlineLvl w:val="0"/>
        <w:rPr>
          <w:rFonts w:ascii="黑体" w:hAnsi="黑体" w:eastAsia="黑体" w:cs="黑体"/>
          <w:spacing w:val="-6"/>
          <w:sz w:val="31"/>
          <w:szCs w:val="31"/>
          <w:lang w:eastAsia="zh-CN"/>
        </w:rPr>
      </w:pPr>
      <w:r>
        <w:rPr>
          <w:rFonts w:ascii="黑体" w:hAnsi="黑体" w:eastAsia="黑体" w:cs="黑体"/>
          <w:spacing w:val="-6"/>
          <w:sz w:val="31"/>
          <w:szCs w:val="31"/>
          <w:lang w:eastAsia="zh-CN"/>
        </w:rPr>
        <w:t>财政拨款支出决算情况说明</w:t>
      </w:r>
    </w:p>
    <w:p>
      <w:pPr>
        <w:spacing w:before="278" w:line="370" w:lineRule="auto"/>
        <w:ind w:left="18" w:right="45" w:firstLine="651"/>
        <w:jc w:val="both"/>
        <w:rPr>
          <w:rFonts w:ascii="仿宋" w:hAnsi="仿宋" w:eastAsia="仿宋" w:cs="仿宋"/>
          <w:spacing w:val="22"/>
          <w:sz w:val="31"/>
          <w:szCs w:val="31"/>
          <w:lang w:eastAsia="zh-CN"/>
        </w:rPr>
      </w:pPr>
      <w:r>
        <w:rPr>
          <w:rFonts w:ascii="仿宋" w:hAnsi="仿宋" w:eastAsia="仿宋" w:cs="仿宋"/>
          <w:spacing w:val="22"/>
          <w:sz w:val="31"/>
          <w:szCs w:val="31"/>
          <w:lang w:eastAsia="zh-CN"/>
        </w:rPr>
        <w:t>本单位2022年度财政拨款本年支出年初预算数为</w:t>
      </w:r>
      <w:r>
        <w:rPr>
          <w:rFonts w:hint="eastAsia" w:ascii="仿宋" w:hAnsi="仿宋" w:eastAsia="仿宋" w:cs="仿宋"/>
          <w:spacing w:val="22"/>
          <w:sz w:val="31"/>
          <w:szCs w:val="31"/>
          <w:lang w:eastAsia="zh-CN"/>
        </w:rPr>
        <w:t>204.32</w:t>
      </w:r>
      <w:r>
        <w:rPr>
          <w:rFonts w:ascii="仿宋" w:hAnsi="仿宋" w:eastAsia="仿宋" w:cs="仿宋"/>
          <w:spacing w:val="22"/>
          <w:sz w:val="31"/>
          <w:szCs w:val="31"/>
          <w:lang w:eastAsia="zh-CN"/>
        </w:rPr>
        <w:t>万元，决算数为</w:t>
      </w:r>
      <w:r>
        <w:rPr>
          <w:rFonts w:hint="eastAsia" w:ascii="仿宋" w:hAnsi="仿宋" w:eastAsia="仿宋" w:cs="仿宋"/>
          <w:spacing w:val="22"/>
          <w:sz w:val="31"/>
          <w:szCs w:val="31"/>
          <w:lang w:eastAsia="zh-CN"/>
        </w:rPr>
        <w:t>204.32</w:t>
      </w:r>
      <w:r>
        <w:rPr>
          <w:rFonts w:ascii="仿宋" w:hAnsi="仿宋" w:eastAsia="仿宋" w:cs="仿宋"/>
          <w:spacing w:val="22"/>
          <w:sz w:val="31"/>
          <w:szCs w:val="31"/>
          <w:lang w:eastAsia="zh-CN"/>
        </w:rPr>
        <w:t>万元，完成年初预算的</w:t>
      </w:r>
      <w:r>
        <w:rPr>
          <w:rFonts w:hint="eastAsia" w:ascii="仿宋" w:hAnsi="仿宋" w:eastAsia="仿宋" w:cs="仿宋"/>
          <w:spacing w:val="22"/>
          <w:sz w:val="31"/>
          <w:szCs w:val="31"/>
          <w:lang w:eastAsia="zh-CN"/>
        </w:rPr>
        <w:t>100</w:t>
      </w:r>
      <w:r>
        <w:rPr>
          <w:rFonts w:ascii="仿宋" w:hAnsi="仿宋" w:eastAsia="仿宋" w:cs="仿宋"/>
          <w:spacing w:val="22"/>
          <w:sz w:val="31"/>
          <w:szCs w:val="31"/>
          <w:lang w:eastAsia="zh-CN"/>
        </w:rPr>
        <w:t>%。</w:t>
      </w:r>
    </w:p>
    <w:p>
      <w:pPr>
        <w:spacing w:before="278" w:line="370" w:lineRule="auto"/>
        <w:ind w:left="18" w:right="45" w:firstLine="651"/>
        <w:jc w:val="both"/>
        <w:rPr>
          <w:rFonts w:ascii="仿宋" w:hAnsi="仿宋" w:eastAsia="仿宋" w:cs="仿宋"/>
          <w:spacing w:val="22"/>
          <w:sz w:val="31"/>
          <w:szCs w:val="31"/>
          <w:lang w:eastAsia="zh-CN"/>
        </w:rPr>
      </w:pPr>
      <w:r>
        <w:rPr>
          <w:rFonts w:ascii="仿宋" w:hAnsi="仿宋" w:eastAsia="仿宋" w:cs="仿宋"/>
          <w:spacing w:val="22"/>
          <w:sz w:val="31"/>
          <w:szCs w:val="31"/>
          <w:lang w:eastAsia="zh-CN"/>
        </w:rPr>
        <w:t>其中：</w:t>
      </w:r>
    </w:p>
    <w:p>
      <w:pPr>
        <w:spacing w:before="278" w:line="370" w:lineRule="auto"/>
        <w:ind w:left="18" w:right="45" w:firstLine="651"/>
        <w:jc w:val="both"/>
        <w:rPr>
          <w:rFonts w:hint="eastAsia" w:ascii="仿宋" w:hAnsi="仿宋" w:eastAsia="仿宋" w:cs="仿宋"/>
          <w:spacing w:val="22"/>
          <w:sz w:val="31"/>
          <w:szCs w:val="31"/>
          <w:lang w:eastAsia="zh-CN"/>
        </w:rPr>
      </w:pPr>
      <w:r>
        <w:rPr>
          <w:rFonts w:ascii="仿宋" w:hAnsi="仿宋" w:eastAsia="仿宋" w:cs="仿宋"/>
          <w:spacing w:val="22"/>
          <w:sz w:val="31"/>
          <w:szCs w:val="31"/>
          <w:lang w:eastAsia="zh-CN"/>
        </w:rPr>
        <w:t>(一)</w:t>
      </w:r>
      <w:r>
        <w:rPr>
          <w:rFonts w:hint="eastAsia" w:ascii="仿宋" w:hAnsi="仿宋" w:eastAsia="仿宋" w:cs="仿宋"/>
          <w:spacing w:val="22"/>
          <w:sz w:val="31"/>
          <w:szCs w:val="31"/>
          <w:lang w:eastAsia="zh-CN"/>
        </w:rPr>
        <w:t>社会保障和就业</w:t>
      </w:r>
      <w:r>
        <w:rPr>
          <w:rFonts w:ascii="仿宋" w:hAnsi="仿宋" w:eastAsia="仿宋" w:cs="仿宋"/>
          <w:spacing w:val="22"/>
          <w:sz w:val="31"/>
          <w:szCs w:val="31"/>
          <w:lang w:eastAsia="zh-CN"/>
        </w:rPr>
        <w:t>支出年初预算数为：</w:t>
      </w:r>
      <w:r>
        <w:rPr>
          <w:rFonts w:hint="eastAsia" w:ascii="仿宋" w:hAnsi="仿宋" w:eastAsia="仿宋" w:cs="仿宋"/>
          <w:spacing w:val="22"/>
          <w:sz w:val="31"/>
          <w:szCs w:val="31"/>
          <w:lang w:eastAsia="zh-CN"/>
        </w:rPr>
        <w:t>21.7</w:t>
      </w:r>
      <w:r>
        <w:rPr>
          <w:rFonts w:ascii="仿宋" w:hAnsi="仿宋" w:eastAsia="仿宋" w:cs="仿宋"/>
          <w:spacing w:val="22"/>
          <w:sz w:val="31"/>
          <w:szCs w:val="31"/>
          <w:lang w:eastAsia="zh-CN"/>
        </w:rPr>
        <w:t>万元，决算数为</w:t>
      </w:r>
      <w:r>
        <w:rPr>
          <w:rFonts w:hint="eastAsia" w:ascii="仿宋" w:hAnsi="仿宋" w:eastAsia="仿宋" w:cs="仿宋"/>
          <w:spacing w:val="22"/>
          <w:sz w:val="31"/>
          <w:szCs w:val="31"/>
          <w:lang w:eastAsia="zh-CN"/>
        </w:rPr>
        <w:t>21.7</w:t>
      </w:r>
      <w:r>
        <w:rPr>
          <w:rFonts w:ascii="仿宋" w:hAnsi="仿宋" w:eastAsia="仿宋" w:cs="仿宋"/>
          <w:spacing w:val="22"/>
          <w:sz w:val="31"/>
          <w:szCs w:val="31"/>
          <w:lang w:eastAsia="zh-CN"/>
        </w:rPr>
        <w:t>万元，完成年初预算的</w:t>
      </w:r>
      <w:r>
        <w:rPr>
          <w:rFonts w:hint="eastAsia" w:ascii="仿宋" w:hAnsi="仿宋" w:eastAsia="仿宋" w:cs="仿宋"/>
          <w:spacing w:val="22"/>
          <w:sz w:val="31"/>
          <w:szCs w:val="31"/>
          <w:lang w:eastAsia="zh-CN"/>
        </w:rPr>
        <w:t>100</w:t>
      </w:r>
      <w:r>
        <w:rPr>
          <w:rFonts w:ascii="仿宋" w:hAnsi="仿宋" w:eastAsia="仿宋" w:cs="仿宋"/>
          <w:spacing w:val="22"/>
          <w:sz w:val="31"/>
          <w:szCs w:val="31"/>
          <w:lang w:eastAsia="zh-CN"/>
        </w:rPr>
        <w:t>%,主要原因是：</w:t>
      </w:r>
      <w:r>
        <w:rPr>
          <w:rFonts w:hint="eastAsia" w:ascii="仿宋" w:hAnsi="仿宋" w:eastAsia="仿宋" w:cs="仿宋"/>
          <w:spacing w:val="22"/>
          <w:sz w:val="31"/>
          <w:szCs w:val="31"/>
          <w:lang w:eastAsia="zh-CN"/>
        </w:rPr>
        <w:t>支出与收入同步。</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napToGrid w:val="0"/>
          <w:color w:val="000000"/>
          <w:spacing w:val="22"/>
          <w:sz w:val="31"/>
          <w:szCs w:val="31"/>
          <w:lang w:val="en-US" w:eastAsia="zh-CN" w:bidi="ar-SA"/>
        </w:rPr>
        <w:t>(二)</w:t>
      </w:r>
      <w:r>
        <w:rPr>
          <w:rFonts w:hint="eastAsia" w:ascii="仿宋" w:hAnsi="仿宋" w:eastAsia="仿宋" w:cs="仿宋"/>
          <w:spacing w:val="22"/>
          <w:sz w:val="31"/>
          <w:szCs w:val="31"/>
          <w:lang w:eastAsia="zh-CN"/>
        </w:rPr>
        <w:t>卫生健康支出</w:t>
      </w:r>
      <w:r>
        <w:rPr>
          <w:rFonts w:ascii="仿宋" w:hAnsi="仿宋" w:eastAsia="仿宋" w:cs="仿宋"/>
          <w:spacing w:val="22"/>
          <w:sz w:val="31"/>
          <w:szCs w:val="31"/>
          <w:lang w:eastAsia="zh-CN"/>
        </w:rPr>
        <w:t>年初预算数为</w:t>
      </w:r>
      <w:r>
        <w:rPr>
          <w:rFonts w:hint="eastAsia" w:ascii="仿宋" w:hAnsi="仿宋" w:eastAsia="仿宋" w:cs="仿宋"/>
          <w:spacing w:val="22"/>
          <w:sz w:val="31"/>
          <w:szCs w:val="31"/>
          <w:lang w:val="en-US" w:eastAsia="zh-CN"/>
        </w:rPr>
        <w:t>6.05</w:t>
      </w:r>
      <w:r>
        <w:rPr>
          <w:rFonts w:ascii="仿宋" w:hAnsi="仿宋" w:eastAsia="仿宋" w:cs="仿宋"/>
          <w:spacing w:val="22"/>
          <w:sz w:val="31"/>
          <w:szCs w:val="31"/>
          <w:lang w:eastAsia="zh-CN"/>
        </w:rPr>
        <w:t>万元，决算数为</w:t>
      </w:r>
      <w:r>
        <w:rPr>
          <w:rFonts w:hint="eastAsia" w:ascii="仿宋" w:hAnsi="仿宋" w:eastAsia="仿宋" w:cs="仿宋"/>
          <w:spacing w:val="22"/>
          <w:sz w:val="31"/>
          <w:szCs w:val="31"/>
          <w:lang w:val="en-US" w:eastAsia="zh-CN"/>
        </w:rPr>
        <w:t>6.05</w:t>
      </w:r>
      <w:r>
        <w:rPr>
          <w:rFonts w:ascii="仿宋" w:hAnsi="仿宋" w:eastAsia="仿宋" w:cs="仿宋"/>
          <w:spacing w:val="22"/>
          <w:sz w:val="31"/>
          <w:szCs w:val="31"/>
          <w:lang w:eastAsia="zh-CN"/>
        </w:rPr>
        <w:t>万元</w:t>
      </w:r>
      <w:r>
        <w:rPr>
          <w:rFonts w:hint="eastAsia" w:ascii="仿宋" w:hAnsi="仿宋" w:eastAsia="仿宋" w:cs="仿宋"/>
          <w:spacing w:val="22"/>
          <w:sz w:val="31"/>
          <w:szCs w:val="31"/>
          <w:lang w:eastAsia="zh-CN"/>
        </w:rPr>
        <w:t>，</w:t>
      </w:r>
      <w:r>
        <w:rPr>
          <w:rFonts w:ascii="仿宋" w:hAnsi="仿宋" w:eastAsia="仿宋" w:cs="仿宋"/>
          <w:spacing w:val="22"/>
          <w:sz w:val="31"/>
          <w:szCs w:val="31"/>
          <w:lang w:eastAsia="zh-CN"/>
        </w:rPr>
        <w:t>完成年初预算的</w:t>
      </w:r>
      <w:r>
        <w:rPr>
          <w:rFonts w:hint="eastAsia" w:ascii="仿宋" w:hAnsi="仿宋" w:eastAsia="仿宋" w:cs="仿宋"/>
          <w:spacing w:val="22"/>
          <w:sz w:val="31"/>
          <w:szCs w:val="31"/>
          <w:lang w:eastAsia="zh-CN"/>
        </w:rPr>
        <w:t>100</w:t>
      </w:r>
      <w:r>
        <w:rPr>
          <w:rFonts w:ascii="仿宋" w:hAnsi="仿宋" w:eastAsia="仿宋" w:cs="仿宋"/>
          <w:spacing w:val="22"/>
          <w:sz w:val="31"/>
          <w:szCs w:val="31"/>
          <w:lang w:eastAsia="zh-CN"/>
        </w:rPr>
        <w:t>%,主要原因是：</w:t>
      </w:r>
      <w:r>
        <w:rPr>
          <w:rFonts w:hint="eastAsia" w:ascii="仿宋" w:hAnsi="仿宋" w:eastAsia="仿宋" w:cs="仿宋"/>
          <w:spacing w:val="22"/>
          <w:sz w:val="31"/>
          <w:szCs w:val="31"/>
          <w:lang w:eastAsia="zh-CN"/>
        </w:rPr>
        <w:t>支出与收入同步。</w:t>
      </w:r>
    </w:p>
    <w:p>
      <w:pPr>
        <w:numPr>
          <w:ilvl w:val="0"/>
          <w:numId w:val="0"/>
        </w:numPr>
        <w:spacing w:before="278" w:line="370" w:lineRule="auto"/>
        <w:ind w:left="18" w:leftChars="0" w:right="45" w:rightChars="0" w:firstLine="651" w:firstLineChars="0"/>
        <w:jc w:val="both"/>
        <w:rPr>
          <w:rFonts w:ascii="仿宋" w:hAnsi="仿宋" w:eastAsia="仿宋" w:cs="仿宋"/>
          <w:spacing w:val="22"/>
          <w:sz w:val="31"/>
          <w:szCs w:val="31"/>
          <w:lang w:eastAsia="zh-CN"/>
        </w:rPr>
      </w:pPr>
      <w:r>
        <w:rPr>
          <w:rFonts w:hint="eastAsia" w:ascii="仿宋" w:hAnsi="仿宋" w:eastAsia="仿宋" w:cs="仿宋"/>
          <w:snapToGrid w:val="0"/>
          <w:color w:val="000000"/>
          <w:spacing w:val="22"/>
          <w:sz w:val="31"/>
          <w:szCs w:val="31"/>
          <w:lang w:val="en-US" w:eastAsia="zh-CN" w:bidi="ar-SA"/>
        </w:rPr>
        <w:t>(三)</w:t>
      </w:r>
      <w:r>
        <w:rPr>
          <w:rFonts w:hint="eastAsia" w:ascii="仿宋" w:hAnsi="仿宋" w:eastAsia="仿宋" w:cs="仿宋"/>
          <w:spacing w:val="22"/>
          <w:sz w:val="31"/>
          <w:szCs w:val="31"/>
          <w:lang w:eastAsia="zh-CN"/>
        </w:rPr>
        <w:t>农林水</w:t>
      </w:r>
      <w:r>
        <w:rPr>
          <w:rFonts w:ascii="仿宋" w:hAnsi="仿宋" w:eastAsia="仿宋" w:cs="仿宋"/>
          <w:spacing w:val="22"/>
          <w:sz w:val="31"/>
          <w:szCs w:val="31"/>
          <w:lang w:eastAsia="zh-CN"/>
        </w:rPr>
        <w:t>支出年初预算数为</w:t>
      </w:r>
      <w:r>
        <w:rPr>
          <w:rFonts w:hint="eastAsia" w:ascii="仿宋" w:hAnsi="仿宋" w:eastAsia="仿宋" w:cs="仿宋"/>
          <w:spacing w:val="22"/>
          <w:sz w:val="31"/>
          <w:szCs w:val="31"/>
          <w:lang w:eastAsia="zh-CN"/>
        </w:rPr>
        <w:t>176.57</w:t>
      </w:r>
      <w:r>
        <w:rPr>
          <w:rFonts w:ascii="仿宋" w:hAnsi="仿宋" w:eastAsia="仿宋" w:cs="仿宋"/>
          <w:spacing w:val="22"/>
          <w:sz w:val="31"/>
          <w:szCs w:val="31"/>
          <w:lang w:eastAsia="zh-CN"/>
        </w:rPr>
        <w:t>万元，决算数为</w:t>
      </w:r>
      <w:r>
        <w:rPr>
          <w:rFonts w:hint="eastAsia" w:ascii="仿宋" w:hAnsi="仿宋" w:eastAsia="仿宋" w:cs="仿宋"/>
          <w:spacing w:val="22"/>
          <w:sz w:val="31"/>
          <w:szCs w:val="31"/>
          <w:lang w:eastAsia="zh-CN"/>
        </w:rPr>
        <w:t>176.57</w:t>
      </w:r>
      <w:r>
        <w:rPr>
          <w:rFonts w:ascii="仿宋" w:hAnsi="仿宋" w:eastAsia="仿宋" w:cs="仿宋"/>
          <w:spacing w:val="22"/>
          <w:sz w:val="31"/>
          <w:szCs w:val="31"/>
          <w:lang w:eastAsia="zh-CN"/>
        </w:rPr>
        <w:t>万元，完成年初预算的</w:t>
      </w:r>
      <w:r>
        <w:rPr>
          <w:rFonts w:hint="eastAsia" w:ascii="仿宋" w:hAnsi="仿宋" w:eastAsia="仿宋" w:cs="仿宋"/>
          <w:spacing w:val="22"/>
          <w:sz w:val="31"/>
          <w:szCs w:val="31"/>
          <w:lang w:eastAsia="zh-CN"/>
        </w:rPr>
        <w:t>100</w:t>
      </w:r>
      <w:r>
        <w:rPr>
          <w:rFonts w:ascii="仿宋" w:hAnsi="仿宋" w:eastAsia="仿宋" w:cs="仿宋"/>
          <w:spacing w:val="22"/>
          <w:sz w:val="31"/>
          <w:szCs w:val="31"/>
          <w:lang w:eastAsia="zh-CN"/>
        </w:rPr>
        <w:t>%,主要原因是：</w:t>
      </w:r>
      <w:r>
        <w:rPr>
          <w:rFonts w:hint="eastAsia" w:ascii="仿宋" w:hAnsi="仿宋" w:eastAsia="仿宋" w:cs="仿宋"/>
          <w:spacing w:val="22"/>
          <w:sz w:val="31"/>
          <w:szCs w:val="31"/>
          <w:lang w:eastAsia="zh-CN"/>
        </w:rPr>
        <w:t>支出与收入同步。</w:t>
      </w:r>
    </w:p>
    <w:p>
      <w:pPr>
        <w:spacing w:before="234" w:line="227" w:lineRule="auto"/>
        <w:ind w:left="633"/>
        <w:outlineLvl w:val="0"/>
        <w:rPr>
          <w:rFonts w:ascii="黑体" w:hAnsi="黑体" w:eastAsia="黑体" w:cs="黑体"/>
          <w:sz w:val="30"/>
          <w:szCs w:val="30"/>
          <w:lang w:eastAsia="zh-CN"/>
        </w:rPr>
      </w:pPr>
      <w:r>
        <w:rPr>
          <w:rFonts w:ascii="黑体" w:hAnsi="黑体" w:eastAsia="黑体" w:cs="黑体"/>
          <w:spacing w:val="8"/>
          <w:sz w:val="30"/>
          <w:szCs w:val="30"/>
          <w:lang w:eastAsia="zh-CN"/>
        </w:rPr>
        <w:t>四、一般公共预算财政拨款基本支出决算情况说明</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本单位2022年度一般公共预算财政拨款基本支出204.3</w:t>
      </w:r>
      <w:r>
        <w:rPr>
          <w:rFonts w:hint="eastAsia" w:ascii="仿宋" w:hAnsi="仿宋" w:eastAsia="仿宋" w:cs="仿宋"/>
          <w:spacing w:val="22"/>
          <w:sz w:val="31"/>
          <w:szCs w:val="31"/>
          <w:lang w:val="en-US" w:eastAsia="zh-CN"/>
        </w:rPr>
        <w:t>2</w:t>
      </w:r>
      <w:r>
        <w:rPr>
          <w:rFonts w:hint="eastAsia" w:ascii="仿宋" w:hAnsi="仿宋" w:eastAsia="仿宋" w:cs="仿宋"/>
          <w:spacing w:val="22"/>
          <w:sz w:val="31"/>
          <w:szCs w:val="31"/>
          <w:lang w:eastAsia="zh-CN"/>
        </w:rPr>
        <w:t>万元，</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其中：</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(一)工资福利支出198.</w:t>
      </w:r>
      <w:r>
        <w:rPr>
          <w:rFonts w:hint="eastAsia" w:ascii="仿宋" w:hAnsi="仿宋" w:eastAsia="仿宋" w:cs="仿宋"/>
          <w:spacing w:val="22"/>
          <w:sz w:val="31"/>
          <w:szCs w:val="31"/>
          <w:lang w:val="en-US" w:eastAsia="zh-CN"/>
        </w:rPr>
        <w:t>1</w:t>
      </w:r>
      <w:r>
        <w:rPr>
          <w:rFonts w:hint="eastAsia" w:ascii="仿宋" w:hAnsi="仿宋" w:eastAsia="仿宋" w:cs="仿宋"/>
          <w:spacing w:val="22"/>
          <w:sz w:val="31"/>
          <w:szCs w:val="31"/>
          <w:lang w:eastAsia="zh-CN"/>
        </w:rPr>
        <w:t>6万元，较2021年增加(减少)万元 ，增长(下降)% ,主要原因是：本单位是2022年开始财务独立核算，故无</w:t>
      </w:r>
      <w:r>
        <w:rPr>
          <w:rFonts w:hint="eastAsia" w:ascii="仿宋" w:hAnsi="仿宋" w:eastAsia="仿宋" w:cs="仿宋"/>
          <w:spacing w:val="22"/>
          <w:sz w:val="31"/>
          <w:szCs w:val="31"/>
          <w:lang w:val="en-US" w:eastAsia="zh-CN"/>
        </w:rPr>
        <w:t>2021年</w:t>
      </w:r>
      <w:r>
        <w:rPr>
          <w:rFonts w:hint="eastAsia" w:ascii="仿宋" w:hAnsi="仿宋" w:eastAsia="仿宋" w:cs="仿宋"/>
          <w:spacing w:val="22"/>
          <w:sz w:val="31"/>
          <w:szCs w:val="31"/>
          <w:lang w:eastAsia="zh-CN"/>
        </w:rPr>
        <w:t>数据。</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(二)商品和服务支出2.7万元，较2021年增加(减少)万元，增长(下降)%,主要原因是：本单位是2022年开始财务独立核算，故无</w:t>
      </w:r>
      <w:r>
        <w:rPr>
          <w:rFonts w:hint="eastAsia" w:ascii="仿宋" w:hAnsi="仿宋" w:eastAsia="仿宋" w:cs="仿宋"/>
          <w:spacing w:val="22"/>
          <w:sz w:val="31"/>
          <w:szCs w:val="31"/>
          <w:lang w:val="en-US" w:eastAsia="zh-CN"/>
        </w:rPr>
        <w:t>2021年</w:t>
      </w:r>
      <w:r>
        <w:rPr>
          <w:rFonts w:hint="eastAsia" w:ascii="仿宋" w:hAnsi="仿宋" w:eastAsia="仿宋" w:cs="仿宋"/>
          <w:spacing w:val="22"/>
          <w:sz w:val="31"/>
          <w:szCs w:val="31"/>
          <w:lang w:eastAsia="zh-CN"/>
        </w:rPr>
        <w:t>数据。</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(三)对个人和家庭补助支出0.66万元，较2021年增加(减少)万元，增长(下降)%,主要原因是：本单位是2022年开始财务独立核算，故无</w:t>
      </w:r>
      <w:r>
        <w:rPr>
          <w:rFonts w:hint="eastAsia" w:ascii="仿宋" w:hAnsi="仿宋" w:eastAsia="仿宋" w:cs="仿宋"/>
          <w:spacing w:val="22"/>
          <w:sz w:val="31"/>
          <w:szCs w:val="31"/>
          <w:lang w:val="en-US" w:eastAsia="zh-CN"/>
        </w:rPr>
        <w:t>2021年</w:t>
      </w:r>
      <w:r>
        <w:rPr>
          <w:rFonts w:hint="eastAsia" w:ascii="仿宋" w:hAnsi="仿宋" w:eastAsia="仿宋" w:cs="仿宋"/>
          <w:spacing w:val="22"/>
          <w:sz w:val="31"/>
          <w:szCs w:val="31"/>
          <w:lang w:eastAsia="zh-CN"/>
        </w:rPr>
        <w:t>数据。</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(四)资本性支出2.79万元，较2021年增加(减少)万</w:t>
      </w:r>
    </w:p>
    <w:p>
      <w:pPr>
        <w:numPr>
          <w:ilvl w:val="0"/>
          <w:numId w:val="0"/>
        </w:numPr>
        <w:spacing w:before="278" w:line="370" w:lineRule="auto"/>
        <w:ind w:left="18" w:leftChars="0" w:right="45" w:rightChars="0" w:firstLine="651" w:firstLineChars="0"/>
        <w:jc w:val="both"/>
        <w:rPr>
          <w:rFonts w:ascii="仿宋" w:hAnsi="仿宋" w:eastAsia="仿宋" w:cs="仿宋"/>
          <w:spacing w:val="22"/>
          <w:sz w:val="31"/>
          <w:szCs w:val="31"/>
          <w:lang w:eastAsia="zh-CN"/>
        </w:rPr>
      </w:pPr>
      <w:r>
        <w:rPr>
          <w:rFonts w:hint="eastAsia" w:ascii="仿宋" w:hAnsi="仿宋" w:eastAsia="仿宋" w:cs="仿宋"/>
          <w:spacing w:val="22"/>
          <w:sz w:val="31"/>
          <w:szCs w:val="31"/>
          <w:lang w:eastAsia="zh-CN"/>
        </w:rPr>
        <w:t>元，增长(下降)% ,主要原因是：本单位是2022年开始财务独立核算，故无</w:t>
      </w:r>
      <w:r>
        <w:rPr>
          <w:rFonts w:hint="eastAsia" w:ascii="仿宋" w:hAnsi="仿宋" w:eastAsia="仿宋" w:cs="仿宋"/>
          <w:spacing w:val="22"/>
          <w:sz w:val="31"/>
          <w:szCs w:val="31"/>
          <w:lang w:val="en-US" w:eastAsia="zh-CN"/>
        </w:rPr>
        <w:t>2021年</w:t>
      </w:r>
      <w:r>
        <w:rPr>
          <w:rFonts w:hint="eastAsia" w:ascii="仿宋" w:hAnsi="仿宋" w:eastAsia="仿宋" w:cs="仿宋"/>
          <w:spacing w:val="22"/>
          <w:sz w:val="31"/>
          <w:szCs w:val="31"/>
          <w:lang w:eastAsia="zh-CN"/>
        </w:rPr>
        <w:t>数据。</w:t>
      </w:r>
    </w:p>
    <w:p>
      <w:pPr>
        <w:spacing w:before="228" w:line="227" w:lineRule="auto"/>
        <w:ind w:left="674"/>
        <w:outlineLvl w:val="0"/>
        <w:rPr>
          <w:rFonts w:ascii="黑体" w:hAnsi="黑体" w:eastAsia="黑体" w:cs="黑体"/>
          <w:sz w:val="30"/>
          <w:szCs w:val="30"/>
          <w:lang w:eastAsia="zh-CN"/>
        </w:rPr>
      </w:pPr>
      <w:r>
        <w:rPr>
          <w:rFonts w:ascii="黑体" w:hAnsi="黑体" w:eastAsia="黑体" w:cs="黑体"/>
          <w:spacing w:val="6"/>
          <w:sz w:val="30"/>
          <w:szCs w:val="30"/>
          <w:lang w:eastAsia="zh-CN"/>
        </w:rPr>
        <w:t>五、财政拨款“三公”经费支出决算情况说明</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本单位2022年度财政拨款“三公”经费支出全年预算数为3万元，决算数为0.06万元，完成全年预算的</w:t>
      </w:r>
      <w:r>
        <w:rPr>
          <w:rFonts w:hint="eastAsia" w:ascii="仿宋" w:hAnsi="仿宋" w:eastAsia="仿宋" w:cs="仿宋"/>
          <w:spacing w:val="22"/>
          <w:sz w:val="31"/>
          <w:szCs w:val="31"/>
          <w:lang w:val="en-US" w:eastAsia="zh-CN"/>
        </w:rPr>
        <w:t>2</w:t>
      </w:r>
      <w:r>
        <w:rPr>
          <w:rFonts w:hint="eastAsia" w:ascii="仿宋" w:hAnsi="仿宋" w:eastAsia="仿宋" w:cs="仿宋"/>
          <w:spacing w:val="22"/>
          <w:sz w:val="31"/>
          <w:szCs w:val="31"/>
          <w:lang w:eastAsia="zh-CN"/>
        </w:rPr>
        <w:t>%,决算数较2021年增加(减少)万元，增长(下降)% ,其中：</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(一)因公出国(境)支出全年预算数为</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万元，决算数为</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万元，完成全年预算的</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%,决算数较2021年增加(减少)万元，增长(下降)%,主要原因是：......。决算数较全年预算数增加(减少)的主要原因是：......。全年安排因公出国(境)团组</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个，累计</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人次，主要为：......</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val="en-US" w:eastAsia="zh-CN"/>
        </w:rPr>
      </w:pPr>
      <w:r>
        <w:rPr>
          <w:rFonts w:hint="eastAsia" w:ascii="仿宋" w:hAnsi="仿宋" w:eastAsia="仿宋" w:cs="仿宋"/>
          <w:spacing w:val="22"/>
          <w:sz w:val="31"/>
          <w:szCs w:val="31"/>
          <w:lang w:eastAsia="zh-CN"/>
        </w:rPr>
        <w:t>(二)公务接待费支出全年预算数为3万元，决算数为0.</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6万元，完成全年预算的</w:t>
      </w:r>
      <w:r>
        <w:rPr>
          <w:rFonts w:hint="eastAsia" w:ascii="仿宋" w:hAnsi="仿宋" w:eastAsia="仿宋" w:cs="仿宋"/>
          <w:spacing w:val="22"/>
          <w:sz w:val="31"/>
          <w:szCs w:val="31"/>
          <w:lang w:val="en-US" w:eastAsia="zh-CN"/>
        </w:rPr>
        <w:t>2</w:t>
      </w:r>
      <w:r>
        <w:rPr>
          <w:rFonts w:hint="eastAsia" w:ascii="仿宋" w:hAnsi="仿宋" w:eastAsia="仿宋" w:cs="仿宋"/>
          <w:spacing w:val="22"/>
          <w:sz w:val="31"/>
          <w:szCs w:val="31"/>
          <w:lang w:eastAsia="zh-CN"/>
        </w:rPr>
        <w:t>%,决算数较2021年增加(减少)万元，增长(下降)%,主要原因是：本单位是2022年开始财务独立核算，故无</w:t>
      </w:r>
      <w:r>
        <w:rPr>
          <w:rFonts w:hint="eastAsia" w:ascii="仿宋" w:hAnsi="仿宋" w:eastAsia="仿宋" w:cs="仿宋"/>
          <w:spacing w:val="22"/>
          <w:sz w:val="31"/>
          <w:szCs w:val="31"/>
          <w:lang w:val="en-US" w:eastAsia="zh-CN"/>
        </w:rPr>
        <w:t>2021年</w:t>
      </w:r>
      <w:r>
        <w:rPr>
          <w:rFonts w:hint="eastAsia" w:ascii="仿宋" w:hAnsi="仿宋" w:eastAsia="仿宋" w:cs="仿宋"/>
          <w:spacing w:val="22"/>
          <w:sz w:val="31"/>
          <w:szCs w:val="31"/>
          <w:lang w:eastAsia="zh-CN"/>
        </w:rPr>
        <w:t>数据。决算数较全年预算数减少的主要原因是：</w:t>
      </w:r>
      <w:r>
        <w:rPr>
          <w:rFonts w:hint="eastAsia" w:ascii="仿宋" w:hAnsi="仿宋" w:eastAsia="仿宋" w:cs="仿宋"/>
          <w:spacing w:val="22"/>
          <w:sz w:val="31"/>
          <w:szCs w:val="31"/>
          <w:lang w:val="en-US" w:eastAsia="zh-CN"/>
        </w:rPr>
        <w:t>今年公务接待批次和人次减少，经费也相应减少很多。</w:t>
      </w:r>
      <w:r>
        <w:rPr>
          <w:rFonts w:hint="eastAsia" w:ascii="仿宋" w:hAnsi="仿宋" w:eastAsia="仿宋" w:cs="仿宋"/>
          <w:spacing w:val="22"/>
          <w:sz w:val="31"/>
          <w:szCs w:val="31"/>
          <w:lang w:eastAsia="zh-CN"/>
        </w:rPr>
        <w:t>全年国内公务接待</w:t>
      </w:r>
      <w:r>
        <w:rPr>
          <w:rFonts w:hint="eastAsia" w:ascii="仿宋" w:hAnsi="仿宋" w:eastAsia="仿宋" w:cs="仿宋"/>
          <w:spacing w:val="22"/>
          <w:sz w:val="31"/>
          <w:szCs w:val="31"/>
          <w:lang w:val="en-US" w:eastAsia="zh-CN"/>
        </w:rPr>
        <w:t>1</w:t>
      </w:r>
      <w:r>
        <w:rPr>
          <w:rFonts w:hint="eastAsia" w:ascii="仿宋" w:hAnsi="仿宋" w:eastAsia="仿宋" w:cs="仿宋"/>
          <w:spacing w:val="22"/>
          <w:sz w:val="31"/>
          <w:szCs w:val="31"/>
          <w:lang w:eastAsia="zh-CN"/>
        </w:rPr>
        <w:t>批，累计接待</w:t>
      </w:r>
      <w:r>
        <w:rPr>
          <w:rFonts w:hint="eastAsia" w:ascii="仿宋" w:hAnsi="仿宋" w:eastAsia="仿宋" w:cs="仿宋"/>
          <w:spacing w:val="22"/>
          <w:sz w:val="31"/>
          <w:szCs w:val="31"/>
          <w:lang w:val="en-US" w:eastAsia="zh-CN"/>
        </w:rPr>
        <w:t>5</w:t>
      </w:r>
      <w:r>
        <w:rPr>
          <w:rFonts w:hint="eastAsia" w:ascii="仿宋" w:hAnsi="仿宋" w:eastAsia="仿宋" w:cs="仿宋"/>
          <w:spacing w:val="22"/>
          <w:sz w:val="31"/>
          <w:szCs w:val="31"/>
          <w:lang w:eastAsia="zh-CN"/>
        </w:rPr>
        <w:t>人次，其中外事接待</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批，累计接待</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人次，主要为：</w:t>
      </w:r>
      <w:r>
        <w:rPr>
          <w:rFonts w:hint="eastAsia" w:ascii="仿宋" w:hAnsi="仿宋" w:eastAsia="仿宋" w:cs="仿宋"/>
          <w:spacing w:val="22"/>
          <w:sz w:val="31"/>
          <w:szCs w:val="31"/>
          <w:lang w:val="en-US" w:eastAsia="zh-CN"/>
        </w:rPr>
        <w:t>公务来访。</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(三)公务用车购置及运行维护费支出</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万元，其中公务用车购置全年预算数为</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万元，决算数为</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万元，完成全年预算的</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%,决算数较2021年增加(减少)万元，增长(下降)%,主要原因是：......。全年购置公务用车</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辆，决算数较全年预算数增加(减少)的主要原因是：......;公务用车运行维护费支出全年预算数为</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万元，决算数为</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万元，完成全年预算的</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%,决算数较2021年增加(减少)万元，增长(下降)%,主要原因是：......,年末公务用车保有</w:t>
      </w:r>
      <w:r>
        <w:rPr>
          <w:rFonts w:hint="eastAsia" w:ascii="仿宋" w:hAnsi="仿宋" w:eastAsia="仿宋" w:cs="仿宋"/>
          <w:spacing w:val="22"/>
          <w:sz w:val="31"/>
          <w:szCs w:val="31"/>
          <w:lang w:val="en-US" w:eastAsia="zh-CN"/>
        </w:rPr>
        <w:t>0</w:t>
      </w:r>
      <w:r>
        <w:rPr>
          <w:rFonts w:hint="eastAsia" w:ascii="仿宋" w:hAnsi="仿宋" w:eastAsia="仿宋" w:cs="仿宋"/>
          <w:spacing w:val="22"/>
          <w:sz w:val="31"/>
          <w:szCs w:val="31"/>
          <w:lang w:eastAsia="zh-CN"/>
        </w:rPr>
        <w:t>辆。决算数较全年预算数增加(减少)的主要原因是：......</w:t>
      </w:r>
    </w:p>
    <w:p>
      <w:pPr>
        <w:spacing w:before="226" w:line="226" w:lineRule="auto"/>
        <w:ind w:left="662"/>
        <w:outlineLvl w:val="0"/>
        <w:rPr>
          <w:rFonts w:ascii="黑体" w:hAnsi="黑体" w:eastAsia="黑体" w:cs="黑体"/>
          <w:sz w:val="31"/>
          <w:szCs w:val="31"/>
          <w:lang w:eastAsia="zh-CN"/>
        </w:rPr>
      </w:pPr>
      <w:r>
        <w:rPr>
          <w:rFonts w:ascii="黑体" w:hAnsi="黑体" w:eastAsia="黑体" w:cs="黑体"/>
          <w:spacing w:val="2"/>
          <w:sz w:val="31"/>
          <w:szCs w:val="31"/>
          <w:lang w:eastAsia="zh-CN"/>
        </w:rPr>
        <w:t>六、机关运行经费支出情况说明</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bookmarkStart w:id="0" w:name="_GoBack"/>
      <w:r>
        <w:rPr>
          <w:rFonts w:hint="eastAsia" w:ascii="仿宋" w:hAnsi="仿宋" w:eastAsia="仿宋" w:cs="仿宋"/>
          <w:spacing w:val="22"/>
          <w:sz w:val="31"/>
          <w:szCs w:val="31"/>
          <w:lang w:eastAsia="zh-CN"/>
        </w:rPr>
        <w:t>本单位2022年度</w:t>
      </w:r>
      <w:bookmarkEnd w:id="0"/>
      <w:r>
        <w:rPr>
          <w:rFonts w:hint="eastAsia" w:ascii="仿宋" w:hAnsi="仿宋" w:eastAsia="仿宋" w:cs="仿宋"/>
          <w:spacing w:val="22"/>
          <w:sz w:val="31"/>
          <w:szCs w:val="31"/>
          <w:lang w:eastAsia="zh-CN"/>
        </w:rPr>
        <w:t>机关运行经费支出2.</w:t>
      </w:r>
      <w:r>
        <w:rPr>
          <w:rFonts w:hint="eastAsia" w:ascii="仿宋" w:hAnsi="仿宋" w:eastAsia="仿宋" w:cs="仿宋"/>
          <w:spacing w:val="22"/>
          <w:sz w:val="31"/>
          <w:szCs w:val="31"/>
          <w:lang w:val="en-US" w:eastAsia="zh-CN"/>
        </w:rPr>
        <w:t>7</w:t>
      </w:r>
      <w:r>
        <w:rPr>
          <w:rFonts w:hint="eastAsia" w:ascii="仿宋" w:hAnsi="仿宋" w:eastAsia="仿宋" w:cs="仿宋"/>
          <w:spacing w:val="22"/>
          <w:sz w:val="31"/>
          <w:szCs w:val="31"/>
          <w:lang w:eastAsia="zh-CN"/>
        </w:rPr>
        <w:t>万元(与部门决算中行政单位和参照公务员法管理事业单位财政拨款基本支出中公用经费之和一致),较上年决算数增加(减少)万元，增长(降低)%,主要原因是：办公设施设备购置经费增加(减少)/资产运行维护支出增加(减少)/信息系统运行维护支出增加(减少)/人员编制数量增加(减少)/落实过紧日子要求压减 XX支出/......等(具体增减原因由部门根据实际情况填列)。</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(若本单位不是行政单位或参照公务员法管理事业单位，则按以下格式说明：“本单位不是行政单位或参照公务员法管理事业单位，故无机关运行经费支出”)</w:t>
      </w:r>
    </w:p>
    <w:p>
      <w:pPr>
        <w:spacing w:before="249" w:line="226" w:lineRule="auto"/>
        <w:ind w:left="651"/>
        <w:outlineLvl w:val="0"/>
        <w:rPr>
          <w:rFonts w:ascii="黑体" w:hAnsi="黑体" w:eastAsia="黑体" w:cs="黑体"/>
          <w:sz w:val="31"/>
          <w:szCs w:val="31"/>
          <w:lang w:eastAsia="zh-CN"/>
        </w:rPr>
      </w:pPr>
      <w:r>
        <w:rPr>
          <w:rFonts w:ascii="黑体" w:hAnsi="黑体" w:eastAsia="黑体" w:cs="黑体"/>
          <w:spacing w:val="2"/>
          <w:sz w:val="31"/>
          <w:szCs w:val="31"/>
          <w:lang w:eastAsia="zh-CN"/>
        </w:rPr>
        <w:t>七、政府采购支出情况说明</w:t>
      </w:r>
    </w:p>
    <w:p>
      <w:pPr>
        <w:numPr>
          <w:ilvl w:val="0"/>
          <w:numId w:val="0"/>
        </w:numPr>
        <w:spacing w:before="278" w:line="370" w:lineRule="auto"/>
        <w:ind w:left="18" w:leftChars="0" w:right="45" w:rightChars="0" w:firstLine="651" w:firstLineChars="0"/>
        <w:jc w:val="both"/>
        <w:rPr>
          <w:rFonts w:ascii="宋体" w:hAnsi="宋体" w:eastAsia="宋体" w:cs="宋体"/>
          <w:sz w:val="25"/>
          <w:szCs w:val="25"/>
          <w:lang w:eastAsia="zh-CN"/>
        </w:rPr>
      </w:pPr>
      <w:r>
        <w:rPr>
          <w:rFonts w:hint="eastAsia" w:ascii="仿宋" w:hAnsi="仿宋" w:eastAsia="仿宋" w:cs="仿宋"/>
          <w:spacing w:val="22"/>
          <w:sz w:val="31"/>
          <w:szCs w:val="31"/>
          <w:lang w:eastAsia="zh-CN"/>
        </w:rPr>
        <w:t>本单位2022年度政府采购支出总额2.79万元，其中：政府采购货物支出2.79万元、政府采购工程支出万元、政府采购服务支出万元。授予中小企业合同金额</w:t>
      </w:r>
      <w:r>
        <w:rPr>
          <w:rFonts w:hint="eastAsia" w:ascii="仿宋" w:hAnsi="仿宋" w:eastAsia="仿宋" w:cs="仿宋"/>
          <w:spacing w:val="22"/>
          <w:sz w:val="31"/>
          <w:szCs w:val="31"/>
          <w:lang w:val="en-US" w:eastAsia="zh-CN"/>
        </w:rPr>
        <w:t>2.79</w:t>
      </w:r>
      <w:r>
        <w:rPr>
          <w:rFonts w:hint="eastAsia" w:ascii="仿宋" w:hAnsi="仿宋" w:eastAsia="仿宋" w:cs="仿宋"/>
          <w:spacing w:val="22"/>
          <w:sz w:val="31"/>
          <w:szCs w:val="31"/>
          <w:lang w:eastAsia="zh-CN"/>
        </w:rPr>
        <w:t>万元，占政府采购支出总额的</w:t>
      </w:r>
      <w:r>
        <w:rPr>
          <w:rFonts w:hint="eastAsia" w:ascii="仿宋" w:hAnsi="仿宋" w:eastAsia="仿宋" w:cs="仿宋"/>
          <w:spacing w:val="22"/>
          <w:sz w:val="31"/>
          <w:szCs w:val="31"/>
          <w:lang w:val="en-US" w:eastAsia="zh-CN"/>
        </w:rPr>
        <w:t>100</w:t>
      </w:r>
      <w:r>
        <w:rPr>
          <w:rFonts w:hint="eastAsia" w:ascii="仿宋" w:hAnsi="仿宋" w:eastAsia="仿宋" w:cs="仿宋"/>
          <w:spacing w:val="22"/>
          <w:sz w:val="31"/>
          <w:szCs w:val="31"/>
          <w:lang w:eastAsia="zh-CN"/>
        </w:rPr>
        <w:t>%,其中：授予小微企业合同金额万元，占授予中小企业合同金额的%;货物采购授予中小企业合同金额占货物支出金额的%,工程采购授予中小企业合同金额占工程支出金额的%,服务采购授予中小企业合同金额占服务支出金额的%。</w:t>
      </w:r>
    </w:p>
    <w:p>
      <w:pPr>
        <w:spacing w:before="211" w:line="227" w:lineRule="auto"/>
        <w:ind w:left="661"/>
        <w:outlineLvl w:val="0"/>
        <w:rPr>
          <w:rFonts w:ascii="黑体" w:hAnsi="黑体" w:eastAsia="黑体" w:cs="黑体"/>
          <w:sz w:val="30"/>
          <w:szCs w:val="30"/>
          <w:lang w:eastAsia="zh-CN"/>
        </w:rPr>
      </w:pPr>
      <w:r>
        <w:rPr>
          <w:rFonts w:ascii="黑体" w:hAnsi="黑体" w:eastAsia="黑体" w:cs="黑体"/>
          <w:spacing w:val="-1"/>
          <w:sz w:val="30"/>
          <w:szCs w:val="30"/>
          <w:lang w:eastAsia="zh-CN"/>
        </w:rPr>
        <w:t>八、国有资产占用情况说明</w:t>
      </w:r>
    </w:p>
    <w:p>
      <w:pPr>
        <w:numPr>
          <w:ilvl w:val="0"/>
          <w:numId w:val="0"/>
        </w:numPr>
        <w:spacing w:before="278" w:line="370" w:lineRule="auto"/>
        <w:ind w:left="18" w:leftChars="0" w:right="45" w:rightChars="0" w:firstLine="651" w:firstLineChars="0"/>
        <w:jc w:val="both"/>
        <w:rPr>
          <w:rFonts w:ascii="仿宋" w:hAnsi="仿宋" w:eastAsia="仿宋" w:cs="仿宋"/>
          <w:sz w:val="30"/>
          <w:szCs w:val="30"/>
          <w:lang w:eastAsia="zh-CN"/>
        </w:rPr>
      </w:pPr>
      <w:r>
        <w:rPr>
          <w:rFonts w:hint="eastAsia" w:ascii="仿宋" w:hAnsi="仿宋" w:eastAsia="仿宋" w:cs="仿宋"/>
          <w:spacing w:val="22"/>
          <w:sz w:val="31"/>
          <w:szCs w:val="31"/>
          <w:lang w:eastAsia="zh-CN"/>
        </w:rPr>
        <w:t>截止2022年12月31日，本单位国有资产占用情况见公开10表《国有资产占用情况表》。其中车辆中的其他用车主要是……</w:t>
      </w:r>
    </w:p>
    <w:p>
      <w:pPr>
        <w:spacing w:before="233" w:line="227" w:lineRule="auto"/>
        <w:ind w:left="669"/>
        <w:outlineLvl w:val="0"/>
        <w:rPr>
          <w:rFonts w:ascii="黑体" w:hAnsi="黑体" w:eastAsia="黑体" w:cs="黑体"/>
          <w:sz w:val="30"/>
          <w:szCs w:val="30"/>
          <w:lang w:eastAsia="zh-CN"/>
        </w:rPr>
      </w:pPr>
      <w:r>
        <w:rPr>
          <w:rFonts w:ascii="黑体" w:hAnsi="黑体" w:eastAsia="黑体" w:cs="黑体"/>
          <w:spacing w:val="-3"/>
          <w:sz w:val="30"/>
          <w:szCs w:val="30"/>
          <w:lang w:eastAsia="zh-CN"/>
        </w:rPr>
        <w:t>九、预算绩效评价情况说明</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(一)绩效评价工作开展情况。</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根据预算绩效管理要求，我单位组织对纳入2022年度部门预算范围的二级项目 1 个全面开展绩效自评，共涉及资金</w:t>
      </w:r>
      <w:r>
        <w:rPr>
          <w:rFonts w:hint="eastAsia" w:ascii="仿宋" w:hAnsi="仿宋" w:eastAsia="仿宋" w:cs="仿宋"/>
          <w:spacing w:val="22"/>
          <w:sz w:val="31"/>
          <w:szCs w:val="31"/>
          <w:lang w:val="en-US" w:eastAsia="zh-CN"/>
        </w:rPr>
        <w:t xml:space="preserve"> 1.9 </w:t>
      </w:r>
      <w:r>
        <w:rPr>
          <w:rFonts w:hint="eastAsia" w:ascii="仿宋" w:hAnsi="仿宋" w:eastAsia="仿宋" w:cs="仿宋"/>
          <w:spacing w:val="22"/>
          <w:sz w:val="31"/>
          <w:szCs w:val="31"/>
          <w:lang w:eastAsia="zh-CN"/>
        </w:rPr>
        <w:t>万元，占项目支出总额的</w:t>
      </w:r>
      <w:r>
        <w:rPr>
          <w:rFonts w:hint="eastAsia" w:ascii="仿宋" w:hAnsi="仿宋" w:eastAsia="仿宋" w:cs="仿宋"/>
          <w:spacing w:val="22"/>
          <w:sz w:val="31"/>
          <w:szCs w:val="31"/>
          <w:lang w:val="en-US" w:eastAsia="zh-CN"/>
        </w:rPr>
        <w:t xml:space="preserve"> 47 </w:t>
      </w:r>
      <w:r>
        <w:rPr>
          <w:rFonts w:hint="eastAsia" w:ascii="仿宋" w:hAnsi="仿宋" w:eastAsia="仿宋" w:cs="仿宋"/>
          <w:spacing w:val="22"/>
          <w:sz w:val="31"/>
          <w:szCs w:val="31"/>
          <w:lang w:eastAsia="zh-CN"/>
        </w:rPr>
        <w:t>%。</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(二)单位决算中项目绩效自评结果。</w:t>
      </w:r>
    </w:p>
    <w:p>
      <w:pPr>
        <w:numPr>
          <w:ilvl w:val="0"/>
          <w:numId w:val="0"/>
        </w:numPr>
        <w:spacing w:before="278" w:line="370" w:lineRule="auto"/>
        <w:ind w:left="18" w:leftChars="0" w:right="45" w:rightChars="0" w:firstLine="651" w:firstLineChars="0"/>
        <w:jc w:val="left"/>
        <w:rPr>
          <w:rFonts w:ascii="仿宋" w:hAnsi="仿宋" w:eastAsia="仿宋" w:cs="仿宋"/>
          <w:sz w:val="30"/>
          <w:szCs w:val="30"/>
          <w:lang w:eastAsia="zh-CN"/>
        </w:rPr>
        <w:sectPr>
          <w:footerReference r:id="rId6" w:type="default"/>
          <w:pgSz w:w="11870" w:h="16740"/>
          <w:pgMar w:top="1422" w:right="1568" w:bottom="1566" w:left="1613" w:header="0" w:footer="1260" w:gutter="0"/>
          <w:pgNumType w:fmt="numberInDash"/>
          <w:cols w:space="720" w:num="1"/>
        </w:sectPr>
      </w:pPr>
      <w:r>
        <w:rPr>
          <w:rFonts w:hint="eastAsia" w:ascii="仿宋" w:hAnsi="仿宋" w:eastAsia="仿宋" w:cs="仿宋"/>
          <w:spacing w:val="22"/>
          <w:sz w:val="31"/>
          <w:szCs w:val="31"/>
          <w:lang w:eastAsia="zh-CN"/>
        </w:rPr>
        <w:t>将2022年度《项目支出绩效自评表》(自选1个项目)进行公开。</w:t>
      </w:r>
      <w:r>
        <w:rPr>
          <w:rFonts w:ascii="仿宋" w:hAnsi="仿宋" w:eastAsia="仿宋" w:cs="仿宋"/>
          <w:sz w:val="30"/>
          <w:szCs w:val="30"/>
          <w:lang w:eastAsia="zh-CN"/>
        </w:rPr>
        <w:drawing>
          <wp:inline distT="0" distB="0" distL="114300" distR="114300">
            <wp:extent cx="5515610" cy="7802880"/>
            <wp:effectExtent l="0" t="0" r="8890" b="7620"/>
            <wp:docPr id="12" name="图片 12" descr="nul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null (1)_00"/>
                    <pic:cNvPicPr>
                      <a:picLocks noChangeAspect="1"/>
                    </pic:cNvPicPr>
                  </pic:nvPicPr>
                  <pic:blipFill>
                    <a:blip r:embed="rId19"/>
                    <a:stretch>
                      <a:fillRect/>
                    </a:stretch>
                  </pic:blipFill>
                  <pic:spPr>
                    <a:xfrm>
                      <a:off x="0" y="0"/>
                      <a:ext cx="5515610" cy="7802880"/>
                    </a:xfrm>
                    <a:prstGeom prst="rect">
                      <a:avLst/>
                    </a:prstGeom>
                  </pic:spPr>
                </pic:pic>
              </a:graphicData>
            </a:graphic>
          </wp:inline>
        </w:drawing>
      </w:r>
      <w:r>
        <w:rPr>
          <w:rFonts w:ascii="仿宋" w:hAnsi="仿宋" w:eastAsia="仿宋" w:cs="仿宋"/>
          <w:sz w:val="30"/>
          <w:szCs w:val="30"/>
          <w:lang w:eastAsia="zh-CN"/>
        </w:rPr>
        <w:drawing>
          <wp:inline distT="0" distB="0" distL="114300" distR="114300">
            <wp:extent cx="5515610" cy="7802880"/>
            <wp:effectExtent l="0" t="0" r="8890" b="7620"/>
            <wp:docPr id="11" name="图片 11" descr="null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null (1)_01"/>
                    <pic:cNvPicPr>
                      <a:picLocks noChangeAspect="1"/>
                    </pic:cNvPicPr>
                  </pic:nvPicPr>
                  <pic:blipFill>
                    <a:blip r:embed="rId20"/>
                    <a:stretch>
                      <a:fillRect/>
                    </a:stretch>
                  </pic:blipFill>
                  <pic:spPr>
                    <a:xfrm>
                      <a:off x="0" y="0"/>
                      <a:ext cx="5515610" cy="7802880"/>
                    </a:xfrm>
                    <a:prstGeom prst="rect">
                      <a:avLst/>
                    </a:prstGeom>
                  </pic:spPr>
                </pic:pic>
              </a:graphicData>
            </a:graphic>
          </wp:inline>
        </w:drawing>
      </w:r>
    </w:p>
    <w:p>
      <w:pPr>
        <w:spacing w:before="137" w:line="224" w:lineRule="auto"/>
        <w:jc w:val="center"/>
        <w:rPr>
          <w:rFonts w:ascii="宋体" w:hAnsi="宋体" w:eastAsia="宋体" w:cs="宋体"/>
          <w:sz w:val="42"/>
          <w:szCs w:val="42"/>
          <w:lang w:eastAsia="zh-CN"/>
        </w:rPr>
      </w:pPr>
      <w:r>
        <w:rPr>
          <w:rFonts w:ascii="宋体" w:hAnsi="宋体" w:eastAsia="宋体" w:cs="宋体"/>
          <w:spacing w:val="5"/>
          <w:sz w:val="42"/>
          <w:szCs w:val="42"/>
          <w:lang w:eastAsia="zh-CN"/>
        </w:rPr>
        <w:t>第四部分</w:t>
      </w:r>
      <w:r>
        <w:rPr>
          <w:rFonts w:hint="eastAsia" w:ascii="宋体" w:hAnsi="宋体" w:eastAsia="宋体" w:cs="宋体"/>
          <w:spacing w:val="5"/>
          <w:sz w:val="42"/>
          <w:szCs w:val="42"/>
          <w:lang w:val="en-US" w:eastAsia="zh-CN"/>
        </w:rPr>
        <w:t xml:space="preserve">  </w:t>
      </w:r>
      <w:r>
        <w:rPr>
          <w:rFonts w:ascii="宋体" w:hAnsi="宋体" w:eastAsia="宋体" w:cs="宋体"/>
          <w:spacing w:val="5"/>
          <w:sz w:val="42"/>
          <w:szCs w:val="42"/>
          <w:lang w:eastAsia="zh-CN"/>
        </w:rPr>
        <w:t>名词解释</w:t>
      </w:r>
    </w:p>
    <w:p>
      <w:pPr>
        <w:pStyle w:val="2"/>
        <w:spacing w:line="299" w:lineRule="auto"/>
        <w:rPr>
          <w:lang w:eastAsia="zh-CN"/>
        </w:rPr>
      </w:pPr>
    </w:p>
    <w:p>
      <w:pPr>
        <w:pStyle w:val="2"/>
        <w:spacing w:line="299" w:lineRule="auto"/>
        <w:rPr>
          <w:lang w:eastAsia="zh-CN"/>
        </w:rPr>
      </w:pP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应对报表项目、政府收支分类科目进行适当说明。(以财务会计制度、政府收支分类科目以及部门预算管理等规定为准，可结合部门实际情况适当细化)“三公”经费支出和机关运行经费支出口径必须予以说明(可参照如下格式进行说明):</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“三公”经费支出：指用财政拨款安排的因公出国(境) 费、公务用车购置及运行维护费和公务接待费。其中，因公出国(境)费反映单位公务出国(境)的国际旅费、国外城市间交通费、住宿费、伙食费、培训费、公杂费等支出；公务用车 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p>
      <w:pPr>
        <w:numPr>
          <w:ilvl w:val="0"/>
          <w:numId w:val="0"/>
        </w:numPr>
        <w:spacing w:before="278" w:line="370" w:lineRule="auto"/>
        <w:ind w:left="18" w:leftChars="0" w:right="45" w:rightChars="0" w:firstLine="651" w:firstLineChars="0"/>
        <w:jc w:val="both"/>
        <w:rPr>
          <w:rFonts w:hint="eastAsia" w:ascii="仿宋" w:hAnsi="仿宋" w:eastAsia="仿宋" w:cs="仿宋"/>
          <w:spacing w:val="22"/>
          <w:sz w:val="31"/>
          <w:szCs w:val="31"/>
          <w:lang w:eastAsia="zh-CN"/>
        </w:rPr>
      </w:pPr>
      <w:r>
        <w:rPr>
          <w:rFonts w:hint="eastAsia" w:ascii="仿宋" w:hAnsi="仿宋" w:eastAsia="仿宋" w:cs="仿宋"/>
          <w:spacing w:val="22"/>
          <w:sz w:val="31"/>
          <w:szCs w:val="31"/>
          <w:lang w:eastAsia="zh-CN"/>
        </w:rPr>
        <w:t>机关运行经费支出：指用财政拨款安排的为保障行政单位</w:t>
      </w:r>
      <w:r>
        <w:rPr>
          <w:rFonts w:hint="eastAsia" w:ascii="仿宋" w:hAnsi="仿宋" w:eastAsia="仿宋" w:cs="仿宋"/>
          <w:spacing w:val="22"/>
          <w:sz w:val="31"/>
          <w:szCs w:val="31"/>
          <w:lang w:eastAsia="zh-CN"/>
        </w:rPr>
        <w:tab/>
      </w:r>
      <w:r>
        <w:rPr>
          <w:rFonts w:hint="eastAsia" w:ascii="仿宋" w:hAnsi="仿宋" w:eastAsia="仿宋" w:cs="仿宋"/>
          <w:spacing w:val="22"/>
          <w:sz w:val="31"/>
          <w:szCs w:val="31"/>
          <w:lang w:eastAsia="zh-CN"/>
        </w:rPr>
        <w:t>(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sectPr>
      <w:footerReference r:id="rId7" w:type="default"/>
      <w:pgSz w:w="11840" w:h="16800"/>
      <w:pgMar w:top="1405" w:right="1136" w:bottom="400" w:left="1205" w:header="0" w:footer="0"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jc w:val="right"/>
      <w:rPr>
        <w:rFonts w:ascii="宋体" w:hAnsi="宋体" w:eastAsia="宋体" w:cs="宋体"/>
        <w:sz w:val="31"/>
        <w:szCs w:val="31"/>
      </w:rPr>
    </w:pPr>
    <w:r>
      <w:rPr>
        <w:sz w:val="31"/>
      </w:rPr>
      <w:pict>
        <v:shape id="_x0000_s4102" o:spid="_x0000_s4102" o:spt="202" type="#_x0000_t202" style="position:absolute;left:0pt;margin-top:0pt;height:144pt;width:144pt;mso-position-horizontal:right;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4"/>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rPr>
        <w:rFonts w:ascii="宋体" w:hAnsi="宋体" w:eastAsia="宋体" w:cs="宋体"/>
        <w:sz w:val="30"/>
        <w:szCs w:val="30"/>
      </w:rPr>
    </w:pPr>
    <w:r>
      <w:rPr>
        <w:sz w:val="30"/>
      </w:rPr>
      <w:pict>
        <v:shape id="_x0000_s4103" o:spid="_x0000_s4103"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- 2 -</w:t>
                </w:r>
                <w:r>
                  <w:rPr>
                    <w:rFonts w:hint="eastAsia" w:eastAsia="宋体"/>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0" w:lineRule="auto"/>
      <w:jc w:val="right"/>
      <w:rPr>
        <w:rFonts w:ascii="宋体" w:hAnsi="宋体" w:eastAsia="宋体" w:cs="宋体"/>
        <w:sz w:val="32"/>
        <w:szCs w:val="32"/>
      </w:rPr>
    </w:pPr>
    <w:r>
      <w:rPr>
        <w:sz w:val="32"/>
      </w:rPr>
      <w:pict>
        <v:shape id="_x0000_s4104" o:spid="_x0000_s4104"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- 3 -</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ind w:left="6"/>
      <w:rPr>
        <w:rFonts w:ascii="宋体" w:hAnsi="宋体" w:eastAsia="宋体" w:cs="宋体"/>
        <w:sz w:val="30"/>
        <w:szCs w:val="30"/>
      </w:rPr>
    </w:pPr>
    <w:r>
      <w:rPr>
        <w:sz w:val="30"/>
      </w:rPr>
      <w:pict>
        <v:shape id="_x0000_s4105" o:spid="_x0000_s4105"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- 4 -</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w:pict>
        <v:shape id="_x0000_s4106" o:spid="_x0000_s4106" o:spt="202" type="#_x0000_t202" style="position:absolute;left:0pt;margin-top:0pt;height:144pt;width:144pt;mso-position-horizontal:right;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- 18 -</w:t>
                </w:r>
                <w:r>
                  <w:rPr>
                    <w:rFonts w:hint="eastAsia" w:eastAsia="宋体"/>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CD92"/>
    <w:multiLevelType w:val="singleLevel"/>
    <w:tmpl w:val="03A6CD92"/>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characterSpacingControl w:val="doNotCompress"/>
  <w:hdrShapeDefaults>
    <o:shapelayout v:ext="edit">
      <o:idmap v:ext="edit" data="3,4"/>
    </o:shapelayout>
  </w:hdrShapeDefaults>
  <w:compat>
    <w:spaceForUL/>
    <w:ulTrailSpace/>
    <w:useFELayout/>
    <w:compatSetting w:name="compatibilityMode" w:uri="http://schemas.microsoft.com/office/word" w:val="12"/>
  </w:compat>
  <w:docVars>
    <w:docVar w:name="commondata" w:val="eyJoZGlkIjoiYTVkZTdkMjczZDY2Mzg5MGM1ZjMwNzE4YTcyMDZhYzcifQ=="/>
  </w:docVars>
  <w:rsids>
    <w:rsidRoot w:val="00E107A2"/>
    <w:rsid w:val="00E107A2"/>
    <w:rsid w:val="00E13013"/>
    <w:rsid w:val="05D52446"/>
    <w:rsid w:val="121E768B"/>
    <w:rsid w:val="132A4818"/>
    <w:rsid w:val="1AB34893"/>
    <w:rsid w:val="1B8F4255"/>
    <w:rsid w:val="2CCF1401"/>
    <w:rsid w:val="3A6D1C08"/>
    <w:rsid w:val="41F16AA6"/>
    <w:rsid w:val="47C76C4D"/>
    <w:rsid w:val="50591EAC"/>
    <w:rsid w:val="572B1EDA"/>
    <w:rsid w:val="66081136"/>
    <w:rsid w:val="67553383"/>
    <w:rsid w:val="71A77E48"/>
    <w:rsid w:val="7A634DCB"/>
    <w:rsid w:val="7BFC6ED6"/>
    <w:rsid w:val="7CE34C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Theme="minorEastAsia"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semiHidden/>
    <w:qFormat/>
    <w:uiPriority w:val="0"/>
  </w:style>
  <w:style w:type="paragraph" w:styleId="3">
    <w:name w:val="Balloon Text"/>
    <w:basedOn w:val="1"/>
    <w:link w:val="12"/>
    <w:qFormat/>
    <w:uiPriority w:val="0"/>
    <w:rPr>
      <w:sz w:val="18"/>
      <w:szCs w:val="18"/>
    </w:rPr>
  </w:style>
  <w:style w:type="paragraph" w:styleId="4">
    <w:name w:val="footer"/>
    <w:basedOn w:val="1"/>
    <w:link w:val="11"/>
    <w:qFormat/>
    <w:uiPriority w:val="0"/>
    <w:pPr>
      <w:tabs>
        <w:tab w:val="center" w:pos="4153"/>
        <w:tab w:val="right" w:pos="8306"/>
      </w:tabs>
    </w:pPr>
    <w:rPr>
      <w:sz w:val="18"/>
      <w:szCs w:val="18"/>
    </w:rPr>
  </w:style>
  <w:style w:type="paragraph" w:styleId="5">
    <w:name w:val="header"/>
    <w:basedOn w:val="1"/>
    <w:link w:val="10"/>
    <w:qFormat/>
    <w:uiPriority w:val="0"/>
    <w:pPr>
      <w:pBdr>
        <w:bottom w:val="single" w:color="auto" w:sz="6" w:space="1"/>
      </w:pBdr>
      <w:tabs>
        <w:tab w:val="center" w:pos="4153"/>
        <w:tab w:val="right" w:pos="8306"/>
      </w:tabs>
      <w:jc w:val="center"/>
    </w:pPr>
    <w:rPr>
      <w:sz w:val="18"/>
      <w:szCs w:val="18"/>
    </w:rPr>
  </w:style>
  <w:style w:type="table" w:customStyle="1" w:styleId="8">
    <w:name w:val="Table Normal"/>
    <w:semiHidden/>
    <w:unhideWhenUsed/>
    <w:qFormat/>
    <w:uiPriority w:val="0"/>
    <w:tblPr>
      <w:tblLayout w:type="fixed"/>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16"/>
      <w:szCs w:val="16"/>
    </w:rPr>
  </w:style>
  <w:style w:type="character" w:customStyle="1" w:styleId="10">
    <w:name w:val="页眉 Char"/>
    <w:basedOn w:val="7"/>
    <w:link w:val="5"/>
    <w:qFormat/>
    <w:uiPriority w:val="0"/>
    <w:rPr>
      <w:rFonts w:eastAsia="Arial"/>
      <w:snapToGrid w:val="0"/>
      <w:color w:val="000000"/>
      <w:sz w:val="18"/>
      <w:szCs w:val="18"/>
      <w:lang w:eastAsia="en-US"/>
    </w:rPr>
  </w:style>
  <w:style w:type="character" w:customStyle="1" w:styleId="11">
    <w:name w:val="页脚 Char"/>
    <w:basedOn w:val="7"/>
    <w:link w:val="4"/>
    <w:qFormat/>
    <w:uiPriority w:val="0"/>
    <w:rPr>
      <w:rFonts w:eastAsia="Arial"/>
      <w:snapToGrid w:val="0"/>
      <w:color w:val="000000"/>
      <w:sz w:val="18"/>
      <w:szCs w:val="18"/>
      <w:lang w:eastAsia="en-US"/>
    </w:rPr>
  </w:style>
  <w:style w:type="character" w:customStyle="1" w:styleId="12">
    <w:name w:val="批注框文本 Char"/>
    <w:basedOn w:val="7"/>
    <w:link w:val="3"/>
    <w:qFormat/>
    <w:uiPriority w:val="0"/>
    <w:rPr>
      <w:rFonts w:eastAsia="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102" textRotate="1"/>
    <customShpInfo spid="_x0000_s4103" textRotate="1"/>
    <customShpInfo spid="_x0000_s4104" textRotate="1"/>
    <customShpInfo spid="_x0000_s4105" textRotate="1"/>
    <customShpInfo spid="_x0000_s410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829</Words>
  <Characters>4726</Characters>
  <Lines>39</Lines>
  <Paragraphs>11</Paragraphs>
  <TotalTime>60</TotalTime>
  <ScaleCrop>false</ScaleCrop>
  <LinksUpToDate>false</LinksUpToDate>
  <CharactersWithSpaces>5544</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2023-11-29T14:33:00Z</dcterms:created>
  <dc:creator>Kingsoft-PDF</dc:creator>
  <cp:lastModifiedBy>Administrator</cp:lastModifiedBy>
  <dcterms:modified xsi:type="dcterms:W3CDTF">2023-12-14T07:03:13Z</dcterms:modified>
  <dc:subject>pdfbuilder</dc:subject>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2023-12-12T12:49:40Z</vt:filetime>
  </property>
  <property fmtid="{D5CDD505-2E9C-101B-9397-08002B2CF9AE}" pid="4" name="KSOProductBuildVer">
    <vt:lpwstr>2052-11.1.0.9021</vt:lpwstr>
  </property>
  <property fmtid="{D5CDD505-2E9C-101B-9397-08002B2CF9AE}" pid="5" name="ICV">
    <vt:lpwstr>DABE7378105846FD9E2953DBDE371A30_12</vt:lpwstr>
  </property>
</Properties>
</file>