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90" w:lineRule="auto"/>
        <w:jc w:val="both"/>
        <w:rPr>
          <w:rFonts w:hint="eastAsia" w:eastAsiaTheme="minorEastAsia"/>
        </w:rPr>
      </w:pPr>
    </w:p>
    <w:p>
      <w:pPr>
        <w:widowControl w:val="0"/>
        <w:kinsoku/>
        <w:autoSpaceDE/>
        <w:autoSpaceDN/>
        <w:adjustRightInd/>
        <w:snapToGrid/>
        <w:spacing w:line="860" w:lineRule="exact"/>
        <w:jc w:val="center"/>
        <w:textAlignment w:val="auto"/>
        <w:rPr>
          <w:rFonts w:ascii="方正大标宋简体" w:hAnsi="Times New Roman" w:eastAsia="方正大标宋简体" w:cs="Times New Roman"/>
          <w:snapToGrid/>
          <w:kern w:val="2"/>
          <w:sz w:val="44"/>
          <w:szCs w:val="44"/>
        </w:rPr>
      </w:pPr>
      <w:r>
        <w:rPr>
          <w:rFonts w:hint="eastAsia" w:ascii="方正大标宋简体" w:hAnsi="Times New Roman" w:eastAsia="方正大标宋简体" w:cs="Times New Roman"/>
          <w:snapToGrid/>
          <w:kern w:val="2"/>
          <w:sz w:val="44"/>
          <w:szCs w:val="44"/>
        </w:rPr>
        <w:t>浮梁县林业局 202</w:t>
      </w:r>
      <w:r>
        <w:rPr>
          <w:rFonts w:hint="eastAsia" w:ascii="方正大标宋简体" w:hAnsi="Times New Roman" w:eastAsia="方正大标宋简体" w:cs="Times New Roman"/>
          <w:snapToGrid/>
          <w:kern w:val="2"/>
          <w:sz w:val="44"/>
          <w:szCs w:val="44"/>
          <w:lang w:val="en-US" w:eastAsia="zh-CN"/>
        </w:rPr>
        <w:t>3</w:t>
      </w:r>
      <w:r>
        <w:rPr>
          <w:rFonts w:hint="eastAsia" w:ascii="方正大标宋简体" w:hAnsi="Times New Roman" w:eastAsia="方正大标宋简体" w:cs="Times New Roman"/>
          <w:snapToGrid/>
          <w:kern w:val="2"/>
          <w:sz w:val="44"/>
          <w:szCs w:val="44"/>
        </w:rPr>
        <w:t>年部门预算</w:t>
      </w:r>
    </w:p>
    <w:p>
      <w:pPr>
        <w:spacing w:line="334" w:lineRule="auto"/>
        <w:rPr>
          <w:rFonts w:eastAsia="宋体"/>
        </w:rPr>
      </w:pPr>
    </w:p>
    <w:p>
      <w:pPr>
        <w:widowControl w:val="0"/>
        <w:kinsoku/>
        <w:autoSpaceDE/>
        <w:autoSpaceDN/>
        <w:adjustRightInd/>
        <w:snapToGrid/>
        <w:jc w:val="center"/>
        <w:textAlignment w:val="auto"/>
      </w:pPr>
      <w:r>
        <w:rPr>
          <w:rFonts w:hint="eastAsia" w:ascii="黑体" w:hAnsi="黑体" w:eastAsia="黑体" w:cs="黑体"/>
          <w:snapToGrid/>
          <w:kern w:val="2"/>
          <w:sz w:val="32"/>
          <w:szCs w:val="32"/>
        </w:rPr>
        <w:t>目    录</w:t>
      </w:r>
    </w:p>
    <w:p>
      <w:pPr>
        <w:spacing w:line="347" w:lineRule="auto"/>
      </w:pPr>
    </w:p>
    <w:p>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第一部分 浮梁县林业局概况</w:t>
      </w:r>
    </w:p>
    <w:p>
      <w:pPr>
        <w:spacing w:before="207"/>
        <w:ind w:firstLine="632" w:firstLineChars="200"/>
        <w:rPr>
          <w:rFonts w:ascii="楷体" w:hAnsi="楷体" w:eastAsia="楷体" w:cs="楷体"/>
          <w:sz w:val="32"/>
          <w:szCs w:val="32"/>
        </w:rPr>
      </w:pPr>
      <w:r>
        <w:rPr>
          <w:rFonts w:ascii="楷体" w:hAnsi="楷体" w:eastAsia="楷体" w:cs="楷体"/>
          <w:spacing w:val="-2"/>
          <w:sz w:val="32"/>
          <w:szCs w:val="32"/>
        </w:rPr>
        <w:t>一、部门主要职责</w:t>
      </w:r>
    </w:p>
    <w:p>
      <w:pPr>
        <w:spacing w:before="200"/>
        <w:ind w:firstLine="644" w:firstLineChars="200"/>
        <w:rPr>
          <w:rFonts w:ascii="楷体" w:hAnsi="楷体" w:eastAsia="楷体" w:cs="楷体"/>
          <w:sz w:val="32"/>
          <w:szCs w:val="32"/>
        </w:rPr>
      </w:pPr>
      <w:r>
        <w:rPr>
          <w:rFonts w:ascii="楷体" w:hAnsi="楷体" w:eastAsia="楷体" w:cs="楷体"/>
          <w:spacing w:val="1"/>
          <w:sz w:val="32"/>
          <w:szCs w:val="32"/>
        </w:rPr>
        <w:t>二、机构设置及人员情况</w:t>
      </w:r>
    </w:p>
    <w:p>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浮梁县林业局202</w:t>
      </w:r>
      <w:r>
        <w:rPr>
          <w:rFonts w:hint="eastAsia" w:ascii="黑体" w:hAnsi="黑体" w:eastAsia="黑体" w:cs="黑体"/>
          <w:snapToGrid/>
          <w:kern w:val="2"/>
          <w:sz w:val="32"/>
          <w:szCs w:val="32"/>
          <w:lang w:val="en-US" w:eastAsia="zh-CN"/>
        </w:rPr>
        <w:t>3</w:t>
      </w:r>
      <w:r>
        <w:rPr>
          <w:rFonts w:hint="eastAsia" w:ascii="黑体" w:hAnsi="黑体" w:eastAsia="黑体" w:cs="黑体"/>
          <w:snapToGrid/>
          <w:kern w:val="2"/>
          <w:sz w:val="32"/>
          <w:szCs w:val="32"/>
        </w:rPr>
        <w:t>年部门预算表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一、《收支预算总表》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二、《部门收入总表》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三、《部门支出总表》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四、《财政拨款收支总表》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五、《一般公共预算支出表》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六、《一般公共预算基本支出表》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八、《政府性基金预算支出表》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九、《国有资本经营预算支出表》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十、《部门整体支出绩效目标表》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十一、《项目绩效目标表》</w:t>
      </w:r>
    </w:p>
    <w:p>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第三部分 浮梁县林业局202</w:t>
      </w:r>
      <w:r>
        <w:rPr>
          <w:rFonts w:hint="eastAsia" w:ascii="黑体" w:hAnsi="黑体" w:eastAsia="黑体" w:cs="黑体"/>
          <w:snapToGrid/>
          <w:kern w:val="2"/>
          <w:sz w:val="32"/>
          <w:szCs w:val="32"/>
          <w:lang w:val="en-US" w:eastAsia="zh-CN"/>
        </w:rPr>
        <w:t>3</w:t>
      </w:r>
      <w:r>
        <w:rPr>
          <w:rFonts w:hint="eastAsia" w:ascii="黑体" w:hAnsi="黑体" w:eastAsia="黑体" w:cs="黑体"/>
          <w:snapToGrid/>
          <w:kern w:val="2"/>
          <w:sz w:val="32"/>
          <w:szCs w:val="32"/>
        </w:rPr>
        <w:t>年部门预算情况说明</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一、202</w:t>
      </w:r>
      <w:r>
        <w:rPr>
          <w:rFonts w:hint="eastAsia" w:ascii="楷体" w:hAnsi="楷体" w:eastAsia="楷体" w:cs="楷体"/>
          <w:spacing w:val="1"/>
          <w:sz w:val="32"/>
          <w:szCs w:val="32"/>
          <w:lang w:val="en-US" w:eastAsia="zh-CN"/>
        </w:rPr>
        <w:t>3</w:t>
      </w:r>
      <w:r>
        <w:rPr>
          <w:rFonts w:hint="eastAsia" w:ascii="楷体" w:hAnsi="楷体" w:eastAsia="楷体" w:cs="楷体"/>
          <w:spacing w:val="1"/>
          <w:sz w:val="32"/>
          <w:szCs w:val="32"/>
        </w:rPr>
        <w:t>年部门预算收支情况说明</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二、202</w:t>
      </w:r>
      <w:r>
        <w:rPr>
          <w:rFonts w:hint="eastAsia" w:ascii="楷体" w:hAnsi="楷体" w:eastAsia="楷体" w:cs="楷体"/>
          <w:spacing w:val="1"/>
          <w:sz w:val="32"/>
          <w:szCs w:val="32"/>
          <w:lang w:val="en-US" w:eastAsia="zh-CN"/>
        </w:rPr>
        <w:t>3</w:t>
      </w:r>
      <w:r>
        <w:rPr>
          <w:rFonts w:hint="eastAsia" w:ascii="楷体" w:hAnsi="楷体" w:eastAsia="楷体" w:cs="楷体"/>
          <w:spacing w:val="1"/>
          <w:sz w:val="32"/>
          <w:szCs w:val="32"/>
        </w:rPr>
        <w:t>年"三公”经费预算情况说明</w:t>
      </w:r>
    </w:p>
    <w:p>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p/>
    <w:p>
      <w:r>
        <w:br w:type="page"/>
      </w:r>
    </w:p>
    <w:p/>
    <w:p/>
    <w:p/>
    <w:p>
      <w:pPr>
        <w:widowControl w:val="0"/>
        <w:kinsoku/>
        <w:autoSpaceDE/>
        <w:autoSpaceDN/>
        <w:adjustRightInd/>
        <w:snapToGrid/>
        <w:jc w:val="center"/>
        <w:textAlignment w:val="auto"/>
      </w:pPr>
      <w:r>
        <w:rPr>
          <w:rFonts w:hint="eastAsia" w:ascii="黑体" w:hAnsi="黑体" w:eastAsia="黑体" w:cs="黑体"/>
          <w:snapToGrid/>
          <w:kern w:val="2"/>
          <w:sz w:val="32"/>
          <w:szCs w:val="32"/>
        </w:rPr>
        <w:t>第一部分 浮梁县林业局概况</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一、部门主要职责</w:t>
      </w:r>
    </w:p>
    <w:p>
      <w:pPr>
        <w:bidi w:val="0"/>
      </w:pPr>
      <w:r>
        <w:rPr>
          <w:rFonts w:hint="eastAsia"/>
        </w:rPr>
        <w:t>(一)负责全县林业和草地及其生态保护修复的监督管理。拟订林业和草地及其生态保护修复的地方性政策、规划，并组织实施。组织开展全县森林、湿地、草地、荒漠和陆生野生动植物资源动态监测与评价。</w:t>
      </w:r>
    </w:p>
    <w:p>
      <w:pPr>
        <w:bidi w:val="0"/>
      </w:pPr>
      <w:r>
        <w:rPr>
          <w:rFonts w:hint="eastAsia"/>
        </w:rPr>
        <w:t>(二)组织全县林业和草地生态保护修复和造林绿化工作。组织实施林业和草地重点生态保护修复工程，指导公益林和商品林的培育，指导、监督全民义务植树、城乡绿化工作。指导植树造林、封山育林和以植树种草等生物措施防治水土流失工作。指导林业有害生物防治检疫工作。承担林业应对</w:t>
      </w:r>
      <w:r>
        <w:rPr>
          <w:rFonts w:hint="eastAsia"/>
          <w:lang w:eastAsia="zh-CN"/>
        </w:rPr>
        <w:t>气候</w:t>
      </w:r>
      <w:r>
        <w:rPr>
          <w:rFonts w:hint="eastAsia"/>
        </w:rPr>
        <w:t>变化的相关工作。</w:t>
      </w:r>
    </w:p>
    <w:p>
      <w:pPr>
        <w:bidi w:val="0"/>
      </w:pPr>
      <w:r>
        <w:rPr>
          <w:rFonts w:hint="eastAsia"/>
        </w:rPr>
        <w:t xml:space="preserve"> (三)负责全县森林、湿地、草地资源的监督管理。组织编制并监督执行全县森林采伐限额。负责林地管理，拟订全县林地保护利用规划并组织实施。组织开展公益林划定和管理工作，监督管理国有森林资源。负责草地草畜平衡和草地生态修复治理工作，监督管理草地的开发利用。负责湿地生态保护修复工作，拟订全县湿地保护规划，组织实施建立湿地公园等保护管理工作，监督管理湿地的开发利用。</w:t>
      </w:r>
    </w:p>
    <w:p>
      <w:pPr>
        <w:bidi w:val="0"/>
      </w:pPr>
      <w:r>
        <w:rPr>
          <w:rFonts w:hint="eastAsia"/>
        </w:rPr>
        <w:t>(四)负责监督管理全县防沙治沙工作，组织开展沙化土地调查，组织拟订防沙治沙、沙化土地封禁保护区建设规划，监督管理沙化土地的开发利用。</w:t>
      </w:r>
    </w:p>
    <w:p>
      <w:pPr>
        <w:bidi w:val="0"/>
      </w:pPr>
      <w:r>
        <w:rPr>
          <w:rFonts w:hint="eastAsia"/>
        </w:rPr>
        <w:t>(五)负责全县陆生野生动植物资源监督管理。组织开展陆生野生动植物资源调查，指导陆生野生动植物的救护繁育、栖息地恢复发展、疫源疫病监测，监督管理陆生野生动植物猎捕或采集、驯养繁殖或培植、经营利用、按分工监督管理野生动植物进出口。</w:t>
      </w:r>
    </w:p>
    <w:p>
      <w:pPr>
        <w:bidi w:val="0"/>
      </w:pPr>
      <w:r>
        <w:rPr>
          <w:rFonts w:hint="eastAsia"/>
        </w:rPr>
        <w:t>(六)负责监督管理全县各类自然保护地。拟订各类自然保护地規划和相关实施方案。提出新建、调整各类自然保护地的审核建议并按程序报批，组织世界自然遗产的申报，会同有关部门审核世界自然与文化双重遗产的申报。负责生物多样性保护相关工作。</w:t>
      </w:r>
    </w:p>
    <w:p>
      <w:pPr>
        <w:bidi w:val="0"/>
      </w:pPr>
      <w:r>
        <w:rPr>
          <w:rFonts w:hint="eastAsia"/>
        </w:rPr>
        <w:t xml:space="preserve"> (七)负责推进全县林业和草地改革相关工作。拟订全县集体林权制度等重大改革实施意见并监督实施。拟订农村林业发展、维护林业经营者合法权益的政策措施，指导农村林地承包经营工作。负责天然林保护工作。</w:t>
      </w:r>
    </w:p>
    <w:p>
      <w:pPr>
        <w:bidi w:val="0"/>
      </w:pPr>
      <w:r>
        <w:rPr>
          <w:rFonts w:hint="eastAsia"/>
        </w:rPr>
        <w:t>(八)拟订全县林业产业发展规划和产业政策，指导和推动林业产业高质量发展。依法负责对全县林区林业专用公路的管理。拟订林业和草地资源优化配置及木材利用政策，开展相关林业产业地方标准的监督实施，组织指导林产品质量监督。指导生态扶贫相关工作。</w:t>
      </w:r>
    </w:p>
    <w:p>
      <w:pPr>
        <w:bidi w:val="0"/>
      </w:pPr>
      <w:r>
        <w:rPr>
          <w:rFonts w:hint="eastAsia"/>
        </w:rPr>
        <w:t>(九)指导全县国有林场改革、基本建设和发展，组织林木种子、草种种质资源普查，组织建立种质资源库，负责良种选育推广，管理林木种苗、草种生产经营行为，监管林木种苗、草种质量。监督管理林业和草地生物种质资源、转基因生物安全、植物新品种保护。</w:t>
      </w:r>
    </w:p>
    <w:p>
      <w:pPr>
        <w:bidi w:val="0"/>
      </w:pPr>
      <w:r>
        <w:rPr>
          <w:rFonts w:hint="eastAsia"/>
        </w:rPr>
        <w:t>(十)负责落实综合防灾减灾规划相关要求，组织编制森林和草地火灾防治规划和防护标准并指导实施，指导林业和草地有害生物防治、检疫工作。指导开展防火巡护、火源管理、防火设施建设等工作。组织指导国有林场开展宣传教育、监测预警、督促检查等防火工作。必要时，可以提请县应急管理局，以县应急指挥机构名义，部署相关防治工作。</w:t>
      </w:r>
    </w:p>
    <w:p>
      <w:pPr>
        <w:bidi w:val="0"/>
      </w:pPr>
      <w:r>
        <w:rPr>
          <w:rFonts w:hint="eastAsia"/>
        </w:rPr>
        <w:t>(十一)承担林业安全生产监督管理职责，指导、协调林业企事业单位的森林采伐和林产品加工生产经营中的安全监督管理工作，负责所属企事业单位的安全生产管理。</w:t>
      </w:r>
    </w:p>
    <w:p>
      <w:pPr>
        <w:bidi w:val="0"/>
      </w:pPr>
      <w:r>
        <w:rPr>
          <w:rFonts w:hint="eastAsia"/>
        </w:rPr>
        <w:t>(十二)负责林业行业生态环境保护和节能减排工作，督促指导相关单位落实生态环境保护责任制。</w:t>
      </w:r>
    </w:p>
    <w:p>
      <w:pPr>
        <w:bidi w:val="0"/>
      </w:pPr>
      <w:r>
        <w:rPr>
          <w:rFonts w:hint="eastAsia"/>
        </w:rPr>
        <w:t>(十三)监督管理林业和草地项目资全和国有资产，提出林业和草地预算内投资，县级财政性资金安排建议，指导全县林业基本建设工作，组织申报重点林业建设项目，参与拟订林业和草地经济调节政策，组织实施林业和草地生态补偿工作。</w:t>
      </w:r>
    </w:p>
    <w:p>
      <w:pPr>
        <w:bidi w:val="0"/>
      </w:pPr>
      <w:r>
        <w:rPr>
          <w:rFonts w:hint="eastAsia"/>
        </w:rPr>
        <w:t>(十四)负责全县林业系统科技、教育工作，指导全县林业系统人才队伍建设。组织实施林业对外合作事务，承担湿地、防治荒漠化、濒危野生动植物等国际公约在县内履约工作。</w:t>
      </w:r>
    </w:p>
    <w:p>
      <w:pPr>
        <w:bidi w:val="0"/>
      </w:pPr>
      <w:r>
        <w:rPr>
          <w:rFonts w:hint="eastAsia"/>
        </w:rPr>
        <w:t>(十五)完成县委、县政府交办的其他任务。</w:t>
      </w:r>
    </w:p>
    <w:p>
      <w:pPr>
        <w:bidi w:val="0"/>
      </w:pPr>
      <w:r>
        <w:rPr>
          <w:rFonts w:hint="eastAsia"/>
        </w:rPr>
        <w:t>(十六)职能转变。县林业局要切实推动林业生态文明体制机制创新，全面推行林长制，加大生态系统保护力度：实施重要生态系统保护和修复工程，大力推进国土绿化：加强森林、湿地、草地监督管理的统筹协调，保障国家生态安全；加快建立以国家公园为主体的自然保护地体系，统一推进全县各类自然保护地的清理规范和归并整合。</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二、机构设置及人员情况</w:t>
      </w:r>
    </w:p>
    <w:p>
      <w:pPr>
        <w:bidi w:val="0"/>
      </w:pPr>
      <w:r>
        <w:rPr>
          <w:rFonts w:hint="eastAsia"/>
        </w:rPr>
        <w:t>纳入林业局202</w:t>
      </w:r>
      <w:r>
        <w:rPr>
          <w:rFonts w:hint="eastAsia"/>
          <w:lang w:val="en-US" w:eastAsia="zh-CN"/>
        </w:rPr>
        <w:t>3</w:t>
      </w:r>
      <w:r>
        <w:rPr>
          <w:rFonts w:hint="eastAsia"/>
        </w:rPr>
        <w:t>年部门预算编制范围的二级预算单位有4个，分别为浮梁县林业局、浮梁县林业综合行政执法大队、浮梁县森林资源监测中心和浮梁县银坞林场。</w:t>
      </w:r>
    </w:p>
    <w:p>
      <w:pPr>
        <w:bidi w:val="0"/>
      </w:pPr>
      <w:r>
        <w:rPr>
          <w:rFonts w:hint="eastAsia"/>
        </w:rPr>
        <w:t>纳入本部门202</w:t>
      </w:r>
      <w:r>
        <w:rPr>
          <w:rFonts w:hint="eastAsia"/>
          <w:lang w:val="en-US" w:eastAsia="zh-CN"/>
        </w:rPr>
        <w:t>3</w:t>
      </w:r>
      <w:r>
        <w:rPr>
          <w:rFonts w:hint="eastAsia"/>
        </w:rPr>
        <w:t>年预算编制人数共</w:t>
      </w:r>
      <w:r>
        <w:rPr>
          <w:rFonts w:hint="eastAsia"/>
          <w:lang w:val="en-US" w:eastAsia="zh-CN"/>
        </w:rPr>
        <w:t>174</w:t>
      </w:r>
      <w:r>
        <w:rPr>
          <w:rFonts w:hint="eastAsia"/>
        </w:rPr>
        <w:t>人</w:t>
      </w:r>
      <w:r>
        <w:rPr>
          <w:rFonts w:hint="eastAsia"/>
          <w:lang w:eastAsia="zh-CN"/>
        </w:rPr>
        <w:t>（</w:t>
      </w:r>
      <w:r>
        <w:rPr>
          <w:rFonts w:hint="eastAsia"/>
        </w:rPr>
        <w:t>其中行政人员1</w:t>
      </w:r>
      <w:r>
        <w:rPr>
          <w:rFonts w:hint="eastAsia"/>
          <w:lang w:val="en-US" w:eastAsia="zh-CN"/>
        </w:rPr>
        <w:t>5</w:t>
      </w:r>
      <w:r>
        <w:rPr>
          <w:rFonts w:hint="eastAsia"/>
        </w:rPr>
        <w:t>人、事业人员9</w:t>
      </w:r>
      <w:r>
        <w:rPr>
          <w:rFonts w:hint="eastAsia"/>
          <w:lang w:val="en-US" w:eastAsia="zh-CN"/>
        </w:rPr>
        <w:t>4</w:t>
      </w:r>
      <w:r>
        <w:rPr>
          <w:rFonts w:hint="eastAsia"/>
        </w:rPr>
        <w:t>人</w:t>
      </w:r>
      <w:r>
        <w:rPr>
          <w:rFonts w:hint="eastAsia"/>
          <w:lang w:eastAsia="zh-CN"/>
        </w:rPr>
        <w:t>，退休人员</w:t>
      </w:r>
      <w:r>
        <w:rPr>
          <w:rFonts w:hint="eastAsia"/>
          <w:lang w:val="en-US" w:eastAsia="zh-CN"/>
        </w:rPr>
        <w:t>65人）</w:t>
      </w:r>
      <w:r>
        <w:rPr>
          <w:rFonts w:hint="eastAsia"/>
        </w:rPr>
        <w:t>，实有在职人数</w:t>
      </w:r>
      <w:r>
        <w:rPr>
          <w:rFonts w:hint="eastAsia"/>
          <w:lang w:val="en-US" w:eastAsia="zh-CN"/>
        </w:rPr>
        <w:t>177</w:t>
      </w:r>
      <w:r>
        <w:rPr>
          <w:rFonts w:hint="eastAsia"/>
        </w:rPr>
        <w:t>人，其中行政人员1</w:t>
      </w:r>
      <w:r>
        <w:rPr>
          <w:rFonts w:hint="eastAsia"/>
          <w:lang w:val="en-US" w:eastAsia="zh-CN"/>
        </w:rPr>
        <w:t>5</w:t>
      </w:r>
      <w:r>
        <w:rPr>
          <w:rFonts w:hint="eastAsia"/>
        </w:rPr>
        <w:t>人</w:t>
      </w:r>
      <w:r>
        <w:rPr>
          <w:rFonts w:hint="eastAsia"/>
          <w:lang w:eastAsia="zh-CN"/>
        </w:rPr>
        <w:t>，</w:t>
      </w:r>
      <w:r>
        <w:rPr>
          <w:rFonts w:hint="eastAsia"/>
        </w:rPr>
        <w:t>事业人员9</w:t>
      </w:r>
      <w:r>
        <w:rPr>
          <w:rFonts w:hint="eastAsia"/>
          <w:lang w:val="en-US" w:eastAsia="zh-CN"/>
        </w:rPr>
        <w:t>4</w:t>
      </w:r>
      <w:r>
        <w:rPr>
          <w:rFonts w:hint="eastAsia"/>
        </w:rPr>
        <w:t>人</w:t>
      </w:r>
      <w:r>
        <w:rPr>
          <w:rFonts w:hint="eastAsia"/>
          <w:lang w:eastAsia="zh-CN"/>
        </w:rPr>
        <w:t>，编外人员</w:t>
      </w:r>
      <w:r>
        <w:rPr>
          <w:rFonts w:hint="eastAsia"/>
          <w:lang w:val="en-US" w:eastAsia="zh-CN"/>
        </w:rPr>
        <w:t>68人</w:t>
      </w:r>
      <w:r>
        <w:rPr>
          <w:rFonts w:hint="eastAsia"/>
        </w:rPr>
        <w:t>。</w:t>
      </w:r>
    </w:p>
    <w:p/>
    <w:p/>
    <w:p/>
    <w:p/>
    <w:p/>
    <w:p>
      <w:pPr>
        <w:widowControl w:val="0"/>
        <w:kinsoku/>
        <w:autoSpaceDE/>
        <w:autoSpaceDN/>
        <w:adjustRightInd/>
        <w:snapToGrid/>
        <w:ind w:left="0" w:leftChars="0" w:firstLine="0" w:firstLineChars="0"/>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浮梁县林业局202</w:t>
      </w:r>
      <w:r>
        <w:rPr>
          <w:rFonts w:hint="eastAsia" w:ascii="黑体" w:hAnsi="黑体" w:eastAsia="黑体" w:cs="黑体"/>
          <w:snapToGrid/>
          <w:kern w:val="2"/>
          <w:sz w:val="32"/>
          <w:szCs w:val="32"/>
          <w:lang w:val="en-US" w:eastAsia="zh-CN"/>
        </w:rPr>
        <w:t>3</w:t>
      </w:r>
      <w:r>
        <w:rPr>
          <w:rFonts w:hint="eastAsia" w:ascii="黑体" w:hAnsi="黑体" w:eastAsia="黑体" w:cs="黑体"/>
          <w:snapToGrid/>
          <w:kern w:val="2"/>
          <w:sz w:val="32"/>
          <w:szCs w:val="32"/>
        </w:rPr>
        <w:t>年部门预算表</w:t>
      </w:r>
    </w:p>
    <w:p>
      <w:pPr>
        <w:spacing w:before="215"/>
        <w:ind w:firstLine="3550"/>
        <w:jc w:val="center"/>
        <w:rPr>
          <w:rFonts w:ascii="仿宋" w:hAnsi="仿宋" w:eastAsia="仿宋" w:cs="仿宋"/>
          <w:spacing w:val="17"/>
          <w:sz w:val="32"/>
          <w:szCs w:val="32"/>
        </w:rPr>
      </w:pPr>
      <w:r>
        <w:rPr>
          <w:rFonts w:ascii="仿宋" w:hAnsi="仿宋" w:eastAsia="仿宋" w:cs="仿宋"/>
          <w:spacing w:val="17"/>
          <w:sz w:val="32"/>
          <w:szCs w:val="32"/>
        </w:rPr>
        <w:t>(详见附表)</w:t>
      </w:r>
    </w:p>
    <w:p>
      <w:pPr>
        <w:ind w:left="0" w:leftChars="0" w:firstLine="0" w:firstLineChars="0"/>
      </w:pPr>
    </w:p>
    <w:p>
      <w:pPr>
        <w:widowControl w:val="0"/>
        <w:kinsoku/>
        <w:autoSpaceDE/>
        <w:autoSpaceDN/>
        <w:adjustRightInd/>
        <w:snapToGrid/>
        <w:jc w:val="center"/>
        <w:textAlignment w:val="auto"/>
      </w:pPr>
      <w:r>
        <w:rPr>
          <w:rFonts w:hint="eastAsia" w:ascii="黑体" w:hAnsi="黑体" w:eastAsia="黑体" w:cs="黑体"/>
          <w:snapToGrid/>
          <w:kern w:val="2"/>
          <w:sz w:val="32"/>
          <w:szCs w:val="32"/>
        </w:rPr>
        <w:t>第三部分 浮梁县林业局202</w:t>
      </w:r>
      <w:r>
        <w:rPr>
          <w:rFonts w:hint="eastAsia" w:ascii="黑体" w:hAnsi="黑体" w:eastAsia="黑体" w:cs="黑体"/>
          <w:snapToGrid/>
          <w:kern w:val="2"/>
          <w:sz w:val="32"/>
          <w:szCs w:val="32"/>
          <w:lang w:val="en-US" w:eastAsia="zh-CN"/>
        </w:rPr>
        <w:t>3</w:t>
      </w:r>
      <w:r>
        <w:rPr>
          <w:rFonts w:hint="eastAsia" w:ascii="黑体" w:hAnsi="黑体" w:eastAsia="黑体" w:cs="黑体"/>
          <w:snapToGrid/>
          <w:kern w:val="2"/>
          <w:sz w:val="32"/>
          <w:szCs w:val="32"/>
        </w:rPr>
        <w:t>年部门预算情况说明</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一、202</w:t>
      </w:r>
      <w:r>
        <w:rPr>
          <w:rFonts w:hint="eastAsia" w:ascii="楷体" w:hAnsi="楷体" w:eastAsia="楷体" w:cs="楷体"/>
          <w:spacing w:val="13"/>
          <w:sz w:val="32"/>
          <w:szCs w:val="32"/>
          <w:lang w:val="en-US" w:eastAsia="zh-CN"/>
        </w:rPr>
        <w:t>3</w:t>
      </w:r>
      <w:r>
        <w:rPr>
          <w:rFonts w:hint="eastAsia" w:ascii="楷体" w:hAnsi="楷体" w:eastAsia="楷体" w:cs="楷体"/>
          <w:spacing w:val="13"/>
          <w:sz w:val="32"/>
          <w:szCs w:val="32"/>
        </w:rPr>
        <w:t>年部门预算收支情况说明</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(一)收入预算情况</w:t>
      </w:r>
    </w:p>
    <w:p>
      <w:pPr>
        <w:bidi w:val="0"/>
      </w:pPr>
      <w:r>
        <w:rPr>
          <w:rFonts w:hint="eastAsia"/>
        </w:rPr>
        <w:t>202</w:t>
      </w:r>
      <w:r>
        <w:rPr>
          <w:rFonts w:hint="eastAsia"/>
          <w:lang w:val="en-US" w:eastAsia="zh-CN"/>
        </w:rPr>
        <w:t>3</w:t>
      </w:r>
      <w:r>
        <w:rPr>
          <w:rFonts w:hint="eastAsia"/>
        </w:rPr>
        <w:t>年收入预算总额</w:t>
      </w:r>
      <w:r>
        <w:rPr>
          <w:rFonts w:hint="eastAsia"/>
          <w:lang w:val="en-US" w:eastAsia="zh-CN"/>
        </w:rPr>
        <w:t>3979.21</w:t>
      </w:r>
      <w:r>
        <w:rPr>
          <w:rFonts w:hint="eastAsia"/>
        </w:rPr>
        <w:t>万元，</w:t>
      </w:r>
      <w:r>
        <w:rPr>
          <w:rFonts w:hint="eastAsia"/>
          <w:lang w:eastAsia="zh-CN"/>
        </w:rPr>
        <w:t>其中上年结转</w:t>
      </w:r>
      <w:r>
        <w:rPr>
          <w:rFonts w:hint="eastAsia"/>
          <w:lang w:val="en-US" w:eastAsia="zh-CN"/>
        </w:rPr>
        <w:t>798.9万元，财政拨款3049.8万元，事业收入38.15万元，其他收入92.36万元。</w:t>
      </w:r>
      <w:r>
        <w:rPr>
          <w:rFonts w:hint="eastAsia"/>
        </w:rPr>
        <w:t>预算总额比去年</w:t>
      </w:r>
      <w:r>
        <w:rPr>
          <w:rFonts w:hint="eastAsia"/>
          <w:lang w:eastAsia="zh-CN"/>
        </w:rPr>
        <w:t>增加</w:t>
      </w:r>
      <w:r>
        <w:rPr>
          <w:rFonts w:hint="eastAsia"/>
          <w:lang w:val="en-US" w:eastAsia="zh-CN"/>
        </w:rPr>
        <w:t>2310.22</w:t>
      </w:r>
      <w:r>
        <w:rPr>
          <w:rFonts w:hint="eastAsia"/>
        </w:rPr>
        <w:t>万元，主要由于202</w:t>
      </w:r>
      <w:r>
        <w:rPr>
          <w:rFonts w:hint="eastAsia"/>
          <w:lang w:val="en-US" w:eastAsia="zh-CN"/>
        </w:rPr>
        <w:t>3</w:t>
      </w:r>
      <w:r>
        <w:rPr>
          <w:rFonts w:hint="eastAsia"/>
        </w:rPr>
        <w:t>年</w:t>
      </w:r>
      <w:r>
        <w:rPr>
          <w:rFonts w:hint="eastAsia"/>
          <w:lang w:eastAsia="zh-CN"/>
        </w:rPr>
        <w:t>收入预算中包含项目资金、上年结转资金、实有资金预算，所以预算较上年上涨</w:t>
      </w:r>
      <w:r>
        <w:rPr>
          <w:rFonts w:hint="eastAsia"/>
        </w:rPr>
        <w:t>。</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(二)支出预算情况</w:t>
      </w:r>
    </w:p>
    <w:p>
      <w:pPr>
        <w:bidi w:val="0"/>
      </w:pPr>
      <w:r>
        <w:rPr>
          <w:rFonts w:hint="eastAsia"/>
        </w:rPr>
        <w:t>202</w:t>
      </w:r>
      <w:r>
        <w:rPr>
          <w:rFonts w:hint="eastAsia"/>
          <w:lang w:val="en-US" w:eastAsia="zh-CN"/>
        </w:rPr>
        <w:t>3</w:t>
      </w:r>
      <w:r>
        <w:rPr>
          <w:rFonts w:hint="eastAsia"/>
        </w:rPr>
        <w:t>年支出预算总额</w:t>
      </w:r>
      <w:r>
        <w:rPr>
          <w:rFonts w:hint="eastAsia"/>
          <w:lang w:val="en-US" w:eastAsia="zh-CN"/>
        </w:rPr>
        <w:t>3979.21</w:t>
      </w:r>
      <w:r>
        <w:rPr>
          <w:rFonts w:hint="eastAsia"/>
        </w:rPr>
        <w:t>万元，较去年</w:t>
      </w:r>
      <w:r>
        <w:rPr>
          <w:rFonts w:hint="eastAsia"/>
          <w:lang w:eastAsia="zh-CN"/>
        </w:rPr>
        <w:t>增加</w:t>
      </w:r>
      <w:r>
        <w:rPr>
          <w:rFonts w:hint="eastAsia"/>
          <w:lang w:val="en-US" w:eastAsia="zh-CN"/>
        </w:rPr>
        <w:t>2310.22</w:t>
      </w:r>
      <w:r>
        <w:rPr>
          <w:rFonts w:hint="eastAsia"/>
        </w:rPr>
        <w:t>万元，主要由于编制预算时收入预算与支出预算总额相等，收入预算</w:t>
      </w:r>
      <w:r>
        <w:rPr>
          <w:rFonts w:hint="eastAsia"/>
          <w:lang w:eastAsia="zh-CN"/>
        </w:rPr>
        <w:t>增加</w:t>
      </w:r>
      <w:r>
        <w:rPr>
          <w:rFonts w:hint="eastAsia"/>
        </w:rPr>
        <w:t>导致支出预算</w:t>
      </w:r>
      <w:r>
        <w:rPr>
          <w:rFonts w:hint="eastAsia"/>
          <w:lang w:eastAsia="zh-CN"/>
        </w:rPr>
        <w:t>同步增长</w:t>
      </w:r>
      <w:r>
        <w:rPr>
          <w:rFonts w:hint="eastAsia"/>
        </w:rPr>
        <w:t>。</w:t>
      </w:r>
    </w:p>
    <w:p>
      <w:pPr>
        <w:bidi w:val="0"/>
      </w:pPr>
      <w:r>
        <w:rPr>
          <w:rFonts w:hint="eastAsia"/>
        </w:rPr>
        <w:t>按资金性质划分：基本支出</w:t>
      </w:r>
      <w:r>
        <w:rPr>
          <w:rFonts w:hint="eastAsia"/>
          <w:lang w:val="en-US" w:eastAsia="zh-CN"/>
        </w:rPr>
        <w:t>2247.61</w:t>
      </w:r>
      <w:r>
        <w:rPr>
          <w:rFonts w:hint="eastAsia"/>
        </w:rPr>
        <w:t>万元，项目支出</w:t>
      </w:r>
      <w:r>
        <w:rPr>
          <w:rFonts w:hint="eastAsia"/>
          <w:lang w:val="en-US" w:eastAsia="zh-CN"/>
        </w:rPr>
        <w:t>1731.6</w:t>
      </w:r>
      <w:r>
        <w:rPr>
          <w:rFonts w:hint="eastAsia"/>
        </w:rPr>
        <w:t>万元</w:t>
      </w:r>
      <w:r>
        <w:rPr>
          <w:rFonts w:hint="eastAsia"/>
          <w:lang w:eastAsia="zh-CN"/>
        </w:rPr>
        <w:t>（含本年特定目标类</w:t>
      </w:r>
      <w:r>
        <w:rPr>
          <w:rFonts w:hint="eastAsia"/>
          <w:lang w:val="en-US" w:eastAsia="zh-CN"/>
        </w:rPr>
        <w:t>854.5万元，其他运转</w:t>
      </w:r>
      <w:r>
        <w:rPr>
          <w:rFonts w:hint="eastAsia"/>
          <w:lang w:eastAsia="zh-CN"/>
        </w:rPr>
        <w:t>项目预算</w:t>
      </w:r>
      <w:r>
        <w:rPr>
          <w:rFonts w:hint="eastAsia"/>
          <w:lang w:val="en-US" w:eastAsia="zh-CN"/>
        </w:rPr>
        <w:t>78.2万元，</w:t>
      </w:r>
      <w:r>
        <w:rPr>
          <w:rFonts w:hint="eastAsia"/>
          <w:lang w:eastAsia="zh-CN"/>
        </w:rPr>
        <w:t>上年结转项目支出</w:t>
      </w:r>
      <w:r>
        <w:rPr>
          <w:rFonts w:hint="eastAsia"/>
          <w:lang w:val="en-US" w:eastAsia="zh-CN"/>
        </w:rPr>
        <w:t>798.9万元</w:t>
      </w:r>
      <w:r>
        <w:rPr>
          <w:rFonts w:hint="eastAsia"/>
          <w:lang w:eastAsia="zh-CN"/>
        </w:rPr>
        <w:t>）</w:t>
      </w:r>
      <w:r>
        <w:rPr>
          <w:rFonts w:hint="eastAsia"/>
        </w:rPr>
        <w:t>。</w:t>
      </w:r>
    </w:p>
    <w:p>
      <w:pPr>
        <w:bidi w:val="0"/>
      </w:pPr>
      <w:r>
        <w:rPr>
          <w:rFonts w:hint="eastAsia"/>
        </w:rPr>
        <w:t>按支出功能科目分类：2080505</w:t>
      </w:r>
      <w:r>
        <w:rPr>
          <w:rFonts w:hint="eastAsia"/>
          <w:lang w:eastAsia="zh-CN"/>
        </w:rPr>
        <w:t>（机关事业单位基本养老保险缴费）支出</w:t>
      </w:r>
      <w:r>
        <w:rPr>
          <w:rFonts w:hint="eastAsia"/>
        </w:rPr>
        <w:t>功能科目</w:t>
      </w:r>
      <w:r>
        <w:rPr>
          <w:rFonts w:hint="eastAsia"/>
          <w:lang w:val="en-US" w:eastAsia="zh-CN"/>
        </w:rPr>
        <w:t>175.28</w:t>
      </w:r>
      <w:r>
        <w:rPr>
          <w:rFonts w:hint="eastAsia"/>
        </w:rPr>
        <w:t>万元</w:t>
      </w:r>
      <w:r>
        <w:rPr>
          <w:rFonts w:hint="eastAsia"/>
          <w:lang w:eastAsia="zh-CN"/>
        </w:rPr>
        <w:t>；</w:t>
      </w:r>
      <w:r>
        <w:rPr>
          <w:rFonts w:hint="eastAsia"/>
        </w:rPr>
        <w:t>2101101</w:t>
      </w:r>
      <w:r>
        <w:rPr>
          <w:rFonts w:hint="eastAsia"/>
          <w:lang w:eastAsia="zh-CN"/>
        </w:rPr>
        <w:t>（机关事业单位职业年金缴费支出）</w:t>
      </w:r>
      <w:r>
        <w:rPr>
          <w:rFonts w:hint="eastAsia"/>
        </w:rPr>
        <w:t>功能科目</w:t>
      </w:r>
      <w:r>
        <w:rPr>
          <w:rFonts w:hint="eastAsia"/>
          <w:lang w:val="en-US" w:eastAsia="zh-CN"/>
        </w:rPr>
        <w:t>87.64</w:t>
      </w:r>
      <w:r>
        <w:rPr>
          <w:rFonts w:hint="eastAsia"/>
        </w:rPr>
        <w:t>万元</w:t>
      </w:r>
      <w:r>
        <w:rPr>
          <w:rFonts w:hint="eastAsia"/>
          <w:lang w:eastAsia="zh-CN"/>
        </w:rPr>
        <w:t>；</w:t>
      </w:r>
      <w:r>
        <w:rPr>
          <w:rFonts w:hint="eastAsia"/>
          <w:lang w:val="en-US" w:eastAsia="zh-CN"/>
        </w:rPr>
        <w:t>2101101（行政单位医疗）功能科目22.17万元；2101102（事业单位医疗）功能科目39.74万元；2101199（其他行政事业单位医疗支出）功能科目2.19万元；2130599（其他天然林保护支出）功能科目26.97万元；2130202（一般行政管理事务）功能科目254.74万元；</w:t>
      </w:r>
      <w:r>
        <w:rPr>
          <w:rFonts w:hint="eastAsia"/>
        </w:rPr>
        <w:t>2130204</w:t>
      </w:r>
      <w:r>
        <w:rPr>
          <w:rFonts w:hint="eastAsia"/>
          <w:lang w:eastAsia="zh-CN"/>
        </w:rPr>
        <w:t>（事业机构）</w:t>
      </w:r>
      <w:r>
        <w:rPr>
          <w:rFonts w:hint="eastAsia"/>
        </w:rPr>
        <w:t>功能科目1</w:t>
      </w:r>
      <w:r>
        <w:rPr>
          <w:rFonts w:hint="eastAsia"/>
          <w:lang w:val="en-US" w:eastAsia="zh-CN"/>
        </w:rPr>
        <w:t>986.43</w:t>
      </w:r>
      <w:r>
        <w:rPr>
          <w:rFonts w:hint="eastAsia"/>
        </w:rPr>
        <w:t>万元</w:t>
      </w:r>
      <w:r>
        <w:rPr>
          <w:rFonts w:hint="eastAsia"/>
          <w:lang w:eastAsia="zh-CN"/>
        </w:rPr>
        <w:t>；</w:t>
      </w:r>
      <w:r>
        <w:rPr>
          <w:rFonts w:hint="eastAsia"/>
          <w:lang w:val="en-US" w:eastAsia="zh-CN"/>
        </w:rPr>
        <w:t>2130205（森林资源培育）功能科目104.69万元；2130207（森林资源管理）功能科目34万元；2130211（动植物保护）功能科目25万元；</w:t>
      </w:r>
      <w:r>
        <w:rPr>
          <w:rFonts w:hint="eastAsia"/>
        </w:rPr>
        <w:t>21302</w:t>
      </w:r>
      <w:r>
        <w:rPr>
          <w:rFonts w:hint="eastAsia"/>
          <w:lang w:val="en-US" w:eastAsia="zh-CN"/>
        </w:rPr>
        <w:t>34（林业草原防灾减灾）</w:t>
      </w:r>
      <w:r>
        <w:rPr>
          <w:rFonts w:hint="eastAsia"/>
        </w:rPr>
        <w:t>功能科目</w:t>
      </w:r>
      <w:r>
        <w:rPr>
          <w:rFonts w:hint="eastAsia"/>
          <w:lang w:val="en-US" w:eastAsia="zh-CN"/>
        </w:rPr>
        <w:t>298.67</w:t>
      </w:r>
      <w:r>
        <w:rPr>
          <w:rFonts w:hint="eastAsia"/>
        </w:rPr>
        <w:t>万元</w:t>
      </w:r>
      <w:r>
        <w:rPr>
          <w:rFonts w:hint="eastAsia"/>
          <w:lang w:eastAsia="zh-CN"/>
        </w:rPr>
        <w:t>；</w:t>
      </w:r>
      <w:r>
        <w:rPr>
          <w:rFonts w:hint="eastAsia"/>
          <w:lang w:val="en-US" w:eastAsia="zh-CN"/>
        </w:rPr>
        <w:t>2130299（其他林业和草原支出）768.89万元；2130803（农业保险保费补贴）功能科目6.92万元；2210201（住房公积金）功能科目145.88万元</w:t>
      </w:r>
      <w:r>
        <w:rPr>
          <w:rFonts w:hint="eastAsia"/>
        </w:rPr>
        <w:t>。</w:t>
      </w:r>
    </w:p>
    <w:p>
      <w:pPr>
        <w:bidi w:val="0"/>
      </w:pPr>
      <w:r>
        <w:rPr>
          <w:rFonts w:hint="eastAsia"/>
        </w:rPr>
        <w:t>按经济功能科目分类：工资福利支出</w:t>
      </w:r>
      <w:r>
        <w:rPr>
          <w:rFonts w:hint="eastAsia"/>
          <w:lang w:val="en-US" w:eastAsia="zh-CN"/>
        </w:rPr>
        <w:t>2011.32</w:t>
      </w:r>
      <w:r>
        <w:rPr>
          <w:rFonts w:hint="eastAsia"/>
        </w:rPr>
        <w:t>万元，商品服务支出</w:t>
      </w:r>
      <w:r>
        <w:rPr>
          <w:rFonts w:hint="eastAsia"/>
          <w:lang w:val="en-US" w:eastAsia="zh-CN"/>
        </w:rPr>
        <w:t>1419.14</w:t>
      </w:r>
      <w:r>
        <w:rPr>
          <w:rFonts w:hint="eastAsia"/>
        </w:rPr>
        <w:t>万元，对个人和家庭补助支出</w:t>
      </w:r>
      <w:r>
        <w:rPr>
          <w:rFonts w:hint="eastAsia"/>
          <w:lang w:val="en-US" w:eastAsia="zh-CN"/>
        </w:rPr>
        <w:t>24.49</w:t>
      </w:r>
      <w:r>
        <w:rPr>
          <w:rFonts w:hint="eastAsia"/>
        </w:rPr>
        <w:t>万元，</w:t>
      </w:r>
      <w:r>
        <w:rPr>
          <w:rFonts w:hint="eastAsia"/>
          <w:lang w:eastAsia="zh-CN"/>
        </w:rPr>
        <w:t>对企业补助支出</w:t>
      </w:r>
      <w:r>
        <w:rPr>
          <w:rFonts w:hint="eastAsia"/>
          <w:lang w:val="en-US" w:eastAsia="zh-CN"/>
        </w:rPr>
        <w:t>26.97万元，</w:t>
      </w:r>
      <w:r>
        <w:rPr>
          <w:rFonts w:hint="eastAsia"/>
        </w:rPr>
        <w:t>资本性支出</w:t>
      </w:r>
      <w:r>
        <w:rPr>
          <w:rFonts w:hint="eastAsia"/>
          <w:lang w:val="en-US" w:eastAsia="zh-CN"/>
        </w:rPr>
        <w:t>67.98</w:t>
      </w:r>
      <w:r>
        <w:rPr>
          <w:rFonts w:hint="eastAsia"/>
        </w:rPr>
        <w:t>万元</w:t>
      </w:r>
      <w:r>
        <w:rPr>
          <w:rFonts w:hint="eastAsia"/>
          <w:lang w:eastAsia="zh-CN"/>
        </w:rPr>
        <w:t>，其他相关支出</w:t>
      </w:r>
      <w:r>
        <w:rPr>
          <w:rFonts w:hint="eastAsia"/>
          <w:lang w:val="en-US" w:eastAsia="zh-CN"/>
        </w:rPr>
        <w:t>429.31万元</w:t>
      </w:r>
      <w:r>
        <w:rPr>
          <w:rFonts w:hint="eastAsia"/>
        </w:rPr>
        <w:t>。</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(三)财政拨款支出情况</w:t>
      </w:r>
    </w:p>
    <w:p>
      <w:pPr>
        <w:bidi w:val="0"/>
      </w:pPr>
      <w:r>
        <w:rPr>
          <w:rFonts w:hint="eastAsia"/>
        </w:rPr>
        <w:t>202</w:t>
      </w:r>
      <w:r>
        <w:rPr>
          <w:rFonts w:hint="eastAsia"/>
          <w:lang w:val="en-US" w:eastAsia="zh-CN"/>
        </w:rPr>
        <w:t>3</w:t>
      </w:r>
      <w:r>
        <w:rPr>
          <w:rFonts w:hint="eastAsia"/>
        </w:rPr>
        <w:t>年公共财政拨款支出预算为</w:t>
      </w:r>
      <w:r>
        <w:rPr>
          <w:rFonts w:hint="eastAsia"/>
          <w:lang w:val="en-US" w:eastAsia="zh-CN"/>
        </w:rPr>
        <w:t>3049.8</w:t>
      </w:r>
      <w:r>
        <w:rPr>
          <w:rFonts w:hint="eastAsia"/>
        </w:rPr>
        <w:t>万元，较上年增加</w:t>
      </w:r>
      <w:r>
        <w:rPr>
          <w:rFonts w:hint="eastAsia"/>
          <w:lang w:val="en-US" w:eastAsia="zh-CN"/>
        </w:rPr>
        <w:t>1380.81</w:t>
      </w:r>
      <w:r>
        <w:rPr>
          <w:rFonts w:hint="eastAsia"/>
        </w:rPr>
        <w:t>万元：基本支出</w:t>
      </w:r>
      <w:r>
        <w:rPr>
          <w:rFonts w:hint="eastAsia"/>
          <w:lang w:val="en-US" w:eastAsia="zh-CN"/>
        </w:rPr>
        <w:t>2121.6</w:t>
      </w:r>
      <w:r>
        <w:rPr>
          <w:rFonts w:hint="eastAsia"/>
        </w:rPr>
        <w:t>万元，较上年1555.69万元增加</w:t>
      </w:r>
      <w:r>
        <w:rPr>
          <w:rFonts w:hint="eastAsia"/>
          <w:lang w:val="en-US" w:eastAsia="zh-CN"/>
        </w:rPr>
        <w:t>565.91</w:t>
      </w:r>
      <w:r>
        <w:rPr>
          <w:rFonts w:hint="eastAsia"/>
        </w:rPr>
        <w:t>万元；项目支出</w:t>
      </w:r>
      <w:r>
        <w:rPr>
          <w:rFonts w:hint="eastAsia"/>
          <w:lang w:val="en-US" w:eastAsia="zh-CN"/>
        </w:rPr>
        <w:t>928.2</w:t>
      </w:r>
      <w:r>
        <w:rPr>
          <w:rFonts w:hint="eastAsia"/>
        </w:rPr>
        <w:t>万元，较上年113.3万元</w:t>
      </w:r>
      <w:r>
        <w:rPr>
          <w:rFonts w:hint="eastAsia"/>
          <w:lang w:eastAsia="zh-CN"/>
        </w:rPr>
        <w:t>增加</w:t>
      </w:r>
      <w:r>
        <w:rPr>
          <w:rFonts w:hint="eastAsia"/>
          <w:lang w:val="en-US" w:eastAsia="zh-CN"/>
        </w:rPr>
        <w:t>814.9</w:t>
      </w:r>
      <w:r>
        <w:rPr>
          <w:rFonts w:hint="eastAsia"/>
        </w:rPr>
        <w:t>万元。</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(四)政府性基金情况</w:t>
      </w:r>
    </w:p>
    <w:p>
      <w:pPr>
        <w:bidi w:val="0"/>
      </w:pPr>
      <w:r>
        <w:rPr>
          <w:rFonts w:hint="eastAsia"/>
        </w:rPr>
        <w:t>202</w:t>
      </w:r>
      <w:r>
        <w:rPr>
          <w:rFonts w:hint="eastAsia"/>
          <w:lang w:val="en-US" w:eastAsia="zh-CN"/>
        </w:rPr>
        <w:t>3</w:t>
      </w:r>
      <w:r>
        <w:rPr>
          <w:rFonts w:hint="eastAsia"/>
        </w:rPr>
        <w:t>年没有政府性基金预算支出。</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(五)国有资本经营情况</w:t>
      </w:r>
    </w:p>
    <w:p>
      <w:pPr>
        <w:bidi w:val="0"/>
      </w:pPr>
      <w:r>
        <w:rPr>
          <w:rFonts w:hint="eastAsia"/>
        </w:rPr>
        <w:t>202</w:t>
      </w:r>
      <w:r>
        <w:rPr>
          <w:rFonts w:hint="eastAsia"/>
          <w:lang w:val="en-US" w:eastAsia="zh-CN"/>
        </w:rPr>
        <w:t>3</w:t>
      </w:r>
      <w:r>
        <w:rPr>
          <w:rFonts w:hint="eastAsia"/>
        </w:rPr>
        <w:t>年没有使用国有资本经营预算拨款安排的支出。</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(六)机关运行经费等重要事项的说明</w:t>
      </w:r>
    </w:p>
    <w:p>
      <w:pPr>
        <w:bidi w:val="0"/>
      </w:pPr>
      <w:r>
        <w:rPr>
          <w:rFonts w:hint="eastAsia"/>
        </w:rPr>
        <w:t>202</w:t>
      </w:r>
      <w:r>
        <w:rPr>
          <w:rFonts w:hint="eastAsia"/>
          <w:lang w:val="en-US" w:eastAsia="zh-CN"/>
        </w:rPr>
        <w:t>3</w:t>
      </w:r>
      <w:r>
        <w:rPr>
          <w:rFonts w:hint="eastAsia"/>
        </w:rPr>
        <w:t>年部门机关运行费预算</w:t>
      </w:r>
      <w:r>
        <w:rPr>
          <w:rFonts w:hint="eastAsia"/>
          <w:lang w:val="en-US" w:eastAsia="zh-CN"/>
        </w:rPr>
        <w:t>163.98</w:t>
      </w:r>
      <w:r>
        <w:rPr>
          <w:rFonts w:hint="eastAsia"/>
        </w:rPr>
        <w:t>万元，比202</w:t>
      </w:r>
      <w:r>
        <w:rPr>
          <w:rFonts w:hint="eastAsia"/>
          <w:lang w:val="en-US" w:eastAsia="zh-CN"/>
        </w:rPr>
        <w:t>2</w:t>
      </w:r>
      <w:r>
        <w:rPr>
          <w:rFonts w:hint="eastAsia"/>
        </w:rPr>
        <w:t>年预算</w:t>
      </w:r>
      <w:r>
        <w:rPr>
          <w:rFonts w:hint="eastAsia"/>
          <w:lang w:eastAsia="zh-CN"/>
        </w:rPr>
        <w:t>减少</w:t>
      </w:r>
      <w:r>
        <w:rPr>
          <w:rFonts w:hint="eastAsia"/>
          <w:lang w:val="en-US" w:eastAsia="zh-CN"/>
        </w:rPr>
        <w:t>15.232</w:t>
      </w:r>
      <w:r>
        <w:rPr>
          <w:rFonts w:hint="eastAsia"/>
        </w:rPr>
        <w:t>万元，下降</w:t>
      </w:r>
      <w:r>
        <w:rPr>
          <w:rFonts w:hint="eastAsia"/>
          <w:lang w:val="en-US" w:eastAsia="zh-CN"/>
        </w:rPr>
        <w:t>8.5</w:t>
      </w:r>
      <w:r>
        <w:rPr>
          <w:rFonts w:hint="eastAsia"/>
        </w:rPr>
        <w:t>%。</w:t>
      </w:r>
    </w:p>
    <w:p>
      <w:pPr>
        <w:bidi w:val="0"/>
      </w:pPr>
      <w:r>
        <w:rPr>
          <w:rFonts w:hint="eastAsia"/>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(七)政府采购情况</w:t>
      </w:r>
    </w:p>
    <w:p>
      <w:pPr>
        <w:bidi w:val="0"/>
      </w:pPr>
      <w:r>
        <w:rPr>
          <w:rFonts w:hint="eastAsia"/>
        </w:rPr>
        <w:t>202</w:t>
      </w:r>
      <w:r>
        <w:rPr>
          <w:rFonts w:hint="eastAsia"/>
          <w:lang w:val="en-US" w:eastAsia="zh-CN"/>
        </w:rPr>
        <w:t>3</w:t>
      </w:r>
      <w:r>
        <w:rPr>
          <w:rFonts w:hint="eastAsia"/>
        </w:rPr>
        <w:t>年部门所属各单位政府采购总额</w:t>
      </w:r>
      <w:r>
        <w:rPr>
          <w:rFonts w:hint="eastAsia"/>
          <w:lang w:val="en-US" w:eastAsia="zh-CN"/>
        </w:rPr>
        <w:t>39</w:t>
      </w:r>
      <w:r>
        <w:rPr>
          <w:rFonts w:hint="eastAsia"/>
        </w:rPr>
        <w:t>万元，全部为政府采购货物预算。</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(八)国有资产占有使用情况</w:t>
      </w:r>
    </w:p>
    <w:p>
      <w:pPr>
        <w:bidi w:val="0"/>
        <w:rPr>
          <w:szCs w:val="28"/>
          <w:shd w:val="clear" w:color="auto" w:fill="auto"/>
        </w:rPr>
      </w:pPr>
      <w:r>
        <w:rPr>
          <w:rFonts w:hint="eastAsia"/>
        </w:rPr>
        <w:t>截至202</w:t>
      </w:r>
      <w:r>
        <w:rPr>
          <w:rFonts w:hint="eastAsia"/>
          <w:lang w:val="en-US" w:eastAsia="zh-CN"/>
        </w:rPr>
        <w:t>2</w:t>
      </w:r>
      <w:r>
        <w:rPr>
          <w:rFonts w:hint="eastAsia"/>
        </w:rPr>
        <w:t>年</w:t>
      </w:r>
      <w:r>
        <w:rPr>
          <w:rFonts w:hint="eastAsia"/>
          <w:lang w:val="en-US" w:eastAsia="zh-CN"/>
        </w:rPr>
        <w:t>12</w:t>
      </w:r>
      <w:r>
        <w:rPr>
          <w:rFonts w:hint="eastAsia"/>
        </w:rPr>
        <w:t>月31日，部门共有车辆</w:t>
      </w:r>
      <w:r>
        <w:rPr>
          <w:rFonts w:hint="eastAsia"/>
          <w:lang w:val="en-US" w:eastAsia="zh-CN"/>
        </w:rPr>
        <w:t>11</w:t>
      </w:r>
      <w:r>
        <w:rPr>
          <w:rFonts w:hint="eastAsia"/>
        </w:rPr>
        <w:t>辆，执法执勤用车</w:t>
      </w:r>
      <w:r>
        <w:rPr>
          <w:rFonts w:hint="eastAsia"/>
          <w:lang w:val="en-US" w:eastAsia="zh-CN"/>
        </w:rPr>
        <w:t>9</w:t>
      </w:r>
      <w:r>
        <w:rPr>
          <w:rFonts w:hint="eastAsia"/>
        </w:rPr>
        <w:t>辆，公务用车</w:t>
      </w:r>
      <w:r>
        <w:rPr>
          <w:rFonts w:hint="eastAsia"/>
          <w:lang w:val="en-US" w:eastAsia="zh-CN"/>
        </w:rPr>
        <w:t>2</w:t>
      </w:r>
      <w:r>
        <w:rPr>
          <w:rFonts w:hint="eastAsia"/>
        </w:rPr>
        <w:t>辆，其中林业局本级</w:t>
      </w:r>
      <w:r>
        <w:rPr>
          <w:rFonts w:hint="eastAsia"/>
          <w:lang w:val="en-US" w:eastAsia="zh-CN"/>
        </w:rPr>
        <w:t>6</w:t>
      </w:r>
      <w:r>
        <w:rPr>
          <w:rFonts w:hint="eastAsia"/>
        </w:rPr>
        <w:t>辆，银坞林场</w:t>
      </w:r>
      <w:r>
        <w:rPr>
          <w:rFonts w:hint="eastAsia"/>
          <w:lang w:val="en-US" w:eastAsia="zh-CN"/>
        </w:rPr>
        <w:t>2辆</w:t>
      </w:r>
      <w:r>
        <w:rPr>
          <w:rFonts w:hint="eastAsia"/>
          <w:lang w:eastAsia="zh-CN"/>
        </w:rPr>
        <w:t>，</w:t>
      </w:r>
      <w:r>
        <w:rPr>
          <w:rFonts w:hint="eastAsia"/>
        </w:rPr>
        <w:t>浮梁县林业综合行政执法大队</w:t>
      </w:r>
      <w:r>
        <w:rPr>
          <w:rFonts w:hint="eastAsia"/>
          <w:lang w:val="en-US" w:eastAsia="zh-CN"/>
        </w:rPr>
        <w:t>3</w:t>
      </w:r>
      <w:r>
        <w:rPr>
          <w:rFonts w:hint="eastAsia"/>
        </w:rPr>
        <w:t>辆。</w:t>
      </w:r>
    </w:p>
    <w:p>
      <w:pPr>
        <w:bidi w:val="0"/>
      </w:pPr>
      <w:r>
        <w:rPr>
          <w:rFonts w:hint="eastAsia"/>
        </w:rPr>
        <w:t>202</w:t>
      </w:r>
      <w:r>
        <w:rPr>
          <w:rFonts w:hint="eastAsia"/>
          <w:lang w:val="en-US" w:eastAsia="zh-CN"/>
        </w:rPr>
        <w:t>3</w:t>
      </w:r>
      <w:r>
        <w:rPr>
          <w:rFonts w:hint="eastAsia"/>
        </w:rPr>
        <w:t>年部门预算安排购置车辆1辆，没有安排购置单位价值200万元以上大型设备。</w:t>
      </w:r>
    </w:p>
    <w:p>
      <w:pPr>
        <w:widowControl w:val="0"/>
        <w:numPr>
          <w:ilvl w:val="0"/>
          <w:numId w:val="1"/>
        </w:numPr>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shd w:val="clear" w:color="auto" w:fill="auto"/>
        </w:rPr>
      </w:pPr>
      <w:r>
        <w:rPr>
          <w:rFonts w:hint="eastAsia" w:ascii="仿宋_GB2312" w:hAnsi="Times New Roman" w:eastAsia="仿宋_GB2312" w:cs="Times New Roman"/>
          <w:snapToGrid/>
          <w:kern w:val="2"/>
          <w:sz w:val="32"/>
          <w:szCs w:val="32"/>
          <w:shd w:val="clear" w:color="auto" w:fill="auto"/>
        </w:rPr>
        <w:t>项目情况说明</w:t>
      </w:r>
    </w:p>
    <w:p>
      <w:pPr>
        <w:bidi w:val="0"/>
        <w:rPr>
          <w:rFonts w:hint="default"/>
          <w:lang w:val="en-US" w:eastAsia="zh-CN"/>
        </w:rPr>
      </w:pPr>
      <w:r>
        <w:rPr>
          <w:rFonts w:hint="eastAsia"/>
          <w:lang w:val="en-US" w:eastAsia="zh-CN"/>
        </w:rPr>
        <w:t>2023年度浮梁县林业局共安排项目14个项目（含其他运转类项目1个，特定目标类项目13个），预算支出932.7万元（</w:t>
      </w:r>
      <w:r>
        <w:rPr>
          <w:rFonts w:hint="eastAsia"/>
        </w:rPr>
        <w:t>公共财政拨款</w:t>
      </w:r>
      <w:r>
        <w:rPr>
          <w:rFonts w:hint="eastAsia"/>
          <w:lang w:val="en-US" w:eastAsia="zh-CN"/>
        </w:rPr>
        <w:t>928.2万元，其他收入4.5万元）。</w:t>
      </w:r>
    </w:p>
    <w:p>
      <w:pPr>
        <w:bidi w:val="0"/>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1、2023年政府购买服务经费项目（其他运转类）</w:t>
      </w:r>
    </w:p>
    <w:p>
      <w:pPr>
        <w:bidi w:val="0"/>
        <w:rPr>
          <w:rFonts w:hint="eastAsia"/>
          <w:lang w:val="en-US" w:eastAsia="zh-CN"/>
        </w:rPr>
      </w:pPr>
      <w:r>
        <w:rPr>
          <w:rFonts w:hint="eastAsia"/>
          <w:lang w:val="en-US" w:eastAsia="zh-CN"/>
        </w:rPr>
        <w:t>1）项目概述：为保障部门运转，购买服务满足职能执行需求。</w:t>
      </w:r>
    </w:p>
    <w:p>
      <w:pPr>
        <w:bidi w:val="0"/>
        <w:rPr>
          <w:rFonts w:hint="eastAsia"/>
          <w:lang w:val="en-US" w:eastAsia="zh-CN"/>
        </w:rPr>
      </w:pPr>
      <w:r>
        <w:rPr>
          <w:rFonts w:hint="eastAsia"/>
          <w:lang w:val="en-US" w:eastAsia="zh-CN"/>
        </w:rPr>
        <w:t>2）立项依据：根据业务实现需求测算。</w:t>
      </w:r>
    </w:p>
    <w:p>
      <w:pPr>
        <w:bidi w:val="0"/>
        <w:rPr>
          <w:rFonts w:hint="eastAsia"/>
          <w:lang w:val="en-US" w:eastAsia="zh-CN"/>
        </w:rPr>
      </w:pPr>
      <w:r>
        <w:rPr>
          <w:rFonts w:hint="eastAsia"/>
          <w:lang w:val="en-US" w:eastAsia="zh-CN"/>
        </w:rPr>
        <w:t>3）实施主体：浮梁县林业局。</w:t>
      </w:r>
    </w:p>
    <w:p>
      <w:pPr>
        <w:bidi w:val="0"/>
        <w:rPr>
          <w:rFonts w:hint="eastAsia"/>
          <w:lang w:val="en-US" w:eastAsia="zh-CN"/>
        </w:rPr>
      </w:pPr>
      <w:r>
        <w:rPr>
          <w:rFonts w:hint="eastAsia"/>
          <w:lang w:val="en-US" w:eastAsia="zh-CN"/>
        </w:rPr>
        <w:t>4）实施方案：根据业务需求测算项目金额，实行采购。</w:t>
      </w:r>
    </w:p>
    <w:p>
      <w:pPr>
        <w:bidi w:val="0"/>
        <w:rPr>
          <w:rFonts w:hint="default"/>
          <w:lang w:val="en-US" w:eastAsia="zh-CN"/>
        </w:rPr>
      </w:pPr>
      <w:r>
        <w:rPr>
          <w:rFonts w:hint="eastAsia"/>
          <w:lang w:val="en-US" w:eastAsia="zh-CN"/>
        </w:rPr>
        <w:t>5）实施周期：2023年1月1日至2023年12月31日。</w:t>
      </w:r>
    </w:p>
    <w:p>
      <w:pPr>
        <w:bidi w:val="0"/>
        <w:rPr>
          <w:rFonts w:hint="default"/>
          <w:lang w:val="en-US" w:eastAsia="zh-CN"/>
        </w:rPr>
      </w:pPr>
      <w:r>
        <w:rPr>
          <w:rFonts w:hint="eastAsia"/>
          <w:lang w:val="en-US" w:eastAsia="zh-CN"/>
        </w:rPr>
        <w:t>6）年度预算安排：财政预算安排78.2万元。</w:t>
      </w:r>
    </w:p>
    <w:p>
      <w:pPr>
        <w:bidi w:val="0"/>
        <w:rPr>
          <w:rFonts w:hint="eastAsia"/>
          <w:lang w:val="en-US" w:eastAsia="zh-CN"/>
        </w:rPr>
      </w:pPr>
      <w:r>
        <w:rPr>
          <w:rFonts w:hint="eastAsia"/>
          <w:lang w:val="en-US" w:eastAsia="zh-CN"/>
        </w:rPr>
        <w:t>7）绩效目标和指标：详情见附表。</w:t>
      </w:r>
    </w:p>
    <w:p>
      <w:pPr>
        <w:bidi w:val="0"/>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2、2023年义务植树专项经费项目（特定目标类）</w:t>
      </w:r>
    </w:p>
    <w:p>
      <w:pPr>
        <w:bidi w:val="0"/>
        <w:rPr>
          <w:rFonts w:hint="eastAsia"/>
          <w:lang w:val="en-US" w:eastAsia="zh-CN"/>
        </w:rPr>
      </w:pPr>
      <w:r>
        <w:rPr>
          <w:rFonts w:hint="eastAsia"/>
          <w:lang w:val="en-US" w:eastAsia="zh-CN"/>
        </w:rPr>
        <w:t>1）项目概述：组织开展义务植树活动，是《森林法》赋予的法律责任和义务，通过开展义务植树实践活动，传播生态知识，弘扬生态文明理念，提高全民爱绿植绿护绿意识，营造全社会支持参与义务植树的浓厚氛围，激发全社会关心、支持和参与国土绿化热情。</w:t>
      </w:r>
    </w:p>
    <w:p>
      <w:pPr>
        <w:bidi w:val="0"/>
        <w:rPr>
          <w:rFonts w:hint="eastAsia"/>
          <w:lang w:val="en-US" w:eastAsia="zh-CN"/>
        </w:rPr>
      </w:pPr>
      <w:r>
        <w:rPr>
          <w:rFonts w:hint="eastAsia"/>
          <w:lang w:val="en-US" w:eastAsia="zh-CN"/>
        </w:rPr>
        <w:t>2）立项依据：《森林法》第十条 规定植树造林、保护森林，是公民应尽的义务。各级人民政府应当组织开展全民义务植树活动；江西省绿化委员会关于印发《全面推进国土绿化五年行动方案》的通知（赣绿委〔2021〕2号）。创新开展义务植树。加强宣传发动，开展形式多样的义务植树主题宣传和实践活动，传播生态知识，弘扬生态文明理念，提高全民爱绿植绿护绿意识，营造全社会支持参与义务植树的浓厚氛围。</w:t>
      </w:r>
    </w:p>
    <w:p>
      <w:pPr>
        <w:bidi w:val="0"/>
        <w:rPr>
          <w:rFonts w:hint="eastAsia"/>
          <w:lang w:val="en-US" w:eastAsia="zh-CN"/>
        </w:rPr>
      </w:pPr>
      <w:r>
        <w:rPr>
          <w:rFonts w:hint="eastAsia"/>
          <w:lang w:val="en-US" w:eastAsia="zh-CN"/>
        </w:rPr>
        <w:t>3）实施主体：浮梁县林业局。</w:t>
      </w:r>
    </w:p>
    <w:p>
      <w:pPr>
        <w:bidi w:val="0"/>
        <w:rPr>
          <w:rFonts w:hint="eastAsia"/>
          <w:lang w:val="en-US" w:eastAsia="zh-CN"/>
        </w:rPr>
      </w:pPr>
      <w:r>
        <w:rPr>
          <w:rFonts w:hint="eastAsia"/>
          <w:lang w:val="en-US" w:eastAsia="zh-CN"/>
        </w:rPr>
        <w:t>4）实施方案：1、组织开展一次新春团拜义务植树活动；2、组织开展3.12植树节义务植树活动。</w:t>
      </w:r>
    </w:p>
    <w:p>
      <w:pPr>
        <w:bidi w:val="0"/>
        <w:rPr>
          <w:rFonts w:hint="default"/>
          <w:lang w:val="en-US" w:eastAsia="zh-CN"/>
        </w:rPr>
      </w:pPr>
      <w:r>
        <w:rPr>
          <w:rFonts w:hint="eastAsia"/>
          <w:lang w:val="en-US" w:eastAsia="zh-CN"/>
        </w:rPr>
        <w:t>5）实施周期：2023年1月1日至2023年12月31日。</w:t>
      </w:r>
    </w:p>
    <w:p>
      <w:pPr>
        <w:bidi w:val="0"/>
        <w:rPr>
          <w:rFonts w:hint="default"/>
          <w:lang w:val="en-US" w:eastAsia="zh-CN"/>
        </w:rPr>
      </w:pPr>
      <w:r>
        <w:rPr>
          <w:rFonts w:hint="eastAsia"/>
          <w:lang w:val="en-US" w:eastAsia="zh-CN"/>
        </w:rPr>
        <w:t>6）年度预算安排：财政预算安排10万元。</w:t>
      </w:r>
    </w:p>
    <w:p>
      <w:pPr>
        <w:bidi w:val="0"/>
        <w:rPr>
          <w:rFonts w:hint="eastAsia"/>
          <w:lang w:val="en-US" w:eastAsia="zh-CN"/>
        </w:rPr>
      </w:pPr>
      <w:r>
        <w:rPr>
          <w:rFonts w:hint="eastAsia"/>
          <w:lang w:val="en-US" w:eastAsia="zh-CN"/>
        </w:rPr>
        <w:t>7）绩效目标和指标：详情见附表。</w:t>
      </w:r>
    </w:p>
    <w:p>
      <w:pPr>
        <w:bidi w:val="0"/>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3、2023年乡村振兴挂点帮扶项目（特定目标类）</w:t>
      </w:r>
    </w:p>
    <w:p>
      <w:pPr>
        <w:bidi w:val="0"/>
        <w:rPr>
          <w:rFonts w:hint="eastAsia"/>
          <w:lang w:val="en-US" w:eastAsia="zh-CN"/>
        </w:rPr>
      </w:pPr>
      <w:r>
        <w:rPr>
          <w:rFonts w:hint="eastAsia"/>
          <w:lang w:val="en-US" w:eastAsia="zh-CN"/>
        </w:rPr>
        <w:t>1）项目概述：为贯彻落实中央和省、市、县委关于定点帮扶工作的部署要求，充分发挥党政机关和国有企业事业单位在巩固拓展脱贫攻坚成果、接续推进乡村振兴的重要作用。建强村党组织、推进强村富民、促进农业农村高质量发展。做好乡村振兴产业挂点帮扶、加强村党组织建设 ,安排乡村振兴扶贫项目资金，增加村集体经济收入。</w:t>
      </w:r>
    </w:p>
    <w:p>
      <w:pPr>
        <w:bidi w:val="0"/>
        <w:rPr>
          <w:rFonts w:hint="eastAsia"/>
          <w:lang w:val="en-US" w:eastAsia="zh-CN"/>
        </w:rPr>
      </w:pPr>
      <w:r>
        <w:rPr>
          <w:rFonts w:hint="eastAsia"/>
          <w:lang w:val="en-US" w:eastAsia="zh-CN"/>
        </w:rPr>
        <w:t>2）立项依据：省委组织部、中共江西省委农村工作领导小组办公室、江西省农业农村厅、江西省乡村振兴局》文件（赣组字[2021]38号）；浮梁县委办公室、县政府办公室印发《关于持续做好县派单位2021-2023年定点帮扶工作 》的通知（浮办字[2021]45号）文件。</w:t>
      </w:r>
    </w:p>
    <w:p>
      <w:pPr>
        <w:bidi w:val="0"/>
        <w:rPr>
          <w:rFonts w:hint="eastAsia"/>
          <w:lang w:val="en-US" w:eastAsia="zh-CN"/>
        </w:rPr>
      </w:pPr>
      <w:r>
        <w:rPr>
          <w:rFonts w:hint="eastAsia"/>
          <w:lang w:val="en-US" w:eastAsia="zh-CN"/>
        </w:rPr>
        <w:t>3）实施主体：浮梁县林业局。</w:t>
      </w:r>
    </w:p>
    <w:p>
      <w:pPr>
        <w:bidi w:val="0"/>
        <w:rPr>
          <w:rFonts w:hint="eastAsia"/>
          <w:lang w:val="en-US" w:eastAsia="zh-CN"/>
        </w:rPr>
      </w:pPr>
      <w:r>
        <w:rPr>
          <w:rFonts w:hint="eastAsia"/>
          <w:lang w:val="en-US" w:eastAsia="zh-CN"/>
        </w:rPr>
        <w:t>4）实施方案：局挂点帮扶村二个乡镇，三个行政村，帮扶建档立卡脱贫户73户，每户预算安排1千元慰问资金，计7.3万元；扶贫项目泉水活鱼养殖、鱼塘扩建3亩，预算安排每亩8万元，计24万元；高山茶园维护48亩，每亩预算安排1千元，计4.8万元；村党组织建设预算安排5万元；驻村干部预算安排3.9万元工作经费，共45万元。</w:t>
      </w:r>
    </w:p>
    <w:p>
      <w:pPr>
        <w:bidi w:val="0"/>
        <w:rPr>
          <w:rFonts w:hint="default"/>
          <w:lang w:val="en-US" w:eastAsia="zh-CN"/>
        </w:rPr>
      </w:pPr>
      <w:r>
        <w:rPr>
          <w:rFonts w:hint="eastAsia"/>
          <w:lang w:val="en-US" w:eastAsia="zh-CN"/>
        </w:rPr>
        <w:t>5）实施周期：2023年1月1日至2023年12月31日。</w:t>
      </w:r>
    </w:p>
    <w:p>
      <w:pPr>
        <w:bidi w:val="0"/>
        <w:rPr>
          <w:rFonts w:hint="default"/>
          <w:lang w:val="en-US" w:eastAsia="zh-CN"/>
        </w:rPr>
      </w:pPr>
      <w:r>
        <w:rPr>
          <w:rFonts w:hint="eastAsia"/>
          <w:lang w:val="en-US" w:eastAsia="zh-CN"/>
        </w:rPr>
        <w:t>6）年度预算安排：财政预算安排45万元。</w:t>
      </w:r>
    </w:p>
    <w:p>
      <w:pPr>
        <w:bidi w:val="0"/>
        <w:rPr>
          <w:rFonts w:hint="eastAsia"/>
          <w:lang w:val="en-US" w:eastAsia="zh-CN"/>
        </w:rPr>
      </w:pPr>
      <w:r>
        <w:rPr>
          <w:rFonts w:hint="eastAsia"/>
          <w:lang w:val="en-US" w:eastAsia="zh-CN"/>
        </w:rPr>
        <w:t>7）绩效目标和指标：详情见附表。</w:t>
      </w:r>
    </w:p>
    <w:p>
      <w:pPr>
        <w:bidi w:val="0"/>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4、2023年维护维修项目（特定目标类）</w:t>
      </w:r>
    </w:p>
    <w:p>
      <w:pPr>
        <w:bidi w:val="0"/>
        <w:rPr>
          <w:rFonts w:hint="eastAsia"/>
          <w:lang w:val="en-US" w:eastAsia="zh-CN"/>
        </w:rPr>
      </w:pPr>
      <w:r>
        <w:rPr>
          <w:rFonts w:hint="eastAsia"/>
          <w:lang w:val="en-US" w:eastAsia="zh-CN"/>
        </w:rPr>
        <w:t>1）项目概述：为保证局日常工作运行，经局研究，安排局办公场所日常维修专项经费，保障日常工作正常运行。</w:t>
      </w:r>
    </w:p>
    <w:p>
      <w:pPr>
        <w:bidi w:val="0"/>
        <w:rPr>
          <w:rFonts w:hint="eastAsia"/>
          <w:lang w:val="en-US" w:eastAsia="zh-CN"/>
        </w:rPr>
      </w:pPr>
      <w:r>
        <w:rPr>
          <w:rFonts w:hint="eastAsia"/>
          <w:lang w:val="en-US" w:eastAsia="zh-CN"/>
        </w:rPr>
        <w:t>2）立项依据：日常工作需要。</w:t>
      </w:r>
    </w:p>
    <w:p>
      <w:pPr>
        <w:bidi w:val="0"/>
        <w:rPr>
          <w:rFonts w:hint="eastAsia"/>
          <w:lang w:val="en-US" w:eastAsia="zh-CN"/>
        </w:rPr>
      </w:pPr>
      <w:r>
        <w:rPr>
          <w:rFonts w:hint="eastAsia"/>
          <w:lang w:val="en-US" w:eastAsia="zh-CN"/>
        </w:rPr>
        <w:t>3）实施主体：浮梁县林业局。</w:t>
      </w:r>
    </w:p>
    <w:p>
      <w:pPr>
        <w:bidi w:val="0"/>
        <w:rPr>
          <w:rFonts w:hint="eastAsia"/>
          <w:lang w:val="en-US" w:eastAsia="zh-CN"/>
        </w:rPr>
      </w:pPr>
      <w:r>
        <w:rPr>
          <w:rFonts w:hint="eastAsia"/>
          <w:lang w:val="en-US" w:eastAsia="zh-CN"/>
        </w:rPr>
        <w:t>4）实施方案：用于水电、门锁等维修以及绿化维护、更换用能设备等。</w:t>
      </w:r>
    </w:p>
    <w:p>
      <w:pPr>
        <w:bidi w:val="0"/>
        <w:rPr>
          <w:rFonts w:hint="default"/>
          <w:lang w:val="en-US" w:eastAsia="zh-CN"/>
        </w:rPr>
      </w:pPr>
      <w:r>
        <w:rPr>
          <w:rFonts w:hint="eastAsia"/>
          <w:lang w:val="en-US" w:eastAsia="zh-CN"/>
        </w:rPr>
        <w:t>5）实施周期：2023年1月1日至2023年12月31日。</w:t>
      </w:r>
    </w:p>
    <w:p>
      <w:pPr>
        <w:bidi w:val="0"/>
        <w:rPr>
          <w:rFonts w:hint="default"/>
          <w:lang w:val="en-US" w:eastAsia="zh-CN"/>
        </w:rPr>
      </w:pPr>
      <w:r>
        <w:rPr>
          <w:rFonts w:hint="eastAsia"/>
          <w:lang w:val="en-US" w:eastAsia="zh-CN"/>
        </w:rPr>
        <w:t>6）年度预算安排：财政预算安排10万元。</w:t>
      </w:r>
    </w:p>
    <w:p>
      <w:pPr>
        <w:bidi w:val="0"/>
        <w:rPr>
          <w:rFonts w:hint="eastAsia"/>
          <w:lang w:val="en-US" w:eastAsia="zh-CN"/>
        </w:rPr>
      </w:pPr>
      <w:r>
        <w:rPr>
          <w:rFonts w:hint="eastAsia"/>
          <w:lang w:val="en-US" w:eastAsia="zh-CN"/>
        </w:rPr>
        <w:t>7）绩效目标和指标：详情见附表。</w:t>
      </w:r>
    </w:p>
    <w:p>
      <w:pPr>
        <w:bidi w:val="0"/>
        <w:ind w:left="0" w:leftChars="0" w:firstLine="0" w:firstLineChars="0"/>
        <w:rPr>
          <w:rFonts w:hint="eastAsia" w:ascii="楷体" w:hAnsi="楷体" w:eastAsia="楷体" w:cs="楷体"/>
          <w:shd w:val="clear" w:color="auto" w:fill="auto"/>
          <w:lang w:val="en-US" w:eastAsia="zh-CN"/>
        </w:rPr>
      </w:pPr>
      <w:r>
        <w:rPr>
          <w:rFonts w:hint="eastAsia" w:ascii="楷体" w:hAnsi="楷体" w:eastAsia="楷体" w:cs="楷体"/>
          <w:shd w:val="clear" w:color="auto" w:fill="auto"/>
          <w:lang w:val="en-US" w:eastAsia="zh-CN"/>
        </w:rPr>
        <w:t>5、林地“一张图”及森林资源数据更新（特定目标类）</w:t>
      </w:r>
    </w:p>
    <w:p>
      <w:pPr>
        <w:bidi w:val="0"/>
        <w:rPr>
          <w:rFonts w:hint="eastAsia"/>
          <w:shd w:val="clear" w:color="auto" w:fill="auto"/>
          <w:lang w:val="en-US" w:eastAsia="zh-CN"/>
        </w:rPr>
      </w:pPr>
      <w:r>
        <w:rPr>
          <w:rFonts w:hint="eastAsia"/>
          <w:shd w:val="clear" w:color="auto" w:fill="auto"/>
          <w:lang w:val="en-US" w:eastAsia="zh-CN"/>
        </w:rPr>
        <w:t>1）项目概述：核实森林资源变化图斑，并在林地一张图上进行数据更新。</w:t>
      </w:r>
    </w:p>
    <w:p>
      <w:pPr>
        <w:bidi w:val="0"/>
        <w:rPr>
          <w:rFonts w:hint="eastAsia"/>
          <w:shd w:val="clear" w:color="auto" w:fill="auto"/>
          <w:lang w:val="en-US" w:eastAsia="zh-CN"/>
        </w:rPr>
      </w:pPr>
      <w:r>
        <w:rPr>
          <w:rFonts w:hint="eastAsia"/>
          <w:shd w:val="clear" w:color="auto" w:fill="auto"/>
          <w:lang w:val="en-US" w:eastAsia="zh-CN"/>
        </w:rPr>
        <w:t>2）立项依据：根据林业业务需求。</w:t>
      </w:r>
    </w:p>
    <w:p>
      <w:pPr>
        <w:bidi w:val="0"/>
        <w:rPr>
          <w:rFonts w:hint="eastAsia"/>
          <w:shd w:val="clear" w:color="auto" w:fill="auto"/>
          <w:lang w:val="en-US" w:eastAsia="zh-CN"/>
        </w:rPr>
      </w:pPr>
      <w:r>
        <w:rPr>
          <w:rFonts w:hint="eastAsia"/>
          <w:shd w:val="clear" w:color="auto" w:fill="auto"/>
          <w:lang w:val="en-US" w:eastAsia="zh-CN"/>
        </w:rPr>
        <w:t>3）实施主体：浮梁县林业局</w:t>
      </w:r>
    </w:p>
    <w:p>
      <w:pPr>
        <w:bidi w:val="0"/>
        <w:rPr>
          <w:rFonts w:hint="eastAsia"/>
          <w:shd w:val="clear" w:color="auto" w:fill="auto"/>
          <w:lang w:val="en-US" w:eastAsia="zh-CN"/>
        </w:rPr>
      </w:pPr>
      <w:r>
        <w:rPr>
          <w:rFonts w:hint="eastAsia"/>
          <w:shd w:val="clear" w:color="auto" w:fill="auto"/>
          <w:lang w:val="en-US" w:eastAsia="zh-CN"/>
        </w:rPr>
        <w:t>4）实施方案：预计在下半年完成林地一张图数据更新。</w:t>
      </w:r>
    </w:p>
    <w:p>
      <w:pPr>
        <w:bidi w:val="0"/>
        <w:rPr>
          <w:rFonts w:hint="default"/>
          <w:shd w:val="clear" w:color="auto" w:fill="auto"/>
          <w:lang w:val="en-US" w:eastAsia="zh-CN"/>
        </w:rPr>
      </w:pPr>
      <w:r>
        <w:rPr>
          <w:rFonts w:hint="eastAsia"/>
          <w:shd w:val="clear" w:color="auto" w:fill="auto"/>
          <w:lang w:val="en-US" w:eastAsia="zh-CN"/>
        </w:rPr>
        <w:t>5）实施周期：2023年1月1日至2023年12月31日。</w:t>
      </w:r>
    </w:p>
    <w:p>
      <w:pPr>
        <w:bidi w:val="0"/>
        <w:rPr>
          <w:rFonts w:hint="default"/>
          <w:shd w:val="clear" w:color="auto" w:fill="auto"/>
          <w:lang w:val="en-US" w:eastAsia="zh-CN"/>
        </w:rPr>
      </w:pPr>
      <w:r>
        <w:rPr>
          <w:rFonts w:hint="eastAsia"/>
          <w:shd w:val="clear" w:color="auto" w:fill="auto"/>
          <w:lang w:val="en-US" w:eastAsia="zh-CN"/>
        </w:rPr>
        <w:t>6）年度预算安排：财政预算安排4万元。</w:t>
      </w:r>
    </w:p>
    <w:p>
      <w:pPr>
        <w:bidi w:val="0"/>
        <w:rPr>
          <w:rFonts w:hint="eastAsia"/>
          <w:lang w:val="en-US" w:eastAsia="zh-CN"/>
        </w:rPr>
      </w:pPr>
      <w:r>
        <w:rPr>
          <w:rFonts w:hint="eastAsia"/>
          <w:lang w:val="en-US" w:eastAsia="zh-CN"/>
        </w:rPr>
        <w:t>7）绩效目标和指标：详情见附表。</w:t>
      </w:r>
    </w:p>
    <w:p>
      <w:pPr>
        <w:bidi w:val="0"/>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6、2023年林长制工作经费项目（特定目标类）</w:t>
      </w:r>
    </w:p>
    <w:p>
      <w:pPr>
        <w:bidi w:val="0"/>
        <w:rPr>
          <w:rFonts w:hint="eastAsia"/>
          <w:lang w:val="en-US" w:eastAsia="zh-CN"/>
        </w:rPr>
      </w:pPr>
      <w:r>
        <w:rPr>
          <w:rFonts w:hint="eastAsia"/>
          <w:lang w:val="en-US" w:eastAsia="zh-CN"/>
        </w:rPr>
        <w:t>1）项目概述：我县从2018年率先推动的林长制工作，是保护发展林业资源的制度改革。为做好全县总林长会、林长制会议、接待省级、市级林长巡林，服务对接县级林长巡林、接待外地来考察学习，智慧林长制建设、“一长两员”监管、林长制培训、林长制宣传和推广等工作，经研究并报县领导同意，每年预算安排30万元工作经费，确保工作在运行。</w:t>
      </w:r>
    </w:p>
    <w:p>
      <w:pPr>
        <w:bidi w:val="0"/>
        <w:rPr>
          <w:rFonts w:hint="eastAsia"/>
          <w:lang w:val="en-US" w:eastAsia="zh-CN"/>
        </w:rPr>
      </w:pPr>
      <w:r>
        <w:rPr>
          <w:rFonts w:hint="eastAsia"/>
          <w:lang w:val="en-US" w:eastAsia="zh-CN"/>
        </w:rPr>
        <w:t>2）立项依据：江西省人大颁布的《江西省林长制条例》，江西省委办公厅、省政府办公厅印发《关于全面推行林长制的意见》的通知（赣办字【2018】31号），景德镇市市委办公室、市政府办公室关于印发《景德镇市全面推行“林长制”意见》的通知（景办字【2018】79号），浮梁县委办公室、县政府办公室关于印发《浮梁县林长制实施方案》的通知（浮办字[2018]80号等文件。</w:t>
      </w:r>
    </w:p>
    <w:p>
      <w:pPr>
        <w:bidi w:val="0"/>
        <w:rPr>
          <w:rFonts w:hint="eastAsia"/>
          <w:lang w:val="en-US" w:eastAsia="zh-CN"/>
        </w:rPr>
      </w:pPr>
      <w:r>
        <w:rPr>
          <w:rFonts w:hint="eastAsia"/>
          <w:lang w:val="en-US" w:eastAsia="zh-CN"/>
        </w:rPr>
        <w:t>3）实施主体：浮梁县林业局。</w:t>
      </w:r>
    </w:p>
    <w:p>
      <w:pPr>
        <w:bidi w:val="0"/>
        <w:rPr>
          <w:rFonts w:hint="eastAsia"/>
          <w:lang w:val="en-US" w:eastAsia="zh-CN"/>
        </w:rPr>
      </w:pPr>
      <w:r>
        <w:rPr>
          <w:rFonts w:hint="eastAsia"/>
          <w:lang w:val="en-US" w:eastAsia="zh-CN"/>
        </w:rPr>
        <w:t>4）实施方案：按照上级有关规定，完善全县494名护林员“五统一”管理预计需费用18万元、宣传及公示费用5万元、工作经费7万元，合计30万元。年初预算安排30万元。</w:t>
      </w:r>
    </w:p>
    <w:p>
      <w:pPr>
        <w:bidi w:val="0"/>
        <w:rPr>
          <w:rFonts w:hint="default"/>
          <w:lang w:val="en-US" w:eastAsia="zh-CN"/>
        </w:rPr>
      </w:pPr>
      <w:r>
        <w:rPr>
          <w:rFonts w:hint="eastAsia"/>
          <w:lang w:val="en-US" w:eastAsia="zh-CN"/>
        </w:rPr>
        <w:t>5）实施周期：2023年1月1日至2023年12月31日。</w:t>
      </w:r>
    </w:p>
    <w:p>
      <w:pPr>
        <w:bidi w:val="0"/>
        <w:rPr>
          <w:rFonts w:hint="default"/>
          <w:lang w:val="en-US" w:eastAsia="zh-CN"/>
        </w:rPr>
      </w:pPr>
      <w:r>
        <w:rPr>
          <w:rFonts w:hint="eastAsia"/>
          <w:lang w:val="en-US" w:eastAsia="zh-CN"/>
        </w:rPr>
        <w:t>6）年度预算安排：财政预算安排30万元。</w:t>
      </w:r>
    </w:p>
    <w:p>
      <w:pPr>
        <w:bidi w:val="0"/>
        <w:rPr>
          <w:rFonts w:hint="eastAsia"/>
          <w:lang w:val="en-US" w:eastAsia="zh-CN"/>
        </w:rPr>
      </w:pPr>
      <w:r>
        <w:rPr>
          <w:rFonts w:hint="eastAsia"/>
          <w:lang w:val="en-US" w:eastAsia="zh-CN"/>
        </w:rPr>
        <w:t>7）绩效目标和指标：详情见附表。</w:t>
      </w:r>
    </w:p>
    <w:p>
      <w:pPr>
        <w:bidi w:val="0"/>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7、2023年环境卫生整治及物资采购项目（特定目标类）</w:t>
      </w:r>
    </w:p>
    <w:p>
      <w:pPr>
        <w:bidi w:val="0"/>
        <w:rPr>
          <w:rFonts w:hint="eastAsia"/>
          <w:lang w:val="en-US" w:eastAsia="zh-CN"/>
        </w:rPr>
      </w:pPr>
      <w:r>
        <w:rPr>
          <w:rFonts w:hint="eastAsia"/>
          <w:lang w:val="en-US" w:eastAsia="zh-CN"/>
        </w:rPr>
        <w:t>1）项目概述：为配合全县开展创建全国文明城市和国家卫生县城复审工作，经局研究，安排专项工作经费，确保工作正常运行。</w:t>
      </w:r>
    </w:p>
    <w:p>
      <w:pPr>
        <w:bidi w:val="0"/>
        <w:rPr>
          <w:rFonts w:hint="eastAsia"/>
          <w:lang w:val="en-US" w:eastAsia="zh-CN"/>
        </w:rPr>
      </w:pPr>
      <w:r>
        <w:rPr>
          <w:rFonts w:hint="eastAsia"/>
          <w:lang w:val="en-US" w:eastAsia="zh-CN"/>
        </w:rPr>
        <w:t>2）立项依据：浮梁县创文指挥部《关于调整浮梁县县级领导包片及“路长+片长”责任单位的通知》（浮创字[2023]1号），县委办《关于印发〈浮梁县国家卫生县城复审实施方案&gt;的通知》（浮办字[2023]10号）。</w:t>
      </w:r>
    </w:p>
    <w:p>
      <w:pPr>
        <w:bidi w:val="0"/>
        <w:rPr>
          <w:rFonts w:hint="eastAsia"/>
          <w:lang w:val="en-US" w:eastAsia="zh-CN"/>
        </w:rPr>
      </w:pPr>
      <w:r>
        <w:rPr>
          <w:rFonts w:hint="eastAsia"/>
          <w:lang w:val="en-US" w:eastAsia="zh-CN"/>
        </w:rPr>
        <w:t>3）实施主体：浮梁县林业局。</w:t>
      </w:r>
    </w:p>
    <w:p>
      <w:pPr>
        <w:bidi w:val="0"/>
        <w:rPr>
          <w:rFonts w:hint="eastAsia"/>
          <w:lang w:val="en-US" w:eastAsia="zh-CN"/>
        </w:rPr>
      </w:pPr>
      <w:r>
        <w:rPr>
          <w:rFonts w:hint="eastAsia"/>
          <w:lang w:val="en-US" w:eastAsia="zh-CN"/>
        </w:rPr>
        <w:t>4）实施方案：全县有贤湖春天、恒兴公寓、林业宿舍等3个责任片区，主要开展环境卫生、车辆停放等整治工作。</w:t>
      </w:r>
    </w:p>
    <w:p>
      <w:pPr>
        <w:bidi w:val="0"/>
        <w:rPr>
          <w:rFonts w:hint="default"/>
          <w:lang w:val="en-US" w:eastAsia="zh-CN"/>
        </w:rPr>
      </w:pPr>
      <w:r>
        <w:rPr>
          <w:rFonts w:hint="eastAsia"/>
          <w:lang w:val="en-US" w:eastAsia="zh-CN"/>
        </w:rPr>
        <w:t>5）实施周期：2023年1月1日至2023年12月31日。</w:t>
      </w:r>
    </w:p>
    <w:p>
      <w:pPr>
        <w:bidi w:val="0"/>
        <w:rPr>
          <w:rFonts w:hint="default"/>
          <w:lang w:val="en-US" w:eastAsia="zh-CN"/>
        </w:rPr>
      </w:pPr>
      <w:r>
        <w:rPr>
          <w:rFonts w:hint="eastAsia"/>
          <w:lang w:val="en-US" w:eastAsia="zh-CN"/>
        </w:rPr>
        <w:t>6）年度预算安排：财政预算安排8万元。</w:t>
      </w:r>
    </w:p>
    <w:p>
      <w:pPr>
        <w:bidi w:val="0"/>
        <w:rPr>
          <w:rFonts w:hint="eastAsia"/>
          <w:lang w:val="en-US" w:eastAsia="zh-CN"/>
        </w:rPr>
      </w:pPr>
      <w:r>
        <w:rPr>
          <w:rFonts w:hint="eastAsia"/>
          <w:lang w:val="en-US" w:eastAsia="zh-CN"/>
        </w:rPr>
        <w:t>7）绩效目标和指标：详情见附表。</w:t>
      </w:r>
    </w:p>
    <w:p>
      <w:pPr>
        <w:bidi w:val="0"/>
        <w:ind w:left="0" w:leftChars="0" w:firstLine="0" w:firstLineChars="0"/>
        <w:rPr>
          <w:rFonts w:hint="eastAsia" w:ascii="楷体" w:hAnsi="楷体" w:eastAsia="楷体" w:cs="楷体"/>
          <w:shd w:val="clear" w:color="auto" w:fill="auto"/>
          <w:lang w:val="en-US" w:eastAsia="zh-CN"/>
        </w:rPr>
      </w:pPr>
      <w:r>
        <w:rPr>
          <w:rFonts w:hint="eastAsia" w:ascii="楷体" w:hAnsi="楷体" w:eastAsia="楷体" w:cs="楷体"/>
          <w:shd w:val="clear" w:color="auto" w:fill="auto"/>
          <w:lang w:val="en-US" w:eastAsia="zh-CN"/>
        </w:rPr>
        <w:t>8、2023年野生动物肇事补偿责任保险项目（特定目标类）</w:t>
      </w:r>
    </w:p>
    <w:p>
      <w:pPr>
        <w:bidi w:val="0"/>
        <w:rPr>
          <w:rFonts w:hint="eastAsia"/>
          <w:shd w:val="clear" w:color="auto" w:fill="auto"/>
          <w:lang w:val="en-US" w:eastAsia="zh-CN"/>
        </w:rPr>
      </w:pPr>
      <w:r>
        <w:rPr>
          <w:rFonts w:hint="eastAsia"/>
          <w:shd w:val="clear" w:color="auto" w:fill="auto"/>
          <w:lang w:val="en-US" w:eastAsia="zh-CN"/>
        </w:rPr>
        <w:t>1）项目概述：为了解决野生动物对人及农作物的残害，实行政府投保，群众受益的保险机制。</w:t>
      </w:r>
    </w:p>
    <w:p>
      <w:pPr>
        <w:bidi w:val="0"/>
        <w:rPr>
          <w:rFonts w:hint="eastAsia"/>
          <w:shd w:val="clear" w:color="auto" w:fill="auto"/>
          <w:lang w:val="en-US" w:eastAsia="zh-CN"/>
        </w:rPr>
      </w:pPr>
      <w:r>
        <w:rPr>
          <w:rFonts w:hint="eastAsia"/>
          <w:shd w:val="clear" w:color="auto" w:fill="auto"/>
          <w:lang w:val="en-US" w:eastAsia="zh-CN"/>
        </w:rPr>
        <w:t>2）立项依据：根据林业业务需求实施。</w:t>
      </w:r>
    </w:p>
    <w:p>
      <w:pPr>
        <w:bidi w:val="0"/>
        <w:rPr>
          <w:rFonts w:hint="eastAsia"/>
          <w:shd w:val="clear" w:color="auto" w:fill="auto"/>
          <w:lang w:val="en-US" w:eastAsia="zh-CN"/>
        </w:rPr>
      </w:pPr>
      <w:r>
        <w:rPr>
          <w:rFonts w:hint="eastAsia"/>
          <w:shd w:val="clear" w:color="auto" w:fill="auto"/>
          <w:lang w:val="en-US" w:eastAsia="zh-CN"/>
        </w:rPr>
        <w:t>3）实施主体：浮梁县林业局。</w:t>
      </w:r>
    </w:p>
    <w:p>
      <w:pPr>
        <w:bidi w:val="0"/>
        <w:rPr>
          <w:rFonts w:hint="eastAsia"/>
          <w:shd w:val="clear" w:color="auto" w:fill="auto"/>
          <w:lang w:val="en-US" w:eastAsia="zh-CN"/>
        </w:rPr>
      </w:pPr>
      <w:r>
        <w:rPr>
          <w:rFonts w:hint="eastAsia"/>
          <w:shd w:val="clear" w:color="auto" w:fill="auto"/>
          <w:lang w:val="en-US" w:eastAsia="zh-CN"/>
        </w:rPr>
        <w:t>4）实施方案：在上个保险期满之前积极与保险公司签订野生动物肇事补偿责任保险。</w:t>
      </w:r>
    </w:p>
    <w:p>
      <w:pPr>
        <w:bidi w:val="0"/>
        <w:rPr>
          <w:rFonts w:hint="default"/>
          <w:shd w:val="clear" w:color="auto" w:fill="auto"/>
          <w:lang w:val="en-US" w:eastAsia="zh-CN"/>
        </w:rPr>
      </w:pPr>
      <w:r>
        <w:rPr>
          <w:rFonts w:hint="eastAsia"/>
          <w:shd w:val="clear" w:color="auto" w:fill="auto"/>
          <w:lang w:val="en-US" w:eastAsia="zh-CN"/>
        </w:rPr>
        <w:t>5）实施周期：2023年1月1日至2023年12月31日。</w:t>
      </w:r>
    </w:p>
    <w:p>
      <w:pPr>
        <w:bidi w:val="0"/>
        <w:rPr>
          <w:rFonts w:hint="default"/>
          <w:shd w:val="clear" w:color="auto" w:fill="auto"/>
          <w:lang w:val="en-US" w:eastAsia="zh-CN"/>
        </w:rPr>
      </w:pPr>
      <w:r>
        <w:rPr>
          <w:rFonts w:hint="eastAsia"/>
          <w:shd w:val="clear" w:color="auto" w:fill="auto"/>
          <w:lang w:val="en-US" w:eastAsia="zh-CN"/>
        </w:rPr>
        <w:t>6）年度预算安排：财政预算安排20万元。</w:t>
      </w:r>
    </w:p>
    <w:p>
      <w:pPr>
        <w:bidi w:val="0"/>
        <w:rPr>
          <w:rFonts w:hint="eastAsia"/>
          <w:shd w:val="clear" w:color="auto" w:fill="auto"/>
          <w:lang w:val="en-US" w:eastAsia="zh-CN"/>
        </w:rPr>
      </w:pPr>
      <w:r>
        <w:rPr>
          <w:rFonts w:hint="eastAsia"/>
          <w:shd w:val="clear" w:color="auto" w:fill="auto"/>
          <w:lang w:val="en-US" w:eastAsia="zh-CN"/>
        </w:rPr>
        <w:t>7）绩效目标和指标：详情见附表。</w:t>
      </w:r>
    </w:p>
    <w:p>
      <w:pPr>
        <w:bidi w:val="0"/>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9、浮梁县2022-2023年松材线虫病等重大林业有害生物防治项目（特定目标类）</w:t>
      </w:r>
    </w:p>
    <w:p>
      <w:pPr>
        <w:bidi w:val="0"/>
        <w:rPr>
          <w:rFonts w:hint="eastAsia"/>
          <w:lang w:val="en-US" w:eastAsia="zh-CN"/>
        </w:rPr>
      </w:pPr>
      <w:r>
        <w:rPr>
          <w:rFonts w:hint="eastAsia"/>
          <w:lang w:val="en-US" w:eastAsia="zh-CN"/>
        </w:rPr>
        <w:t>1）项目概述：完成省、市政府下达的松材线虫病防治阶段性目标任务。</w:t>
      </w:r>
    </w:p>
    <w:p>
      <w:pPr>
        <w:bidi w:val="0"/>
        <w:rPr>
          <w:rFonts w:hint="eastAsia"/>
          <w:lang w:val="en-US" w:eastAsia="zh-CN"/>
        </w:rPr>
      </w:pPr>
      <w:r>
        <w:rPr>
          <w:rFonts w:hint="eastAsia"/>
          <w:lang w:val="en-US" w:eastAsia="zh-CN"/>
        </w:rPr>
        <w:t>2）立项依据：根据国家林业和草原局办公室关于印发《皖浙赣环黄山松材线虫病疫情联防联控机制工作方案》的通知（办生发〔2021〕54号）、《江西省松材线虫病疫情防控五年攻坚行动计划的通知》（赣林防发〔2021〕3号）要求，将我县列入皖浙赣环黄山松材线虫病防控重点区和省疫情防控五年攻坚行动计划重型疫区范围。</w:t>
      </w:r>
    </w:p>
    <w:p>
      <w:pPr>
        <w:bidi w:val="0"/>
        <w:rPr>
          <w:rFonts w:hint="eastAsia"/>
          <w:lang w:val="en-US" w:eastAsia="zh-CN"/>
        </w:rPr>
      </w:pPr>
      <w:r>
        <w:rPr>
          <w:rFonts w:hint="eastAsia"/>
          <w:lang w:val="en-US" w:eastAsia="zh-CN"/>
        </w:rPr>
        <w:t>3）实施主体：浮梁县林业局。</w:t>
      </w:r>
    </w:p>
    <w:p>
      <w:pPr>
        <w:bidi w:val="0"/>
        <w:rPr>
          <w:rFonts w:hint="eastAsia"/>
          <w:lang w:val="en-US" w:eastAsia="zh-CN"/>
        </w:rPr>
      </w:pPr>
      <w:r>
        <w:rPr>
          <w:rFonts w:hint="eastAsia"/>
          <w:lang w:val="en-US" w:eastAsia="zh-CN"/>
        </w:rPr>
        <w:t>4）实施方案：根据2022年秋季普查结果显示，全县枯死松树发生面积2.4587万亩，除治小班145个（其中疫情小班20个），枯死松树10229株(含集中除治后预计增加的数量)；病死树发生面积0.4202万亩，病死松树1182株。枯死松树分布在瑶里、湘湖、黄坛、蛟潭等16个乡镇及银坞林场。除治工作结束后，为巩固除治成效，大力实施松褐天牛综合治理。全县共释放天敌花绒寄甲成虫20万头，对瑶里、鹅湖、黄坛、蛟潭等重点区域内需要特别保护的松树实施打孔注药8万瓶。</w:t>
      </w:r>
    </w:p>
    <w:p>
      <w:pPr>
        <w:bidi w:val="0"/>
        <w:rPr>
          <w:rFonts w:hint="default"/>
          <w:lang w:val="en-US" w:eastAsia="zh-CN"/>
        </w:rPr>
      </w:pPr>
      <w:r>
        <w:rPr>
          <w:rFonts w:hint="eastAsia"/>
          <w:lang w:val="en-US" w:eastAsia="zh-CN"/>
        </w:rPr>
        <w:t>5）实施周期：2023年1月1日至2023年12月31日。</w:t>
      </w:r>
    </w:p>
    <w:p>
      <w:pPr>
        <w:bidi w:val="0"/>
        <w:rPr>
          <w:rFonts w:hint="default"/>
          <w:lang w:val="en-US" w:eastAsia="zh-CN"/>
        </w:rPr>
      </w:pPr>
      <w:r>
        <w:rPr>
          <w:rFonts w:hint="eastAsia"/>
          <w:lang w:val="en-US" w:eastAsia="zh-CN"/>
        </w:rPr>
        <w:t>6）年度预算安排：财政预算安排246万元。</w:t>
      </w:r>
    </w:p>
    <w:p>
      <w:pPr>
        <w:bidi w:val="0"/>
        <w:rPr>
          <w:rFonts w:hint="eastAsia"/>
          <w:lang w:val="en-US" w:eastAsia="zh-CN"/>
        </w:rPr>
      </w:pPr>
      <w:r>
        <w:rPr>
          <w:rFonts w:hint="eastAsia"/>
          <w:lang w:val="en-US" w:eastAsia="zh-CN"/>
        </w:rPr>
        <w:t>7）绩效目标和指标：详情见附表。</w:t>
      </w:r>
    </w:p>
    <w:p>
      <w:pPr>
        <w:bidi w:val="0"/>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10、2023年森林资源培育、保护、利用、管理项目（特定目标类）</w:t>
      </w:r>
    </w:p>
    <w:p>
      <w:pPr>
        <w:bidi w:val="0"/>
        <w:rPr>
          <w:rFonts w:hint="eastAsia"/>
          <w:lang w:val="en-US" w:eastAsia="zh-CN"/>
        </w:rPr>
      </w:pPr>
      <w:r>
        <w:rPr>
          <w:rFonts w:hint="eastAsia"/>
          <w:lang w:val="en-US" w:eastAsia="zh-CN"/>
        </w:rPr>
        <w:t>1）项目概述：</w:t>
      </w:r>
      <w:r>
        <w:rPr>
          <w:rFonts w:hint="eastAsia"/>
        </w:rPr>
        <w:t>森林资源培育、保护、利用、管理项目</w:t>
      </w:r>
      <w:r>
        <w:rPr>
          <w:rFonts w:hint="eastAsia"/>
          <w:lang w:eastAsia="zh-CN"/>
        </w:rPr>
        <w:t>用于造林绿化、森林防火、动植物保护、林业执法等方面</w:t>
      </w:r>
      <w:r>
        <w:rPr>
          <w:rFonts w:hint="eastAsia"/>
          <w:lang w:val="en-US" w:eastAsia="zh-CN"/>
        </w:rPr>
        <w:t>。</w:t>
      </w:r>
    </w:p>
    <w:p>
      <w:pPr>
        <w:bidi w:val="0"/>
        <w:rPr>
          <w:rFonts w:hint="eastAsia"/>
          <w:lang w:val="en-US" w:eastAsia="zh-CN"/>
        </w:rPr>
      </w:pPr>
      <w:r>
        <w:rPr>
          <w:rFonts w:hint="eastAsia"/>
          <w:lang w:val="en-US" w:eastAsia="zh-CN"/>
        </w:rPr>
        <w:t>2）立项依据：根据林业职能要求，实现林业高质量发展目标。</w:t>
      </w:r>
    </w:p>
    <w:p>
      <w:pPr>
        <w:bidi w:val="0"/>
        <w:rPr>
          <w:rFonts w:hint="eastAsia"/>
          <w:lang w:val="en-US" w:eastAsia="zh-CN"/>
        </w:rPr>
      </w:pPr>
      <w:r>
        <w:rPr>
          <w:rFonts w:hint="eastAsia"/>
          <w:lang w:val="en-US" w:eastAsia="zh-CN"/>
        </w:rPr>
        <w:t>3）实施主体：浮梁县林业局。</w:t>
      </w:r>
    </w:p>
    <w:p>
      <w:pPr>
        <w:bidi w:val="0"/>
        <w:rPr>
          <w:rFonts w:hint="eastAsia"/>
          <w:lang w:val="en-US" w:eastAsia="zh-CN"/>
        </w:rPr>
      </w:pPr>
      <w:r>
        <w:rPr>
          <w:rFonts w:hint="eastAsia"/>
          <w:lang w:val="en-US" w:eastAsia="zh-CN"/>
        </w:rPr>
        <w:t>4）实施方案：根据林业季节性制定项目方案，按照效益最大化原则实施项目。</w:t>
      </w:r>
    </w:p>
    <w:p>
      <w:pPr>
        <w:bidi w:val="0"/>
        <w:rPr>
          <w:rFonts w:hint="default"/>
          <w:lang w:val="en-US" w:eastAsia="zh-CN"/>
        </w:rPr>
      </w:pPr>
      <w:r>
        <w:rPr>
          <w:rFonts w:hint="eastAsia"/>
          <w:lang w:val="en-US" w:eastAsia="zh-CN"/>
        </w:rPr>
        <w:t>5）实施周期：2023年1月1日至2023年12月31日。</w:t>
      </w:r>
    </w:p>
    <w:p>
      <w:pPr>
        <w:bidi w:val="0"/>
        <w:rPr>
          <w:rFonts w:hint="default"/>
          <w:lang w:val="en-US" w:eastAsia="zh-CN"/>
        </w:rPr>
      </w:pPr>
      <w:r>
        <w:rPr>
          <w:rFonts w:hint="eastAsia"/>
          <w:lang w:val="en-US" w:eastAsia="zh-CN"/>
        </w:rPr>
        <w:t>6）年度预算安排：财政预算安排420万元。</w:t>
      </w:r>
    </w:p>
    <w:p>
      <w:pPr>
        <w:bidi w:val="0"/>
        <w:rPr>
          <w:rFonts w:hint="eastAsia"/>
          <w:lang w:val="en-US" w:eastAsia="zh-CN"/>
        </w:rPr>
      </w:pPr>
      <w:r>
        <w:rPr>
          <w:rFonts w:hint="eastAsia"/>
          <w:lang w:val="en-US" w:eastAsia="zh-CN"/>
        </w:rPr>
        <w:t>7）绩效目标和指标：详情见附表。</w:t>
      </w:r>
    </w:p>
    <w:p>
      <w:pPr>
        <w:bidi w:val="0"/>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11、2023年宣传报道项目（特定目标类）</w:t>
      </w:r>
    </w:p>
    <w:p>
      <w:pPr>
        <w:bidi w:val="0"/>
        <w:rPr>
          <w:rFonts w:hint="eastAsia"/>
          <w:lang w:val="en-US" w:eastAsia="zh-CN"/>
        </w:rPr>
      </w:pPr>
      <w:r>
        <w:rPr>
          <w:rFonts w:hint="eastAsia"/>
          <w:lang w:val="en-US" w:eastAsia="zh-CN"/>
        </w:rPr>
        <w:t>1）项目概述：为进一步加大奇林业对外宣传，经局研究，每年安排一定的宣传报道专项工作经费，确保工作正常运行。</w:t>
      </w:r>
    </w:p>
    <w:p>
      <w:pPr>
        <w:bidi w:val="0"/>
        <w:rPr>
          <w:rFonts w:hint="eastAsia"/>
          <w:lang w:val="en-US" w:eastAsia="zh-CN"/>
        </w:rPr>
      </w:pPr>
      <w:r>
        <w:rPr>
          <w:rFonts w:hint="eastAsia"/>
          <w:lang w:val="en-US" w:eastAsia="zh-CN"/>
        </w:rPr>
        <w:t>2）立项依据：浮梁县林业局《关于认真做好2022年林业新闻宣传报道工作的通知》（浮林字[2023]51号）。</w:t>
      </w:r>
    </w:p>
    <w:p>
      <w:pPr>
        <w:bidi w:val="0"/>
        <w:rPr>
          <w:rFonts w:hint="eastAsia"/>
          <w:lang w:val="en-US" w:eastAsia="zh-CN"/>
        </w:rPr>
      </w:pPr>
      <w:r>
        <w:rPr>
          <w:rFonts w:hint="eastAsia"/>
          <w:lang w:val="en-US" w:eastAsia="zh-CN"/>
        </w:rPr>
        <w:t>3）实施主体：浮梁县林业局。</w:t>
      </w:r>
    </w:p>
    <w:p>
      <w:pPr>
        <w:bidi w:val="0"/>
        <w:rPr>
          <w:rFonts w:hint="eastAsia"/>
          <w:lang w:val="en-US" w:eastAsia="zh-CN"/>
        </w:rPr>
      </w:pPr>
      <w:r>
        <w:rPr>
          <w:rFonts w:hint="eastAsia"/>
          <w:lang w:val="en-US" w:eastAsia="zh-CN"/>
        </w:rPr>
        <w:t>4）实施方案：根据宣传需求用于媒体服务费、广告宣传栏建设等。</w:t>
      </w:r>
    </w:p>
    <w:p>
      <w:pPr>
        <w:bidi w:val="0"/>
        <w:rPr>
          <w:rFonts w:hint="default"/>
          <w:lang w:val="en-US" w:eastAsia="zh-CN"/>
        </w:rPr>
      </w:pPr>
      <w:r>
        <w:rPr>
          <w:rFonts w:hint="eastAsia"/>
          <w:lang w:val="en-US" w:eastAsia="zh-CN"/>
        </w:rPr>
        <w:t>5）实施周期：2023年1月1日至2023年12月31日。</w:t>
      </w:r>
    </w:p>
    <w:p>
      <w:pPr>
        <w:bidi w:val="0"/>
        <w:rPr>
          <w:rFonts w:hint="default"/>
          <w:lang w:val="en-US" w:eastAsia="zh-CN"/>
        </w:rPr>
      </w:pPr>
      <w:r>
        <w:rPr>
          <w:rFonts w:hint="eastAsia"/>
          <w:lang w:val="en-US" w:eastAsia="zh-CN"/>
        </w:rPr>
        <w:t>6）年度预算安排：财政预算安排20万元。</w:t>
      </w:r>
    </w:p>
    <w:p>
      <w:pPr>
        <w:bidi w:val="0"/>
        <w:rPr>
          <w:rFonts w:hint="eastAsia"/>
          <w:lang w:val="en-US" w:eastAsia="zh-CN"/>
        </w:rPr>
      </w:pPr>
      <w:r>
        <w:rPr>
          <w:rFonts w:hint="eastAsia"/>
          <w:lang w:val="en-US" w:eastAsia="zh-CN"/>
        </w:rPr>
        <w:t>7）绩效目标和指标：详情见附表。</w:t>
      </w:r>
    </w:p>
    <w:p>
      <w:pPr>
        <w:bidi w:val="0"/>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12、2023年固定资产采购项目（特定目标类）</w:t>
      </w:r>
    </w:p>
    <w:p>
      <w:pPr>
        <w:bidi w:val="0"/>
        <w:rPr>
          <w:rFonts w:hint="eastAsia"/>
          <w:lang w:val="en-US" w:eastAsia="zh-CN"/>
        </w:rPr>
      </w:pPr>
      <w:r>
        <w:rPr>
          <w:rFonts w:hint="eastAsia"/>
          <w:lang w:val="en-US" w:eastAsia="zh-CN"/>
        </w:rPr>
        <w:t>1）项目概述：为保证局日常工作运行，经局研究，安排办公用品等专项固定资产经费。</w:t>
      </w:r>
    </w:p>
    <w:p>
      <w:pPr>
        <w:bidi w:val="0"/>
        <w:rPr>
          <w:rFonts w:hint="eastAsia"/>
          <w:lang w:val="en-US" w:eastAsia="zh-CN"/>
        </w:rPr>
      </w:pPr>
      <w:r>
        <w:rPr>
          <w:rFonts w:hint="eastAsia"/>
          <w:lang w:val="en-US" w:eastAsia="zh-CN"/>
        </w:rPr>
        <w:t>2）立项依据：日常工作需要。</w:t>
      </w:r>
    </w:p>
    <w:p>
      <w:pPr>
        <w:bidi w:val="0"/>
        <w:rPr>
          <w:rFonts w:hint="eastAsia"/>
          <w:lang w:val="en-US" w:eastAsia="zh-CN"/>
        </w:rPr>
      </w:pPr>
      <w:r>
        <w:rPr>
          <w:rFonts w:hint="eastAsia"/>
          <w:lang w:val="en-US" w:eastAsia="zh-CN"/>
        </w:rPr>
        <w:t>3）实施主体：浮梁县林业局。</w:t>
      </w:r>
    </w:p>
    <w:p>
      <w:pPr>
        <w:bidi w:val="0"/>
        <w:rPr>
          <w:rFonts w:hint="eastAsia"/>
          <w:lang w:val="en-US" w:eastAsia="zh-CN"/>
        </w:rPr>
      </w:pPr>
      <w:r>
        <w:rPr>
          <w:rFonts w:hint="eastAsia"/>
          <w:lang w:val="en-US" w:eastAsia="zh-CN"/>
        </w:rPr>
        <w:t>4）实施方案：采购电子设备、空调、办公桌椅等办公需求固定资产。</w:t>
      </w:r>
    </w:p>
    <w:p>
      <w:pPr>
        <w:bidi w:val="0"/>
        <w:rPr>
          <w:rFonts w:hint="default"/>
          <w:lang w:val="en-US" w:eastAsia="zh-CN"/>
        </w:rPr>
      </w:pPr>
      <w:r>
        <w:rPr>
          <w:rFonts w:hint="eastAsia"/>
          <w:lang w:val="en-US" w:eastAsia="zh-CN"/>
        </w:rPr>
        <w:t>5）实施周期：2023年1月1日至2023年12月31日。</w:t>
      </w:r>
    </w:p>
    <w:p>
      <w:pPr>
        <w:bidi w:val="0"/>
        <w:rPr>
          <w:rFonts w:hint="default"/>
          <w:lang w:val="en-US" w:eastAsia="zh-CN"/>
        </w:rPr>
      </w:pPr>
      <w:r>
        <w:rPr>
          <w:rFonts w:hint="eastAsia"/>
          <w:lang w:val="en-US" w:eastAsia="zh-CN"/>
        </w:rPr>
        <w:t>6）年度预算安排：财政预算安排15万元。</w:t>
      </w:r>
    </w:p>
    <w:p>
      <w:pPr>
        <w:bidi w:val="0"/>
        <w:rPr>
          <w:rFonts w:hint="eastAsia"/>
          <w:lang w:val="en-US" w:eastAsia="zh-CN"/>
        </w:rPr>
      </w:pPr>
      <w:r>
        <w:rPr>
          <w:rFonts w:hint="eastAsia"/>
          <w:lang w:val="en-US" w:eastAsia="zh-CN"/>
        </w:rPr>
        <w:t>7）绩效目标和指标：详情见附表。</w:t>
      </w:r>
    </w:p>
    <w:p>
      <w:pPr>
        <w:bidi w:val="0"/>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13、2023年更换执法执勤项目（特定目标类）</w:t>
      </w:r>
    </w:p>
    <w:p>
      <w:pPr>
        <w:bidi w:val="0"/>
        <w:rPr>
          <w:rFonts w:hint="eastAsia"/>
          <w:lang w:val="en-US" w:eastAsia="zh-CN"/>
        </w:rPr>
      </w:pPr>
      <w:r>
        <w:rPr>
          <w:rFonts w:hint="eastAsia"/>
          <w:lang w:val="en-US" w:eastAsia="zh-CN"/>
        </w:rPr>
        <w:t>1）项目概述：为保证局日常工作运行，经局研究，安排专项经费对局已达到处置条件的执法执勤用车进行更新。</w:t>
      </w:r>
    </w:p>
    <w:p>
      <w:pPr>
        <w:bidi w:val="0"/>
        <w:rPr>
          <w:rFonts w:hint="eastAsia"/>
          <w:lang w:val="en-US" w:eastAsia="zh-CN"/>
        </w:rPr>
      </w:pPr>
      <w:r>
        <w:rPr>
          <w:rFonts w:hint="eastAsia"/>
          <w:lang w:val="en-US" w:eastAsia="zh-CN"/>
        </w:rPr>
        <w:t>2）立项依据：日常工作需要。</w:t>
      </w:r>
    </w:p>
    <w:p>
      <w:pPr>
        <w:bidi w:val="0"/>
        <w:rPr>
          <w:rFonts w:hint="eastAsia"/>
          <w:lang w:val="en-US" w:eastAsia="zh-CN"/>
        </w:rPr>
      </w:pPr>
      <w:r>
        <w:rPr>
          <w:rFonts w:hint="eastAsia"/>
          <w:lang w:val="en-US" w:eastAsia="zh-CN"/>
        </w:rPr>
        <w:t>3）实施主体：浮梁县林业局。</w:t>
      </w:r>
    </w:p>
    <w:p>
      <w:pPr>
        <w:bidi w:val="0"/>
        <w:rPr>
          <w:rFonts w:hint="eastAsia"/>
          <w:lang w:val="en-US" w:eastAsia="zh-CN"/>
        </w:rPr>
      </w:pPr>
      <w:r>
        <w:rPr>
          <w:rFonts w:hint="eastAsia"/>
          <w:lang w:val="en-US" w:eastAsia="zh-CN"/>
        </w:rPr>
        <w:t>4）实施方案：通过政府采购更新1辆执法执勤车。</w:t>
      </w:r>
    </w:p>
    <w:p>
      <w:pPr>
        <w:bidi w:val="0"/>
        <w:rPr>
          <w:rFonts w:hint="default"/>
          <w:lang w:val="en-US" w:eastAsia="zh-CN"/>
        </w:rPr>
      </w:pPr>
      <w:r>
        <w:rPr>
          <w:rFonts w:hint="eastAsia"/>
          <w:lang w:val="en-US" w:eastAsia="zh-CN"/>
        </w:rPr>
        <w:t>5）实施周期：2023年1月1日至2023年12月31日。</w:t>
      </w:r>
    </w:p>
    <w:p>
      <w:pPr>
        <w:bidi w:val="0"/>
        <w:rPr>
          <w:rFonts w:hint="default"/>
          <w:lang w:val="en-US" w:eastAsia="zh-CN"/>
        </w:rPr>
      </w:pPr>
      <w:r>
        <w:rPr>
          <w:rFonts w:hint="eastAsia"/>
          <w:lang w:val="en-US" w:eastAsia="zh-CN"/>
        </w:rPr>
        <w:t>6）年度预算安排：财政预算安排22万元。</w:t>
      </w:r>
    </w:p>
    <w:p>
      <w:pPr>
        <w:bidi w:val="0"/>
        <w:rPr>
          <w:rFonts w:hint="eastAsia"/>
          <w:lang w:val="en-US" w:eastAsia="zh-CN"/>
        </w:rPr>
      </w:pPr>
      <w:r>
        <w:rPr>
          <w:rFonts w:hint="eastAsia"/>
          <w:lang w:val="en-US" w:eastAsia="zh-CN"/>
        </w:rPr>
        <w:t>7）绩效目标和指标：详情见附表。</w:t>
      </w:r>
    </w:p>
    <w:p>
      <w:pPr>
        <w:bidi w:val="0"/>
        <w:ind w:left="0" w:leftChars="0" w:firstLine="0" w:firstLineChars="0"/>
        <w:rPr>
          <w:rFonts w:hint="eastAsia" w:ascii="楷体" w:hAnsi="楷体" w:eastAsia="楷体" w:cs="楷体"/>
          <w:shd w:val="clear" w:color="auto" w:fill="auto"/>
          <w:lang w:val="en-US" w:eastAsia="zh-CN"/>
        </w:rPr>
      </w:pPr>
      <w:r>
        <w:rPr>
          <w:rFonts w:hint="eastAsia" w:ascii="楷体" w:hAnsi="楷体" w:eastAsia="楷体" w:cs="楷体"/>
          <w:lang w:val="en-US" w:eastAsia="zh-CN"/>
        </w:rPr>
        <w:t>14、</w:t>
      </w:r>
      <w:r>
        <w:rPr>
          <w:rFonts w:hint="eastAsia" w:ascii="楷体" w:hAnsi="楷体" w:eastAsia="楷体" w:cs="楷体"/>
          <w:shd w:val="clear" w:color="auto" w:fill="auto"/>
          <w:lang w:val="en-US" w:eastAsia="zh-CN"/>
        </w:rPr>
        <w:t>林业有害生物监测和疫木清理补助项目（特定目标类）</w:t>
      </w:r>
    </w:p>
    <w:p>
      <w:pPr>
        <w:bidi w:val="0"/>
        <w:rPr>
          <w:rFonts w:hint="eastAsia"/>
          <w:shd w:val="clear" w:color="auto" w:fill="auto"/>
          <w:lang w:val="en-US" w:eastAsia="zh-CN"/>
        </w:rPr>
      </w:pPr>
      <w:r>
        <w:rPr>
          <w:rFonts w:hint="eastAsia"/>
          <w:shd w:val="clear" w:color="auto" w:fill="auto"/>
          <w:lang w:val="en-US" w:eastAsia="zh-CN"/>
        </w:rPr>
        <w:t>1）项目概述：在全省率先统筹整合公益林、天保林、森林防火专项资金等护林经费，按照“县建、乡聘、站管、村用”管理模式，聘请专人，构建以国家级中心测报点为主线，对固定监测样地实行定点监测预报。</w:t>
      </w:r>
    </w:p>
    <w:p>
      <w:pPr>
        <w:bidi w:val="0"/>
        <w:rPr>
          <w:rFonts w:hint="eastAsia"/>
          <w:shd w:val="clear" w:color="auto" w:fill="auto"/>
          <w:lang w:val="en-US" w:eastAsia="zh-CN"/>
        </w:rPr>
      </w:pPr>
      <w:r>
        <w:rPr>
          <w:rFonts w:hint="eastAsia"/>
          <w:shd w:val="clear" w:color="auto" w:fill="auto"/>
          <w:lang w:val="en-US" w:eastAsia="zh-CN"/>
        </w:rPr>
        <w:t>2）立项依据：国家林业和草原局关于签订国家级林业有害生物中心测报点业务委托合同的通知（林草防总字〔2019〕89号文件要求。</w:t>
      </w:r>
    </w:p>
    <w:p>
      <w:pPr>
        <w:bidi w:val="0"/>
        <w:rPr>
          <w:rFonts w:hint="eastAsia"/>
          <w:shd w:val="clear" w:color="auto" w:fill="auto"/>
          <w:lang w:val="en-US" w:eastAsia="zh-CN"/>
        </w:rPr>
      </w:pPr>
      <w:r>
        <w:rPr>
          <w:rFonts w:hint="eastAsia"/>
          <w:shd w:val="clear" w:color="auto" w:fill="auto"/>
          <w:lang w:val="en-US" w:eastAsia="zh-CN"/>
        </w:rPr>
        <w:t>3）实施主体：浮梁县林业局。</w:t>
      </w:r>
    </w:p>
    <w:p>
      <w:pPr>
        <w:bidi w:val="0"/>
        <w:rPr>
          <w:rFonts w:hint="eastAsia"/>
          <w:shd w:val="clear" w:color="auto" w:fill="auto"/>
          <w:lang w:val="en-US" w:eastAsia="zh-CN"/>
        </w:rPr>
      </w:pPr>
      <w:r>
        <w:rPr>
          <w:rFonts w:hint="eastAsia"/>
          <w:shd w:val="clear" w:color="auto" w:fill="auto"/>
          <w:lang w:val="en-US" w:eastAsia="zh-CN"/>
        </w:rPr>
        <w:t>4）实施方案：全县布设定点落实三个乡镇级测报点，在瑶里镇、湘湖镇、经公桥镇开展主测对象松墨天牛监测。落实定点观测人员，明确观测时间和强度，实现对重点区域重大林业有害生物网络化定点监测，确保重点区域发生重大林业有害生物能够及时发现，及时报告。</w:t>
      </w:r>
    </w:p>
    <w:p>
      <w:pPr>
        <w:bidi w:val="0"/>
        <w:rPr>
          <w:rFonts w:hint="default"/>
          <w:shd w:val="clear" w:color="auto" w:fill="auto"/>
          <w:lang w:val="en-US" w:eastAsia="zh-CN"/>
        </w:rPr>
      </w:pPr>
      <w:r>
        <w:rPr>
          <w:rFonts w:hint="eastAsia"/>
          <w:shd w:val="clear" w:color="auto" w:fill="auto"/>
          <w:lang w:val="en-US" w:eastAsia="zh-CN"/>
        </w:rPr>
        <w:t>5）实施周期：2023年1月1日至2023年12月31日。</w:t>
      </w:r>
    </w:p>
    <w:p>
      <w:pPr>
        <w:bidi w:val="0"/>
        <w:rPr>
          <w:rFonts w:hint="default"/>
          <w:lang w:val="en-US" w:eastAsia="zh-CN"/>
        </w:rPr>
      </w:pPr>
      <w:r>
        <w:rPr>
          <w:rFonts w:hint="eastAsia"/>
          <w:lang w:val="en-US" w:eastAsia="zh-CN"/>
        </w:rPr>
        <w:t>6）年度预算安排：财政预算安排4.5万元，为上级补助资金，拨入实有资金账户。</w:t>
      </w:r>
    </w:p>
    <w:p>
      <w:pPr>
        <w:bidi w:val="0"/>
        <w:rPr>
          <w:rFonts w:hint="default"/>
          <w:lang w:val="en-US" w:eastAsia="zh-CN"/>
        </w:rPr>
      </w:pPr>
      <w:r>
        <w:rPr>
          <w:rFonts w:hint="eastAsia"/>
          <w:lang w:val="en-US" w:eastAsia="zh-CN"/>
        </w:rPr>
        <w:t>7）绩效目标和指标：详情见附表。</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二、202</w:t>
      </w:r>
      <w:r>
        <w:rPr>
          <w:rFonts w:hint="eastAsia" w:ascii="楷体" w:hAnsi="楷体" w:eastAsia="楷体" w:cs="楷体"/>
          <w:spacing w:val="13"/>
          <w:sz w:val="32"/>
          <w:szCs w:val="32"/>
          <w:lang w:val="en-US" w:eastAsia="zh-CN"/>
        </w:rPr>
        <w:t>3</w:t>
      </w:r>
      <w:r>
        <w:rPr>
          <w:rFonts w:hint="eastAsia" w:ascii="楷体" w:hAnsi="楷体" w:eastAsia="楷体" w:cs="楷体"/>
          <w:spacing w:val="13"/>
          <w:sz w:val="32"/>
          <w:szCs w:val="32"/>
        </w:rPr>
        <w:t>年"三公”经费预算情况说明</w:t>
      </w:r>
    </w:p>
    <w:p>
      <w:pPr>
        <w:spacing w:line="360" w:lineRule="auto"/>
        <w:ind w:firstLine="560" w:firstLineChars="200"/>
        <w:rPr>
          <w:rFonts w:ascii="宋体" w:hAnsi="宋体" w:eastAsia="宋体" w:cs="Times New Roman"/>
          <w:kern w:val="2"/>
          <w:sz w:val="28"/>
          <w:szCs w:val="22"/>
        </w:rPr>
      </w:pPr>
      <w:r>
        <w:rPr>
          <w:rFonts w:hint="eastAsia" w:ascii="宋体" w:hAnsi="宋体" w:eastAsia="宋体" w:cs="Times New Roman"/>
          <w:kern w:val="2"/>
          <w:sz w:val="28"/>
          <w:szCs w:val="22"/>
        </w:rPr>
        <w:t>202</w:t>
      </w:r>
      <w:r>
        <w:rPr>
          <w:rFonts w:hint="eastAsia" w:ascii="宋体" w:hAnsi="宋体" w:eastAsia="宋体" w:cs="Times New Roman"/>
          <w:kern w:val="2"/>
          <w:sz w:val="28"/>
          <w:szCs w:val="22"/>
          <w:lang w:val="en-US" w:eastAsia="zh-CN"/>
        </w:rPr>
        <w:t>3</w:t>
      </w:r>
      <w:r>
        <w:rPr>
          <w:rFonts w:hint="eastAsia" w:ascii="宋体" w:hAnsi="宋体" w:eastAsia="宋体" w:cs="Times New Roman"/>
          <w:kern w:val="2"/>
          <w:sz w:val="28"/>
          <w:szCs w:val="22"/>
        </w:rPr>
        <w:t>年林业局"三公"经费一般公共预算安排</w:t>
      </w:r>
      <w:r>
        <w:rPr>
          <w:rFonts w:hint="eastAsia" w:ascii="宋体" w:hAnsi="宋体" w:eastAsia="宋体" w:cs="Times New Roman"/>
          <w:kern w:val="2"/>
          <w:sz w:val="28"/>
          <w:szCs w:val="22"/>
          <w:lang w:val="en-US" w:eastAsia="zh-CN"/>
        </w:rPr>
        <w:t>73.39</w:t>
      </w:r>
      <w:r>
        <w:rPr>
          <w:rFonts w:hint="eastAsia" w:ascii="宋体" w:hAnsi="宋体" w:eastAsia="宋体" w:cs="Times New Roman"/>
          <w:kern w:val="2"/>
          <w:sz w:val="28"/>
          <w:szCs w:val="22"/>
        </w:rPr>
        <w:t>万元</w:t>
      </w:r>
      <w:r>
        <w:rPr>
          <w:rFonts w:hint="eastAsia" w:ascii="宋体" w:hAnsi="宋体" w:eastAsia="宋体" w:cs="Times New Roman"/>
          <w:kern w:val="2"/>
          <w:sz w:val="28"/>
          <w:szCs w:val="22"/>
          <w:lang w:eastAsia="zh-CN"/>
        </w:rPr>
        <w:t>，较上年下降</w:t>
      </w:r>
      <w:r>
        <w:rPr>
          <w:rFonts w:hint="eastAsia" w:ascii="宋体" w:hAnsi="宋体" w:eastAsia="宋体" w:cs="Times New Roman"/>
          <w:kern w:val="2"/>
          <w:sz w:val="28"/>
          <w:szCs w:val="22"/>
          <w:lang w:val="en-US" w:eastAsia="zh-CN"/>
        </w:rPr>
        <w:t>10.01万元</w:t>
      </w:r>
      <w:r>
        <w:rPr>
          <w:rFonts w:hint="eastAsia" w:ascii="宋体" w:hAnsi="宋体" w:eastAsia="宋体" w:cs="Times New Roman"/>
          <w:kern w:val="2"/>
          <w:sz w:val="28"/>
          <w:szCs w:val="22"/>
        </w:rPr>
        <w:t>。其中:</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Times New Roman"/>
          <w:kern w:val="2"/>
          <w:sz w:val="28"/>
          <w:szCs w:val="22"/>
        </w:rPr>
      </w:pPr>
      <w:r>
        <w:rPr>
          <w:rFonts w:hint="eastAsia" w:ascii="宋体" w:hAnsi="宋体" w:eastAsia="宋体" w:cs="Times New Roman"/>
          <w:kern w:val="2"/>
          <w:sz w:val="28"/>
          <w:szCs w:val="22"/>
        </w:rPr>
        <w:t>因公出国(境)费0万元，比上年增(减)0万元。</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Times New Roman"/>
          <w:kern w:val="2"/>
          <w:sz w:val="28"/>
          <w:szCs w:val="22"/>
        </w:rPr>
      </w:pPr>
      <w:r>
        <w:rPr>
          <w:rFonts w:hint="eastAsia" w:ascii="宋体" w:hAnsi="宋体" w:eastAsia="宋体" w:cs="Times New Roman"/>
          <w:kern w:val="2"/>
          <w:sz w:val="28"/>
          <w:szCs w:val="22"/>
        </w:rPr>
        <w:t>公务接待费</w:t>
      </w:r>
      <w:r>
        <w:rPr>
          <w:rFonts w:hint="eastAsia" w:ascii="宋体" w:hAnsi="宋体" w:eastAsia="宋体" w:cs="Times New Roman"/>
          <w:kern w:val="2"/>
          <w:sz w:val="28"/>
          <w:szCs w:val="22"/>
          <w:lang w:val="en-US" w:eastAsia="zh-CN"/>
        </w:rPr>
        <w:t>22.9</w:t>
      </w:r>
      <w:r>
        <w:rPr>
          <w:rFonts w:hint="eastAsia" w:ascii="宋体" w:hAnsi="宋体" w:eastAsia="宋体" w:cs="Times New Roman"/>
          <w:kern w:val="2"/>
          <w:sz w:val="28"/>
          <w:szCs w:val="22"/>
        </w:rPr>
        <w:t>万元，比上年减</w:t>
      </w:r>
      <w:r>
        <w:rPr>
          <w:rFonts w:hint="eastAsia" w:ascii="宋体" w:hAnsi="宋体" w:eastAsia="宋体" w:cs="Times New Roman"/>
          <w:kern w:val="2"/>
          <w:sz w:val="28"/>
          <w:szCs w:val="22"/>
          <w:lang w:eastAsia="zh-CN"/>
        </w:rPr>
        <w:t>少</w:t>
      </w:r>
      <w:r>
        <w:rPr>
          <w:rFonts w:hint="eastAsia" w:ascii="宋体" w:hAnsi="宋体" w:eastAsia="宋体" w:cs="Times New Roman"/>
          <w:kern w:val="2"/>
          <w:sz w:val="28"/>
          <w:szCs w:val="22"/>
          <w:lang w:val="en-US" w:eastAsia="zh-CN"/>
        </w:rPr>
        <w:t>17.6</w:t>
      </w:r>
      <w:r>
        <w:rPr>
          <w:rFonts w:hint="eastAsia" w:ascii="宋体" w:hAnsi="宋体" w:eastAsia="宋体" w:cs="Times New Roman"/>
          <w:kern w:val="2"/>
          <w:sz w:val="28"/>
          <w:szCs w:val="22"/>
        </w:rPr>
        <w:t>万元，主要原因是:</w:t>
      </w:r>
      <w:r>
        <w:rPr>
          <w:rFonts w:hint="eastAsia" w:ascii="宋体" w:hAnsi="宋体" w:eastAsia="宋体" w:cs="Times New Roman"/>
          <w:kern w:val="2"/>
          <w:sz w:val="28"/>
          <w:szCs w:val="22"/>
          <w:lang w:eastAsia="zh-CN"/>
        </w:rPr>
        <w:t>响应过紧日子号召，减少非刚性支出</w:t>
      </w:r>
      <w:r>
        <w:rPr>
          <w:rFonts w:hint="eastAsia" w:ascii="宋体" w:hAnsi="宋体" w:eastAsia="宋体" w:cs="Times New Roman"/>
          <w:kern w:val="2"/>
          <w:sz w:val="28"/>
          <w:szCs w:val="22"/>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Times New Roman"/>
          <w:kern w:val="2"/>
          <w:sz w:val="28"/>
          <w:szCs w:val="22"/>
        </w:rPr>
      </w:pPr>
      <w:r>
        <w:rPr>
          <w:rFonts w:hint="eastAsia" w:ascii="宋体" w:hAnsi="宋体" w:eastAsia="宋体" w:cs="Times New Roman"/>
          <w:kern w:val="2"/>
          <w:sz w:val="28"/>
          <w:szCs w:val="22"/>
        </w:rPr>
        <w:t>公务用车运行维护费</w:t>
      </w:r>
      <w:r>
        <w:rPr>
          <w:rFonts w:hint="eastAsia" w:ascii="宋体" w:hAnsi="宋体" w:eastAsia="宋体" w:cs="Times New Roman"/>
          <w:kern w:val="2"/>
          <w:sz w:val="28"/>
          <w:szCs w:val="22"/>
          <w:lang w:val="en-US" w:eastAsia="zh-CN"/>
        </w:rPr>
        <w:t>28.49</w:t>
      </w:r>
      <w:r>
        <w:rPr>
          <w:rFonts w:hint="eastAsia" w:ascii="宋体" w:hAnsi="宋体" w:eastAsia="宋体" w:cs="Times New Roman"/>
          <w:kern w:val="2"/>
          <w:sz w:val="28"/>
          <w:szCs w:val="22"/>
        </w:rPr>
        <w:t>万元，比上年</w:t>
      </w:r>
      <w:r>
        <w:rPr>
          <w:rFonts w:hint="eastAsia" w:ascii="宋体" w:hAnsi="宋体" w:eastAsia="宋体" w:cs="Times New Roman"/>
          <w:kern w:val="2"/>
          <w:sz w:val="28"/>
          <w:szCs w:val="22"/>
          <w:lang w:eastAsia="zh-CN"/>
        </w:rPr>
        <w:t>增加</w:t>
      </w:r>
      <w:r>
        <w:rPr>
          <w:rFonts w:hint="eastAsia" w:ascii="宋体" w:hAnsi="宋体" w:eastAsia="宋体" w:cs="Times New Roman"/>
          <w:kern w:val="2"/>
          <w:sz w:val="28"/>
          <w:szCs w:val="22"/>
        </w:rPr>
        <w:t>2</w:t>
      </w:r>
      <w:r>
        <w:rPr>
          <w:rFonts w:hint="eastAsia" w:ascii="宋体" w:hAnsi="宋体" w:eastAsia="宋体" w:cs="Times New Roman"/>
          <w:kern w:val="2"/>
          <w:sz w:val="28"/>
          <w:szCs w:val="22"/>
          <w:lang w:val="en-US" w:eastAsia="zh-CN"/>
        </w:rPr>
        <w:t>.59</w:t>
      </w:r>
      <w:r>
        <w:rPr>
          <w:rFonts w:hint="eastAsia" w:ascii="宋体" w:hAnsi="宋体" w:eastAsia="宋体" w:cs="Times New Roman"/>
          <w:kern w:val="2"/>
          <w:sz w:val="28"/>
          <w:szCs w:val="22"/>
        </w:rPr>
        <w:t>万元，主要原因是:</w:t>
      </w:r>
      <w:r>
        <w:rPr>
          <w:rFonts w:hint="eastAsia" w:ascii="宋体" w:hAnsi="宋体" w:eastAsia="宋体" w:cs="Times New Roman"/>
          <w:kern w:val="2"/>
          <w:sz w:val="28"/>
          <w:szCs w:val="22"/>
          <w:lang w:eastAsia="zh-CN"/>
        </w:rPr>
        <w:t>下属单位在</w:t>
      </w:r>
      <w:r>
        <w:rPr>
          <w:rFonts w:hint="eastAsia" w:ascii="宋体" w:hAnsi="宋体" w:eastAsia="宋体" w:cs="Times New Roman"/>
          <w:kern w:val="2"/>
          <w:sz w:val="28"/>
          <w:szCs w:val="22"/>
          <w:lang w:val="en-US" w:eastAsia="zh-CN"/>
        </w:rPr>
        <w:t>2022年根据需求新购1辆车</w:t>
      </w:r>
      <w:r>
        <w:rPr>
          <w:rFonts w:hint="eastAsia" w:ascii="宋体" w:hAnsi="宋体" w:eastAsia="宋体" w:cs="Times New Roman"/>
          <w:kern w:val="2"/>
          <w:sz w:val="28"/>
          <w:szCs w:val="22"/>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default" w:ascii="黑体" w:hAnsi="黑体" w:eastAsia="宋体" w:cs="黑体"/>
          <w:snapToGrid/>
          <w:kern w:val="2"/>
          <w:sz w:val="32"/>
          <w:szCs w:val="32"/>
          <w:lang w:val="en-US" w:eastAsia="zh-CN"/>
        </w:rPr>
      </w:pPr>
      <w:r>
        <w:rPr>
          <w:rFonts w:hint="eastAsia" w:ascii="宋体" w:hAnsi="宋体" w:eastAsia="宋体" w:cs="Times New Roman"/>
          <w:kern w:val="2"/>
          <w:sz w:val="28"/>
          <w:szCs w:val="22"/>
        </w:rPr>
        <w:t>公务用车购置费</w:t>
      </w:r>
      <w:r>
        <w:rPr>
          <w:rFonts w:hint="eastAsia" w:ascii="宋体" w:hAnsi="宋体" w:eastAsia="宋体" w:cs="Times New Roman"/>
          <w:kern w:val="2"/>
          <w:sz w:val="28"/>
          <w:szCs w:val="22"/>
          <w:lang w:val="en-US" w:eastAsia="zh-CN"/>
        </w:rPr>
        <w:t>22</w:t>
      </w:r>
      <w:r>
        <w:rPr>
          <w:rFonts w:hint="eastAsia" w:ascii="宋体" w:hAnsi="宋体" w:eastAsia="宋体" w:cs="Times New Roman"/>
          <w:kern w:val="2"/>
          <w:sz w:val="28"/>
          <w:szCs w:val="22"/>
        </w:rPr>
        <w:t>万元，比上年</w:t>
      </w:r>
      <w:r>
        <w:rPr>
          <w:rFonts w:hint="eastAsia" w:ascii="宋体" w:hAnsi="宋体" w:cs="Times New Roman"/>
          <w:kern w:val="2"/>
          <w:sz w:val="28"/>
          <w:szCs w:val="22"/>
          <w:lang w:eastAsia="zh-CN"/>
        </w:rPr>
        <w:t>减少</w:t>
      </w:r>
      <w:r>
        <w:rPr>
          <w:rFonts w:hint="eastAsia" w:ascii="宋体" w:hAnsi="宋体" w:cs="Times New Roman"/>
          <w:kern w:val="2"/>
          <w:sz w:val="28"/>
          <w:szCs w:val="22"/>
          <w:lang w:val="en-US" w:eastAsia="zh-CN"/>
        </w:rPr>
        <w:t>17</w:t>
      </w:r>
      <w:r>
        <w:rPr>
          <w:rFonts w:hint="eastAsia" w:ascii="宋体" w:hAnsi="宋体" w:eastAsia="宋体" w:cs="Times New Roman"/>
          <w:kern w:val="2"/>
          <w:sz w:val="28"/>
          <w:szCs w:val="22"/>
        </w:rPr>
        <w:t>万元，主</w:t>
      </w:r>
      <w:r>
        <w:rPr>
          <w:rFonts w:hint="eastAsia" w:ascii="宋体" w:hAnsi="宋体" w:eastAsia="宋体" w:cs="Times New Roman"/>
          <w:kern w:val="2"/>
          <w:sz w:val="28"/>
          <w:szCs w:val="22"/>
          <w:shd w:val="clear" w:color="auto" w:fill="auto"/>
        </w:rPr>
        <w:t>要原因是:</w:t>
      </w:r>
      <w:r>
        <w:rPr>
          <w:rFonts w:hint="eastAsia" w:ascii="宋体" w:hAnsi="宋体" w:cs="Times New Roman"/>
          <w:kern w:val="2"/>
          <w:sz w:val="28"/>
          <w:szCs w:val="22"/>
          <w:shd w:val="clear" w:color="auto" w:fill="auto"/>
          <w:lang w:eastAsia="zh-CN"/>
        </w:rPr>
        <w:t>减少</w:t>
      </w:r>
      <w:r>
        <w:rPr>
          <w:rFonts w:hint="eastAsia" w:ascii="宋体" w:hAnsi="宋体" w:cs="Times New Roman"/>
          <w:kern w:val="2"/>
          <w:sz w:val="28"/>
          <w:szCs w:val="22"/>
          <w:shd w:val="clear" w:color="auto" w:fill="auto"/>
          <w:lang w:val="en-US" w:eastAsia="zh-CN"/>
        </w:rPr>
        <w:t>1辆车辆购置。</w:t>
      </w:r>
    </w:p>
    <w:p>
      <w:pPr>
        <w:rPr>
          <w:rFonts w:hint="eastAsia" w:ascii="黑体" w:hAnsi="黑体" w:eastAsia="黑体" w:cs="黑体"/>
          <w:snapToGrid/>
          <w:kern w:val="2"/>
          <w:sz w:val="32"/>
          <w:szCs w:val="32"/>
        </w:rPr>
      </w:pPr>
      <w:r>
        <w:rPr>
          <w:rFonts w:hint="eastAsia" w:ascii="黑体" w:hAnsi="黑体" w:eastAsia="黑体" w:cs="黑体"/>
          <w:snapToGrid/>
          <w:kern w:val="2"/>
          <w:sz w:val="32"/>
          <w:szCs w:val="32"/>
        </w:rPr>
        <w:br w:type="page"/>
      </w:r>
    </w:p>
    <w:p>
      <w:pPr>
        <w:widowControl w:val="0"/>
        <w:kinsoku/>
        <w:autoSpaceDE/>
        <w:autoSpaceDN/>
        <w:adjustRightInd/>
        <w:snapToGrid/>
        <w:jc w:val="center"/>
        <w:textAlignment w:val="auto"/>
        <w:rPr>
          <w:rFonts w:ascii="黑体" w:hAnsi="黑体" w:eastAsia="黑体" w:cs="黑体"/>
          <w:snapToGrid/>
          <w:kern w:val="2"/>
          <w:sz w:val="32"/>
          <w:szCs w:val="32"/>
        </w:rPr>
      </w:pPr>
      <w:bookmarkStart w:id="0" w:name="_GoBack"/>
      <w:bookmarkEnd w:id="0"/>
      <w:r>
        <w:rPr>
          <w:rFonts w:hint="eastAsia" w:ascii="黑体" w:hAnsi="黑体" w:eastAsia="黑体" w:cs="黑体"/>
          <w:snapToGrid/>
          <w:kern w:val="2"/>
          <w:sz w:val="32"/>
          <w:szCs w:val="32"/>
        </w:rPr>
        <w:t>第四部分   名词解释</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一、收入科目</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各部门结合实际进行解释。</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(一)财政拨款:指省级财政当年拨付的资金。</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(二)教育收费资金收入:反映实行专项管理的高中以上学费、住宿费，高校委托培养费，函大、电大、夜大及短训班培训费等教育收费取得的收入。</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(三)事业收入:指事业单位开展专业业务活动及辅助活动取得的收入。</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(四)事业单位经营收入:指事业单位在专业业务活动及辅助活动之外开展非独立核算经营活动取得的收入。</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(五)附属单位上缴收入:反映事业单位附属的独立核算单位按规定标准或比例缴纳的各项收入。包括附属的事业单位上缴的收入和附属的企业上缴的利润等。</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(六)上级补助收入:反映事业单位从主管部门和上级单位取得的非财政补助收入。</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(七)其他收入:指除财政拨款、事业收入、事业单位经营收入等以外的各项收入。</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(八)使用非财政拨款结余:填列历年滚存的非限定用途的非统计财政拨款结余弥补202</w:t>
      </w:r>
      <w:r>
        <w:rPr>
          <w:rFonts w:hint="eastAsia" w:ascii="仿宋_GB2312" w:hAnsi="Times New Roman" w:eastAsia="仿宋_GB2312" w:cs="Times New Roman"/>
          <w:snapToGrid/>
          <w:kern w:val="2"/>
          <w:sz w:val="32"/>
          <w:szCs w:val="32"/>
          <w:lang w:val="en-US" w:eastAsia="zh-CN"/>
        </w:rPr>
        <w:t>3</w:t>
      </w:r>
      <w:r>
        <w:rPr>
          <w:rFonts w:hint="eastAsia" w:ascii="仿宋_GB2312" w:hAnsi="Times New Roman" w:eastAsia="仿宋_GB2312" w:cs="Times New Roman"/>
          <w:snapToGrid/>
          <w:kern w:val="2"/>
          <w:sz w:val="32"/>
          <w:szCs w:val="32"/>
        </w:rPr>
        <w:t>年收支差额的数额。</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(九)上年结转和结余:填列202</w:t>
      </w:r>
      <w:r>
        <w:rPr>
          <w:rFonts w:hint="eastAsia" w:ascii="仿宋_GB2312" w:hAnsi="Times New Roman" w:eastAsia="仿宋_GB2312" w:cs="Times New Roman"/>
          <w:snapToGrid/>
          <w:kern w:val="2"/>
          <w:sz w:val="32"/>
          <w:szCs w:val="32"/>
          <w:lang w:val="en-US" w:eastAsia="zh-CN"/>
        </w:rPr>
        <w:t>2</w:t>
      </w:r>
      <w:r>
        <w:rPr>
          <w:rFonts w:hint="eastAsia" w:ascii="仿宋_GB2312" w:hAnsi="Times New Roman" w:eastAsia="仿宋_GB2312" w:cs="Times New Roman"/>
          <w:snapToGrid/>
          <w:kern w:val="2"/>
          <w:sz w:val="32"/>
          <w:szCs w:val="32"/>
        </w:rPr>
        <w:t>年全部结转和结余的资金数，包括当年结转结余资金和历年滚存结转结余资金。</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二、支出科目</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对部门预算中涉及的支出功能分类科目(明细到项级)，结合部门实际，参照《202</w:t>
      </w:r>
      <w:r>
        <w:rPr>
          <w:rFonts w:hint="eastAsia" w:ascii="仿宋_GB2312" w:hAnsi="Times New Roman" w:eastAsia="仿宋_GB2312" w:cs="Times New Roman"/>
          <w:snapToGrid/>
          <w:kern w:val="2"/>
          <w:sz w:val="32"/>
          <w:szCs w:val="32"/>
          <w:lang w:val="en-US" w:eastAsia="zh-CN"/>
        </w:rPr>
        <w:t>3</w:t>
      </w:r>
      <w:r>
        <w:rPr>
          <w:rFonts w:hint="eastAsia" w:ascii="仿宋_GB2312" w:hAnsi="Times New Roman" w:eastAsia="仿宋_GB2312" w:cs="Times New Roman"/>
          <w:snapToGrid/>
          <w:kern w:val="2"/>
          <w:sz w:val="32"/>
          <w:szCs w:val="32"/>
        </w:rPr>
        <w:t>年政府收支分类科目》的规范说明进行解释。</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三、部门涉及的专业名词</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由部门结合实际填写。</w:t>
      </w:r>
    </w:p>
    <w:sectPr>
      <w:pgSz w:w="11900" w:h="16820"/>
      <w:pgMar w:top="1429" w:right="1647" w:bottom="1319" w:left="1539" w:header="0" w:footer="10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8BE20F"/>
    <w:multiLevelType w:val="singleLevel"/>
    <w:tmpl w:val="1D8BE20F"/>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spaceForUL/>
    <w:ulTrailSpace/>
    <w:useFELayout/>
    <w:compatSetting w:name="compatibilityMode" w:uri="http://schemas.microsoft.com/office/word" w:val="12"/>
  </w:compat>
  <w:docVars>
    <w:docVar w:name="commondata" w:val="eyJoZGlkIjoiYTVkZTdkMjczZDY2Mzg5MGM1ZjMwNzE4YTcyMDZhYzcifQ=="/>
  </w:docVars>
  <w:rsids>
    <w:rsidRoot w:val="00173ECC"/>
    <w:rsid w:val="00173ECC"/>
    <w:rsid w:val="00215AA4"/>
    <w:rsid w:val="0032772C"/>
    <w:rsid w:val="004E5B9A"/>
    <w:rsid w:val="005F65CD"/>
    <w:rsid w:val="00A348EB"/>
    <w:rsid w:val="00DF5B20"/>
    <w:rsid w:val="01CB4799"/>
    <w:rsid w:val="01D30207"/>
    <w:rsid w:val="05230033"/>
    <w:rsid w:val="05277AB9"/>
    <w:rsid w:val="07A54EC2"/>
    <w:rsid w:val="09F77876"/>
    <w:rsid w:val="0A706375"/>
    <w:rsid w:val="0B9501F2"/>
    <w:rsid w:val="0C6F6579"/>
    <w:rsid w:val="0D5E3656"/>
    <w:rsid w:val="0F957915"/>
    <w:rsid w:val="144D28DC"/>
    <w:rsid w:val="1475573F"/>
    <w:rsid w:val="15073660"/>
    <w:rsid w:val="153C43F8"/>
    <w:rsid w:val="15805712"/>
    <w:rsid w:val="165779D5"/>
    <w:rsid w:val="177040C6"/>
    <w:rsid w:val="180A0D7A"/>
    <w:rsid w:val="199B75DB"/>
    <w:rsid w:val="19F6499A"/>
    <w:rsid w:val="1BA07AF4"/>
    <w:rsid w:val="1CDE311E"/>
    <w:rsid w:val="1D473653"/>
    <w:rsid w:val="1DDE2B17"/>
    <w:rsid w:val="1E8017E6"/>
    <w:rsid w:val="22B11B4F"/>
    <w:rsid w:val="255F625D"/>
    <w:rsid w:val="25975178"/>
    <w:rsid w:val="26FE1CD0"/>
    <w:rsid w:val="27833257"/>
    <w:rsid w:val="28546812"/>
    <w:rsid w:val="28B74E8B"/>
    <w:rsid w:val="29422A39"/>
    <w:rsid w:val="2A6D3510"/>
    <w:rsid w:val="2A951139"/>
    <w:rsid w:val="2CE87C64"/>
    <w:rsid w:val="316229A1"/>
    <w:rsid w:val="323F0D0B"/>
    <w:rsid w:val="3254032E"/>
    <w:rsid w:val="325D7BAC"/>
    <w:rsid w:val="32A4229E"/>
    <w:rsid w:val="32CA5AA2"/>
    <w:rsid w:val="33A66D6E"/>
    <w:rsid w:val="33CE71A5"/>
    <w:rsid w:val="35C44201"/>
    <w:rsid w:val="376033EE"/>
    <w:rsid w:val="37DA5F5D"/>
    <w:rsid w:val="384D4FC9"/>
    <w:rsid w:val="3A9B19D4"/>
    <w:rsid w:val="3C93693C"/>
    <w:rsid w:val="3DC145DF"/>
    <w:rsid w:val="3EDB6370"/>
    <w:rsid w:val="3F0D4721"/>
    <w:rsid w:val="41187255"/>
    <w:rsid w:val="41E91C61"/>
    <w:rsid w:val="474E6296"/>
    <w:rsid w:val="476D2917"/>
    <w:rsid w:val="479D5F50"/>
    <w:rsid w:val="48DE27B4"/>
    <w:rsid w:val="4A9505B7"/>
    <w:rsid w:val="4AE449D4"/>
    <w:rsid w:val="4D2B0AE8"/>
    <w:rsid w:val="50A224C3"/>
    <w:rsid w:val="50CE0262"/>
    <w:rsid w:val="51BB6377"/>
    <w:rsid w:val="535A3AA7"/>
    <w:rsid w:val="5474181A"/>
    <w:rsid w:val="54C46226"/>
    <w:rsid w:val="55855F1F"/>
    <w:rsid w:val="572D3B18"/>
    <w:rsid w:val="57E35FCE"/>
    <w:rsid w:val="5879258D"/>
    <w:rsid w:val="598A4E55"/>
    <w:rsid w:val="5A4F5EDF"/>
    <w:rsid w:val="5B022E7C"/>
    <w:rsid w:val="5B811555"/>
    <w:rsid w:val="5C6E35A5"/>
    <w:rsid w:val="5DCE2B66"/>
    <w:rsid w:val="5F5F150E"/>
    <w:rsid w:val="6118702B"/>
    <w:rsid w:val="62BB6808"/>
    <w:rsid w:val="631B2E02"/>
    <w:rsid w:val="644767AE"/>
    <w:rsid w:val="66335ADF"/>
    <w:rsid w:val="68043894"/>
    <w:rsid w:val="6AAB51EE"/>
    <w:rsid w:val="6ADD3951"/>
    <w:rsid w:val="6C0006DE"/>
    <w:rsid w:val="6D4B15EF"/>
    <w:rsid w:val="6F767451"/>
    <w:rsid w:val="712D49C8"/>
    <w:rsid w:val="73A56F15"/>
    <w:rsid w:val="73DA1C80"/>
    <w:rsid w:val="74016BA4"/>
    <w:rsid w:val="75E17C13"/>
    <w:rsid w:val="76BB072D"/>
    <w:rsid w:val="78853969"/>
    <w:rsid w:val="7B86755B"/>
    <w:rsid w:val="7CBA1DFE"/>
    <w:rsid w:val="7CD97B5E"/>
    <w:rsid w:val="7CFB0F2E"/>
    <w:rsid w:val="7D067899"/>
    <w:rsid w:val="7DBE6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360" w:lineRule="auto"/>
      <w:ind w:firstLine="420" w:firstLineChars="200"/>
      <w:textAlignment w:val="baseline"/>
    </w:pPr>
    <w:rPr>
      <w:rFonts w:ascii="Arial" w:hAnsi="Arial" w:eastAsia="宋体" w:cs="Arial"/>
      <w:snapToGrid w:val="0"/>
      <w:color w:val="000000"/>
      <w:sz w:val="28"/>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7">
    <w:name w:val="font11"/>
    <w:basedOn w:val="5"/>
    <w:qFormat/>
    <w:uiPriority w:val="0"/>
    <w:rPr>
      <w:rFonts w:hint="eastAsia" w:ascii="宋体" w:hAnsi="宋体" w:eastAsia="宋体" w:cs="宋体"/>
      <w:color w:val="000000"/>
      <w:sz w:val="20"/>
      <w:szCs w:val="20"/>
      <w:u w:val="none"/>
    </w:rPr>
  </w:style>
  <w:style w:type="character" w:customStyle="1" w:styleId="8">
    <w:name w:val="font31"/>
    <w:basedOn w:val="5"/>
    <w:qFormat/>
    <w:uiPriority w:val="0"/>
    <w:rPr>
      <w:rFonts w:hint="eastAsia" w:ascii="宋体" w:hAnsi="宋体" w:eastAsia="宋体" w:cs="宋体"/>
      <w:color w:val="000000"/>
      <w:sz w:val="24"/>
      <w:szCs w:val="24"/>
      <w:u w:val="none"/>
    </w:rPr>
  </w:style>
  <w:style w:type="character" w:customStyle="1" w:styleId="9">
    <w:name w:val="页脚 Char"/>
    <w:basedOn w:val="5"/>
    <w:link w:val="2"/>
    <w:qFormat/>
    <w:uiPriority w:val="0"/>
    <w:rPr>
      <w:rFonts w:eastAsia="Arial"/>
      <w:snapToGrid w:val="0"/>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17</Pages>
  <Words>8058</Words>
  <Characters>8784</Characters>
  <Lines>28</Lines>
  <Paragraphs>8</Paragraphs>
  <TotalTime>10</TotalTime>
  <ScaleCrop>false</ScaleCrop>
  <LinksUpToDate>false</LinksUpToDate>
  <CharactersWithSpaces>8804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苞米爱啃窝窝头</cp:lastModifiedBy>
  <dcterms:modified xsi:type="dcterms:W3CDTF">2023-03-27T03:05:38Z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2052-11.1.0.13703</vt:lpwstr>
  </property>
  <property fmtid="{D5CDD505-2E9C-101B-9397-08002B2CF9AE}" pid="5" name="ICV">
    <vt:lpwstr>88DC4E5DA5774A45A9990BB4EE0325F1</vt:lpwstr>
  </property>
</Properties>
</file>