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ind w:left="0" w:leftChars="0" w:firstLine="0" w:firstLineChars="0"/>
        <w:jc w:val="center"/>
      </w:pPr>
      <w:bookmarkStart w:id="0" w:name="_GoBack"/>
      <w:bookmarkEnd w:id="0"/>
      <w:r>
        <w:rPr>
          <w:rFonts w:hint="eastAsia"/>
          <w:lang w:eastAsia="zh-CN"/>
        </w:rPr>
        <w:t>浮梁县林业局</w:t>
      </w:r>
      <w:r>
        <w:t>部门整体支出绩效自评报告</w:t>
      </w:r>
    </w:p>
    <w:p>
      <w:pPr>
        <w:pStyle w:val="3"/>
        <w:bidi w:val="0"/>
        <w:ind w:left="0" w:leftChars="0" w:firstLine="0" w:firstLineChars="0"/>
        <w:jc w:val="center"/>
      </w:pPr>
      <w:r>
        <w:t>（2021年度）</w:t>
      </w:r>
    </w:p>
    <w:p>
      <w:pPr>
        <w:ind w:firstLine="0" w:firstLineChars="0"/>
      </w:pPr>
      <w:r>
        <w:rPr>
          <w:rFonts w:hint="eastAsia"/>
        </w:rPr>
        <w:t>县财政局：</w:t>
      </w:r>
    </w:p>
    <w:p>
      <w:pPr>
        <w:ind w:firstLine="560"/>
        <w:rPr>
          <w:rFonts w:hint="eastAsia"/>
          <w:lang w:eastAsia="zh-CN"/>
        </w:rPr>
      </w:pPr>
      <w:r>
        <w:rPr>
          <w:rFonts w:hint="eastAsia"/>
        </w:rPr>
        <w:t>根据《关于做好2021年预算绩效管理有关工作的通知》，我局按照文件要求组织开展了202</w:t>
      </w:r>
      <w:r>
        <w:rPr>
          <w:rFonts w:hint="eastAsia"/>
          <w:lang w:val="en-US" w:eastAsia="zh-CN"/>
        </w:rPr>
        <w:t>1</w:t>
      </w:r>
      <w:r>
        <w:rPr>
          <w:rFonts w:hint="eastAsia"/>
        </w:rPr>
        <w:t>年项目支出绩效自评工作，现将有关情况报告如下</w:t>
      </w:r>
      <w:r>
        <w:rPr>
          <w:rFonts w:hint="eastAsia"/>
          <w:lang w:eastAsia="zh-CN"/>
        </w:rPr>
        <w:t>。</w:t>
      </w:r>
    </w:p>
    <w:p>
      <w:pPr>
        <w:pStyle w:val="4"/>
        <w:bidi w:val="0"/>
        <w:rPr>
          <w:rFonts w:hint="eastAsia"/>
        </w:rPr>
      </w:pPr>
      <w:r>
        <w:rPr>
          <w:rFonts w:hint="eastAsia"/>
        </w:rPr>
        <w:t>一、部门概况</w:t>
      </w:r>
    </w:p>
    <w:p>
      <w:pPr>
        <w:pStyle w:val="5"/>
        <w:bidi w:val="0"/>
      </w:pPr>
      <w:r>
        <w:t>（一）部门主要职责职能，组织架构、人员及资产等基本情况。</w:t>
      </w:r>
    </w:p>
    <w:p>
      <w:pPr>
        <w:pStyle w:val="6"/>
        <w:bidi w:val="0"/>
        <w:rPr>
          <w:rFonts w:hint="eastAsia"/>
          <w:lang w:val="en-US" w:eastAsia="zh-CN"/>
        </w:rPr>
      </w:pPr>
      <w:r>
        <w:rPr>
          <w:rFonts w:hint="eastAsia"/>
          <w:lang w:val="en-US" w:eastAsia="zh-CN"/>
        </w:rPr>
        <w:t>1、部门主要职能</w:t>
      </w:r>
    </w:p>
    <w:p>
      <w:pPr>
        <w:ind w:firstLine="560"/>
      </w:pPr>
      <w:r>
        <w:rPr>
          <w:rFonts w:hint="eastAsia"/>
        </w:rPr>
        <w:t xml:space="preserve"> 1.负责全县林业和草地及其生态保护修复的监督管理。拟订林业和草地及其生态保护修复的地方性政策、规划，并组织实施。组织开展全县森林、湿地、草地、荒漠和陆生野生动植物资源动态监测与评价。</w:t>
      </w:r>
    </w:p>
    <w:p>
      <w:pPr>
        <w:ind w:firstLine="560"/>
      </w:pPr>
      <w:r>
        <w:rPr>
          <w:rFonts w:hint="eastAsia"/>
        </w:rPr>
        <w:t>2.组织全县林业和草地生态保护修复和造林绿化工作。组织实施林业和草地重点生态保护修复工程，指导公益林和商品林的培育，指导、监督全民义务植树、城乡绿化工作。指导植树造林、封山育林和以植树种草等生物措施防治水土流失工作。指导林业有害生物防治检疫工作。承担林业应对气</w:t>
      </w:r>
      <w:r>
        <w:rPr>
          <w:rFonts w:hint="eastAsia"/>
          <w:lang w:eastAsia="zh-CN"/>
        </w:rPr>
        <w:t>候</w:t>
      </w:r>
      <w:r>
        <w:rPr>
          <w:rFonts w:hint="eastAsia"/>
        </w:rPr>
        <w:t>变化的相关工作。</w:t>
      </w:r>
    </w:p>
    <w:p>
      <w:pPr>
        <w:ind w:firstLine="560"/>
      </w:pPr>
      <w:r>
        <w:rPr>
          <w:rFonts w:hint="eastAsia"/>
        </w:rPr>
        <w:t>3.负责全县森林、湿地、草地资源的监督管理。组织编制并监督执行全县森林采伐限额。负责林地管理，拟订全县林地保护利用规划并组织实施。组织开展公益林划定和管理工作，监督管理国有森林资源。负责草地草畜平衡和草地生态修复治理工作，监督管理草地的开发利用。负责湿地生态保护修复工作，拟订全县湿地保护规划，组织实施建立湿地公园等保护管理工作，监督管理湿地的开发利用。</w:t>
      </w:r>
    </w:p>
    <w:p>
      <w:pPr>
        <w:ind w:firstLine="560"/>
      </w:pPr>
      <w:r>
        <w:rPr>
          <w:rFonts w:hint="eastAsia"/>
        </w:rPr>
        <w:t>4.负责监督管理全县防沙治沙工作，组织开展沙化土地调查，组织拟订防沙治沙、沙化土地封禁保护区建设规划，监督管理沙化土地的开发利用。</w:t>
      </w:r>
    </w:p>
    <w:p>
      <w:pPr>
        <w:ind w:firstLine="560"/>
      </w:pPr>
      <w:r>
        <w:rPr>
          <w:rFonts w:hint="eastAsia"/>
        </w:rPr>
        <w:t>5.负责全县陆生野生动植物资源监督管理。组织开展陆生野生动植物资源调查，指导陆生野生动植物的救护繁育、栖息地恢复发展、疫源疫病监测，监督管理陆生野生动植物猎捕或采集、驯养繁殖或培植、经营利用、按分工监督管理野生动植物进出口。</w:t>
      </w:r>
    </w:p>
    <w:p>
      <w:pPr>
        <w:ind w:firstLine="560"/>
      </w:pPr>
      <w:r>
        <w:rPr>
          <w:rFonts w:hint="eastAsia"/>
        </w:rPr>
        <w:t>6.负责监督管理全县各类自然保护地。拟订各类自然保护地規划和相关实施方案。提出新建、调整各类自然保护地的审核建议并按程序报批，组织世界自然遗产的申报，会同有关部门审核世界自然与文化双重遗产的申报。负责生物多样性保护相关工作。</w:t>
      </w:r>
    </w:p>
    <w:p>
      <w:pPr>
        <w:ind w:firstLine="560"/>
      </w:pPr>
      <w:r>
        <w:rPr>
          <w:rFonts w:hint="eastAsia"/>
        </w:rPr>
        <w:t>7.负责推进全县林业和草地改革相关工作。拟订全县集体林权制度等重大改革实施意见并监督实施。拟订农村林业发展、维护林业经营者合法权益的政策措施，指导农村林地承包经营工作。负责天然林保护工作。</w:t>
      </w:r>
    </w:p>
    <w:p>
      <w:pPr>
        <w:ind w:firstLine="560"/>
      </w:pPr>
      <w:r>
        <w:rPr>
          <w:rFonts w:hint="eastAsia"/>
        </w:rPr>
        <w:t>8.拟订全县林业产业发展规划和产业政策，指导和推动林业产业高质量发展。依法负责对全县林区林业专用公路的管理。拟订林业和草地资源优化配置及木材利用政策，开展相关林业产业地方标准的监督实施，组织指导林产品质量监督。指导生态扶贫相关工作。</w:t>
      </w:r>
    </w:p>
    <w:p>
      <w:pPr>
        <w:ind w:firstLine="560"/>
      </w:pPr>
      <w:r>
        <w:rPr>
          <w:rFonts w:hint="eastAsia"/>
        </w:rPr>
        <w:t>9.指导全县国有林场改革、基本建设和发展，组织林木种子、草种种质资源普查，组织建立种质资源库，负责良种选育推广，管理林木种苗、草种生产经营行为，监管林木种苗、草种质量。监督管理林业和草地生物种质资源、转基因生物安全、植物新品种保护。</w:t>
      </w:r>
    </w:p>
    <w:p>
      <w:pPr>
        <w:ind w:firstLine="560"/>
      </w:pPr>
      <w:r>
        <w:rPr>
          <w:rFonts w:hint="eastAsia"/>
        </w:rPr>
        <w:t>10.负责落实综合防灾减灾规划相关要求，组织编制森林和草地火灾防治规划和防护标准并指导实施，指导林业和草地有害生物防治、检疫工作。指导开展防火巡护、火源管理、防火设施建设等工作。组织指导国有林场开展宣传教育、监测预警、督促检查等防火工作。必要时，可以提请县应急管理局，以县应急指挥机构名义，部署相关防治工作。</w:t>
      </w:r>
    </w:p>
    <w:p>
      <w:pPr>
        <w:ind w:firstLine="560"/>
      </w:pPr>
      <w:r>
        <w:rPr>
          <w:rFonts w:hint="eastAsia"/>
        </w:rPr>
        <w:t>11.承担林业安全生产监督管理职责，指导、协调林业企事业单位的森林采伐和林产品加工生产经营中的安全监督管理工作，负责所属企事业单位的安全生产管理。</w:t>
      </w:r>
    </w:p>
    <w:p>
      <w:pPr>
        <w:ind w:firstLine="560"/>
      </w:pPr>
      <w:r>
        <w:rPr>
          <w:rFonts w:hint="eastAsia"/>
        </w:rPr>
        <w:t>12.负责林业行业生态环境保护和节能减排工作，督促指导相关单位落实生态环境保护责任制。</w:t>
      </w:r>
    </w:p>
    <w:p>
      <w:pPr>
        <w:ind w:firstLine="560"/>
      </w:pPr>
      <w:r>
        <w:rPr>
          <w:rFonts w:hint="eastAsia"/>
        </w:rPr>
        <w:t>13.监督管理林业和草地项目资全和国有资产，提出林业和草地预算内投资，县级财政性资金安排建议，指导全县林业基本建设工作，组织申报重点林业建设项目，参与拟订林业和草地经济调节政策，组织实施林业和草地生态补偿工作。</w:t>
      </w:r>
    </w:p>
    <w:p>
      <w:pPr>
        <w:ind w:firstLine="560"/>
      </w:pPr>
      <w:r>
        <w:rPr>
          <w:rFonts w:hint="eastAsia"/>
        </w:rPr>
        <w:t>14.负责全县林业系统科技、教育工作，指导全县林业系统人才队伍建设。组织实施林业对外合作事务，承担湿地、防治荒漠化、濒危野生动植物等国际公约在县内履约工作。</w:t>
      </w:r>
    </w:p>
    <w:p>
      <w:pPr>
        <w:ind w:firstLine="560"/>
        <w:rPr>
          <w:rFonts w:hint="eastAsia"/>
          <w:lang w:val="en-US" w:eastAsia="zh-CN"/>
        </w:rPr>
      </w:pPr>
      <w:r>
        <w:rPr>
          <w:rFonts w:hint="eastAsia"/>
        </w:rPr>
        <w:t>15.完成县委、县政府交办的其他任务。</w:t>
      </w:r>
    </w:p>
    <w:p>
      <w:pPr>
        <w:pStyle w:val="6"/>
        <w:bidi w:val="0"/>
        <w:rPr>
          <w:rFonts w:hint="eastAsia"/>
          <w:lang w:val="en-US" w:eastAsia="zh-CN"/>
        </w:rPr>
      </w:pPr>
      <w:r>
        <w:rPr>
          <w:rFonts w:hint="eastAsia"/>
          <w:lang w:val="en-US" w:eastAsia="zh-CN"/>
        </w:rPr>
        <w:t>2、组织架构及人员情况</w:t>
      </w:r>
    </w:p>
    <w:p>
      <w:pPr>
        <w:ind w:firstLine="560"/>
        <w:rPr>
          <w:color w:val="auto"/>
          <w:shd w:val="clear" w:color="auto" w:fill="auto"/>
        </w:rPr>
      </w:pPr>
      <w:r>
        <w:t>本部门机构设置范围</w:t>
      </w:r>
      <w:r>
        <w:rPr>
          <w:rFonts w:hint="eastAsia"/>
        </w:rPr>
        <w:t>为</w:t>
      </w:r>
      <w:r>
        <w:t>行政单位，包括:林业局机关、浮梁县森林资源监测中心、林业产权管理办公室、野生动植物保护管理局、森林病虫害防治检疫站、黄字号黑麂自然保</w:t>
      </w:r>
      <w:r>
        <w:rPr>
          <w:color w:val="auto"/>
        </w:rPr>
        <w:t>护管理局、浮梁县林业产业发展管理局、</w:t>
      </w:r>
      <w:r>
        <w:rPr>
          <w:rFonts w:hint="eastAsia"/>
          <w:color w:val="auto"/>
        </w:rPr>
        <w:t>木竹检查总站、银坞林场</w:t>
      </w:r>
      <w:r>
        <w:rPr>
          <w:color w:val="auto"/>
        </w:rPr>
        <w:t>。本部门</w:t>
      </w:r>
      <w:r>
        <w:rPr>
          <w:color w:val="auto"/>
          <w:shd w:val="clear" w:color="auto" w:fill="auto"/>
        </w:rPr>
        <w:t>20</w:t>
      </w:r>
      <w:r>
        <w:rPr>
          <w:rFonts w:hint="eastAsia"/>
          <w:color w:val="auto"/>
          <w:shd w:val="clear" w:color="auto" w:fill="auto"/>
        </w:rPr>
        <w:t>2</w:t>
      </w:r>
      <w:r>
        <w:rPr>
          <w:rFonts w:hint="eastAsia"/>
          <w:color w:val="auto"/>
          <w:shd w:val="clear" w:color="auto" w:fill="auto"/>
          <w:lang w:val="en-US" w:eastAsia="zh-CN"/>
        </w:rPr>
        <w:t>1</w:t>
      </w:r>
      <w:r>
        <w:rPr>
          <w:color w:val="auto"/>
          <w:shd w:val="clear" w:color="auto" w:fill="auto"/>
        </w:rPr>
        <w:t>年年末在职人数</w:t>
      </w:r>
      <w:r>
        <w:rPr>
          <w:rFonts w:hint="eastAsia"/>
          <w:color w:val="auto"/>
          <w:shd w:val="clear" w:color="auto" w:fill="auto"/>
          <w:lang w:val="en-US" w:eastAsia="zh-CN"/>
        </w:rPr>
        <w:t>121</w:t>
      </w:r>
      <w:r>
        <w:rPr>
          <w:color w:val="auto"/>
          <w:shd w:val="clear" w:color="auto" w:fill="auto"/>
        </w:rPr>
        <w:t>人。其中行政编制</w:t>
      </w:r>
      <w:r>
        <w:rPr>
          <w:rFonts w:hint="eastAsia"/>
          <w:color w:val="auto"/>
          <w:shd w:val="clear" w:color="auto" w:fill="auto"/>
        </w:rPr>
        <w:t>16</w:t>
      </w:r>
      <w:r>
        <w:rPr>
          <w:color w:val="auto"/>
          <w:shd w:val="clear" w:color="auto" w:fill="auto"/>
        </w:rPr>
        <w:t>人，</w:t>
      </w:r>
      <w:r>
        <w:rPr>
          <w:rFonts w:hint="eastAsia"/>
          <w:color w:val="auto"/>
          <w:shd w:val="clear" w:color="auto" w:fill="auto"/>
        </w:rPr>
        <w:t>非参公事业人员</w:t>
      </w:r>
      <w:r>
        <w:rPr>
          <w:rFonts w:hint="eastAsia"/>
          <w:color w:val="auto"/>
          <w:shd w:val="clear" w:color="auto" w:fill="auto"/>
          <w:lang w:val="en-US" w:eastAsia="zh-CN"/>
        </w:rPr>
        <w:t>105</w:t>
      </w:r>
      <w:r>
        <w:rPr>
          <w:rFonts w:hint="eastAsia"/>
          <w:color w:val="auto"/>
          <w:shd w:val="clear" w:color="auto" w:fill="auto"/>
        </w:rPr>
        <w:t>人。</w:t>
      </w:r>
    </w:p>
    <w:p>
      <w:pPr>
        <w:pStyle w:val="6"/>
        <w:numPr>
          <w:ilvl w:val="0"/>
          <w:numId w:val="1"/>
        </w:numPr>
        <w:bidi w:val="0"/>
        <w:rPr>
          <w:rFonts w:hint="eastAsia"/>
          <w:lang w:val="en-US" w:eastAsia="zh-CN"/>
        </w:rPr>
      </w:pPr>
      <w:r>
        <w:rPr>
          <w:rFonts w:hint="eastAsia"/>
          <w:lang w:val="en-US" w:eastAsia="zh-CN"/>
        </w:rPr>
        <w:t>部门资产情况</w:t>
      </w:r>
    </w:p>
    <w:p>
      <w:pPr>
        <w:bidi w:val="0"/>
      </w:pPr>
      <w:r>
        <w:rPr>
          <w:rFonts w:hint="eastAsia"/>
        </w:rPr>
        <w:t>本单位2021年资产总额为79,699,275.88元，主要是其他非流动资产，44,264,943.91元，占比55.54%。其中货币资金9,675,337.68元，固定资产14,991,470.95元，政府储备物资0.00元，公共基础设施0.00元。</w:t>
      </w:r>
    </w:p>
    <w:p>
      <w:pPr>
        <w:bidi w:val="0"/>
        <w:rPr>
          <w:rFonts w:hint="eastAsia"/>
        </w:rPr>
      </w:pPr>
      <w:r>
        <w:rPr>
          <w:rFonts w:hint="eastAsia"/>
        </w:rPr>
        <w:t>本单位2021年负债总额为34,019,779.98元，主要是长期借款，20,530,587.22元，占比60.35%。其中短期借款0.00元，长期借款20,530,587.22元。</w:t>
      </w:r>
    </w:p>
    <w:p>
      <w:pPr>
        <w:bidi w:val="0"/>
        <w:rPr>
          <w:rFonts w:hint="default"/>
          <w:lang w:val="en-US" w:eastAsia="zh-CN"/>
        </w:rPr>
      </w:pPr>
      <w:r>
        <w:rPr>
          <w:rFonts w:hint="eastAsia"/>
        </w:rPr>
        <w:t>资产负债率42.69%，现金比率71.73%，流动比率129.04%。固定资产成新率68.18%。</w:t>
      </w:r>
    </w:p>
    <w:p>
      <w:pPr>
        <w:pStyle w:val="5"/>
        <w:numPr>
          <w:ilvl w:val="0"/>
          <w:numId w:val="2"/>
        </w:numPr>
        <w:bidi w:val="0"/>
      </w:pPr>
      <w:r>
        <w:t>当年部门履职总体目标、工作任务。</w:t>
      </w:r>
    </w:p>
    <w:p>
      <w:pPr>
        <w:pStyle w:val="6"/>
        <w:numPr>
          <w:ilvl w:val="0"/>
          <w:numId w:val="3"/>
        </w:numPr>
        <w:bidi w:val="0"/>
        <w:rPr>
          <w:rFonts w:hint="eastAsia"/>
          <w:lang w:val="en-US" w:eastAsia="zh-CN"/>
        </w:rPr>
      </w:pPr>
      <w:r>
        <w:rPr>
          <w:rFonts w:hint="eastAsia"/>
          <w:lang w:val="en-US" w:eastAsia="zh-CN"/>
        </w:rPr>
        <w:t>总体目标</w:t>
      </w:r>
    </w:p>
    <w:p>
      <w:pPr>
        <w:bidi w:val="0"/>
        <w:rPr>
          <w:rFonts w:hint="eastAsia"/>
          <w:lang w:val="en-US" w:eastAsia="zh-CN"/>
        </w:rPr>
      </w:pPr>
      <w:r>
        <w:t>认真贯彻落实习近平新时代中国特色社会主义思想和生态文明建设理念，将林业工作主动融入全县经济社会发展大局，</w:t>
      </w:r>
      <w:r>
        <w:rPr>
          <w:rFonts w:hint="eastAsia"/>
          <w:lang w:eastAsia="zh-CN"/>
        </w:rPr>
        <w:t>认真</w:t>
      </w:r>
      <w:r>
        <w:t>完成各项林业工作任务。</w:t>
      </w:r>
    </w:p>
    <w:p>
      <w:pPr>
        <w:pStyle w:val="6"/>
        <w:numPr>
          <w:ilvl w:val="0"/>
          <w:numId w:val="3"/>
        </w:numPr>
        <w:bidi w:val="0"/>
        <w:rPr>
          <w:rFonts w:hint="eastAsia"/>
          <w:lang w:val="en-US" w:eastAsia="zh-CN"/>
        </w:rPr>
      </w:pPr>
      <w:r>
        <w:rPr>
          <w:rFonts w:hint="eastAsia"/>
          <w:lang w:val="en-US" w:eastAsia="zh-CN"/>
        </w:rPr>
        <w:t>工作任务</w:t>
      </w:r>
    </w:p>
    <w:p>
      <w:pPr>
        <w:bidi w:val="0"/>
      </w:pPr>
      <w:r>
        <w:t>（一）林业改革走向深入。一是林长制改革进一步提升。严格落实林长巡林工作制度，及时调整和完善村级“一长两员”队伍建设；扎实做好林长制巡护系统普及应用；有效落实巡林制度。二是集体林权制度改革不断深化。持续巩固县、乡、村三级林权流转管理服务体系建设。三是机构改革全面完成。按照县委推进机构改革的决策部署，统一思想认识，服从工作大局，切实做好局属事业单位人员转隶、资产移交、职能划转等工作。</w:t>
      </w:r>
    </w:p>
    <w:p>
      <w:pPr>
        <w:bidi w:val="0"/>
      </w:pPr>
      <w:r>
        <w:t>（二）国土绿化稳步推进。一是统筹抓好造林工作。今年完成营造林面积13.62万亩；扎实推进营造林项目建设，实施造林补助、森林抚育、油茶低改等营造林项目4.2万亩，建设森林“四化”面积1212亩，完成场外造林面积1068亩。二是精心打造示范建设。实施县级天然林抚育改造示范5000亩，通道两侧森林美化、彩化改造示范300亩，油茶低产林改造示范100亩，建设乡村绿化美化示范点2个。</w:t>
      </w:r>
    </w:p>
    <w:p>
      <w:pPr>
        <w:bidi w:val="0"/>
      </w:pPr>
      <w:r>
        <w:t>（三）资源保护持续强化。一是野生动植物保护力度不减。切实加强人工繁育野生动物处置后续跟踪监管，做到了“事故零发生”；认真开展自然保护区野外监测；建立健全湿地考核体系，制定了《浮梁县2021年湿地保护专项行动工作方案》。二是林政资源管理力度不减。扎实开展森林督查，对问题图斑全部销号，对国家下发的2021年度795个变化图斑全部完成外业核查，下步将迅速抓好问题整改。三是严格林地审核审批。今年以来严格林地审核审批，督促用地单位对到期临时用地恢复植被540亩。四是林业执法力度不减。严厉打击破坏森林资源行为，组织开展全县打击毁林专项行动，全县案件发生率、案件性质均呈下降趋势。</w:t>
      </w:r>
    </w:p>
    <w:p>
      <w:pPr>
        <w:bidi w:val="0"/>
      </w:pPr>
      <w:r>
        <w:t>（四）灾害防控不断增强。不断强化森林防火责任制落实，扎实推进森林火灾风险普查，积极开展野外火源治理和查处违规用火行为等专项行动，全县火灾受害率低于省定目标0.5‰；扎实开展林业有害生物防治，今年共清理枯死松树13595株，就地粉碎（削片）1589吨</w:t>
      </w:r>
      <w:r>
        <w:rPr>
          <w:rFonts w:hint="eastAsia"/>
          <w:lang w:eastAsia="zh-CN"/>
        </w:rPr>
        <w:t>，</w:t>
      </w:r>
      <w:r>
        <w:t>完成计划松褐天牛综合治理任务的100%。</w:t>
      </w:r>
    </w:p>
    <w:p>
      <w:pPr>
        <w:bidi w:val="0"/>
        <w:rPr>
          <w:rFonts w:hint="eastAsia"/>
          <w:lang w:val="en-US" w:eastAsia="zh-CN"/>
        </w:rPr>
      </w:pPr>
      <w:r>
        <w:t>（五）绿色产业方兴未艾。一是稳步发展传统产业，完成高产油茶4690.8亩（其中：人工造林和更新改造2098.7亩、抚育改造2592.1亩），发展彩虹杨等精品苗木培育基地面积1000亩，实施毛竹低改5400亩，发展森林中药材884亩;二是积极发展森林休闲产业，成功申报省级森林康养基地2处，创建省级森林乡村示范6处，省级森林经营样板基地建设1处；三是健全金融扶持和森林保险机制，共办理财政惠农信贷通6宗，贷款金额550万；进一步扩大森林保险覆盖面，办理森林灾害保险面积209.7亩（除洪源镇），投保金额10.6亿元，保险参保率达65.2％</w:t>
      </w:r>
    </w:p>
    <w:p>
      <w:pPr>
        <w:pStyle w:val="5"/>
        <w:numPr>
          <w:ilvl w:val="0"/>
          <w:numId w:val="2"/>
        </w:numPr>
        <w:bidi w:val="0"/>
        <w:ind w:left="0" w:leftChars="0" w:firstLine="640" w:firstLineChars="200"/>
      </w:pPr>
      <w:r>
        <w:t>当年部门年度整体支出绩效目标。</w:t>
      </w:r>
    </w:p>
    <w:p>
      <w:pPr>
        <w:rPr>
          <w:rFonts w:hint="eastAsia"/>
          <w:lang w:val="en-US" w:eastAsia="zh-CN"/>
        </w:rPr>
      </w:pPr>
      <w:r>
        <w:rPr>
          <w:rFonts w:hint="eastAsia"/>
          <w:lang w:val="en-US" w:eastAsia="zh-CN"/>
        </w:rPr>
        <w:t>1.做好全县森林资源保护与管理。</w:t>
      </w:r>
    </w:p>
    <w:p>
      <w:pPr>
        <w:numPr>
          <w:ilvl w:val="0"/>
          <w:numId w:val="0"/>
        </w:numPr>
        <w:ind w:leftChars="200"/>
      </w:pPr>
      <w:r>
        <w:rPr>
          <w:rFonts w:hint="eastAsia"/>
          <w:lang w:val="en-US" w:eastAsia="zh-CN"/>
        </w:rPr>
        <w:t>2.保障人员工资、公用经费，确保林业各项工作顺利开展。</w:t>
      </w:r>
    </w:p>
    <w:p>
      <w:pPr>
        <w:pStyle w:val="5"/>
        <w:bidi w:val="0"/>
      </w:pPr>
      <w:r>
        <w:t>（四）部门预算绩效管理开展情况。</w:t>
      </w:r>
    </w:p>
    <w:p>
      <w:pPr>
        <w:ind w:firstLine="560"/>
      </w:pPr>
      <w:r>
        <w:rPr>
          <w:rFonts w:hint="eastAsia"/>
        </w:rPr>
        <w:t>1. 数据采集：采集进行绩效评价所需的相关数据，包括部门财务决算、财务凭证、项目基本信息、项目经费、项目申请书、项目协议、项目成果以及统计年鉴等。</w:t>
      </w:r>
    </w:p>
    <w:p>
      <w:pPr>
        <w:ind w:firstLine="560"/>
      </w:pPr>
      <w:r>
        <w:rPr>
          <w:rFonts w:hint="eastAsia"/>
        </w:rPr>
        <w:t>2. 数据分析和报告撰写：根据绩效评价的原理和规范，对采集的数据进行分析和评分，提炼结论，撰写报告，并不断修正完善，在规定的时间内上报县财政绩效评价股。</w:t>
      </w:r>
    </w:p>
    <w:p>
      <w:pPr>
        <w:pStyle w:val="5"/>
        <w:bidi w:val="0"/>
      </w:pPr>
      <w:r>
        <w:t>（五）当年部门预算及执行情况。</w:t>
      </w:r>
    </w:p>
    <w:p>
      <w:pPr>
        <w:pStyle w:val="6"/>
        <w:bidi w:val="0"/>
        <w:rPr>
          <w:rFonts w:hint="eastAsia"/>
        </w:rPr>
      </w:pPr>
      <w:r>
        <w:rPr>
          <w:rFonts w:hint="eastAsia"/>
        </w:rPr>
        <w:t>1、部门预算情况</w:t>
      </w:r>
    </w:p>
    <w:p>
      <w:pPr>
        <w:rPr>
          <w:rFonts w:hint="eastAsia"/>
          <w:shd w:val="clear" w:color="auto" w:fill="auto"/>
        </w:rPr>
      </w:pPr>
      <w:r>
        <w:rPr>
          <w:rFonts w:hint="eastAsia"/>
          <w:shd w:val="clear" w:color="auto" w:fill="auto"/>
        </w:rPr>
        <w:t>202</w:t>
      </w:r>
      <w:r>
        <w:rPr>
          <w:rFonts w:hint="eastAsia"/>
          <w:shd w:val="clear" w:color="auto" w:fill="auto"/>
          <w:lang w:val="en-US" w:eastAsia="zh-CN"/>
        </w:rPr>
        <w:t>1</w:t>
      </w:r>
      <w:r>
        <w:rPr>
          <w:rFonts w:hint="eastAsia"/>
          <w:shd w:val="clear" w:color="auto" w:fill="auto"/>
        </w:rPr>
        <w:t>年预算总额为45</w:t>
      </w:r>
      <w:r>
        <w:rPr>
          <w:rFonts w:hint="eastAsia"/>
          <w:shd w:val="clear" w:color="auto" w:fill="auto"/>
          <w:lang w:val="en-US" w:eastAsia="zh-CN"/>
        </w:rPr>
        <w:t>26</w:t>
      </w:r>
      <w:r>
        <w:rPr>
          <w:rFonts w:hint="eastAsia"/>
          <w:shd w:val="clear" w:color="auto" w:fill="auto"/>
        </w:rPr>
        <w:t>.194万元，资金来源为财政拨款45</w:t>
      </w:r>
      <w:r>
        <w:rPr>
          <w:rFonts w:hint="eastAsia"/>
          <w:shd w:val="clear" w:color="auto" w:fill="auto"/>
          <w:lang w:val="en-US" w:eastAsia="zh-CN"/>
        </w:rPr>
        <w:t>26</w:t>
      </w:r>
      <w:r>
        <w:rPr>
          <w:rFonts w:hint="eastAsia"/>
          <w:shd w:val="clear" w:color="auto" w:fill="auto"/>
        </w:rPr>
        <w:t>.194万元；本年基本支出2637.17万元，本年项目支出18</w:t>
      </w:r>
      <w:r>
        <w:rPr>
          <w:rFonts w:hint="eastAsia"/>
          <w:shd w:val="clear" w:color="auto" w:fill="auto"/>
          <w:lang w:val="en-US" w:eastAsia="zh-CN"/>
        </w:rPr>
        <w:t>89</w:t>
      </w:r>
      <w:r>
        <w:rPr>
          <w:rFonts w:hint="eastAsia"/>
          <w:shd w:val="clear" w:color="auto" w:fill="auto"/>
        </w:rPr>
        <w:t>.024万元。</w:t>
      </w:r>
    </w:p>
    <w:p>
      <w:pPr>
        <w:pStyle w:val="6"/>
        <w:bidi w:val="0"/>
        <w:rPr>
          <w:rFonts w:hint="eastAsia"/>
        </w:rPr>
      </w:pPr>
      <w:r>
        <w:rPr>
          <w:rFonts w:hint="eastAsia"/>
        </w:rPr>
        <w:t>2、预算执行情况</w:t>
      </w:r>
    </w:p>
    <w:p>
      <w:pPr>
        <w:rPr>
          <w:shd w:val="clear" w:color="auto" w:fill="auto"/>
        </w:rPr>
      </w:pPr>
      <w:r>
        <w:rPr>
          <w:rFonts w:hint="eastAsia"/>
          <w:shd w:val="clear" w:color="auto" w:fill="auto"/>
        </w:rPr>
        <w:t>202</w:t>
      </w:r>
      <w:r>
        <w:rPr>
          <w:rFonts w:hint="eastAsia"/>
          <w:shd w:val="clear" w:color="auto" w:fill="auto"/>
          <w:lang w:val="en-US" w:eastAsia="zh-CN"/>
        </w:rPr>
        <w:t>1</w:t>
      </w:r>
      <w:r>
        <w:rPr>
          <w:rFonts w:hint="eastAsia"/>
          <w:shd w:val="clear" w:color="auto" w:fill="auto"/>
        </w:rPr>
        <w:t>年全年支出执行数为44</w:t>
      </w:r>
      <w:r>
        <w:rPr>
          <w:rFonts w:hint="eastAsia"/>
          <w:shd w:val="clear" w:color="auto" w:fill="auto"/>
          <w:lang w:val="en-US" w:eastAsia="zh-CN"/>
        </w:rPr>
        <w:t>53.644</w:t>
      </w:r>
      <w:r>
        <w:rPr>
          <w:rFonts w:hint="eastAsia"/>
          <w:shd w:val="clear" w:color="auto" w:fill="auto"/>
        </w:rPr>
        <w:t>万元，预算执行率为98.</w:t>
      </w:r>
      <w:r>
        <w:rPr>
          <w:rFonts w:hint="eastAsia"/>
          <w:shd w:val="clear" w:color="auto" w:fill="auto"/>
          <w:lang w:val="en-US" w:eastAsia="zh-CN"/>
        </w:rPr>
        <w:t>4</w:t>
      </w:r>
      <w:r>
        <w:rPr>
          <w:rFonts w:hint="eastAsia"/>
          <w:shd w:val="clear" w:color="auto" w:fill="auto"/>
        </w:rPr>
        <w:t>%，预算执行总体情况良好。其中，基本支出2637.17万元，预算执行率</w:t>
      </w:r>
      <w:r>
        <w:rPr>
          <w:rFonts w:hint="eastAsia"/>
          <w:shd w:val="clear" w:color="auto" w:fill="auto"/>
          <w:lang w:val="en-US" w:eastAsia="zh-CN"/>
        </w:rPr>
        <w:t>100</w:t>
      </w:r>
      <w:r>
        <w:rPr>
          <w:rFonts w:hint="eastAsia"/>
          <w:shd w:val="clear" w:color="auto" w:fill="auto"/>
        </w:rPr>
        <w:t>%；项目支出18</w:t>
      </w:r>
      <w:r>
        <w:rPr>
          <w:rFonts w:hint="eastAsia"/>
          <w:shd w:val="clear" w:color="auto" w:fill="auto"/>
          <w:lang w:val="en-US" w:eastAsia="zh-CN"/>
        </w:rPr>
        <w:t>16.474</w:t>
      </w:r>
      <w:r>
        <w:rPr>
          <w:rFonts w:hint="eastAsia"/>
          <w:shd w:val="clear" w:color="auto" w:fill="auto"/>
        </w:rPr>
        <w:t>万元，预算执行率</w:t>
      </w:r>
      <w:r>
        <w:rPr>
          <w:rFonts w:hint="eastAsia"/>
          <w:shd w:val="clear" w:color="auto" w:fill="auto"/>
          <w:lang w:val="en-US" w:eastAsia="zh-CN"/>
        </w:rPr>
        <w:t>96.16</w:t>
      </w:r>
      <w:r>
        <w:rPr>
          <w:rFonts w:hint="eastAsia"/>
          <w:shd w:val="clear" w:color="auto" w:fill="auto"/>
        </w:rPr>
        <w:t>%。</w:t>
      </w:r>
    </w:p>
    <w:p>
      <w:pPr>
        <w:pStyle w:val="4"/>
        <w:numPr>
          <w:ilvl w:val="0"/>
          <w:numId w:val="4"/>
        </w:numPr>
        <w:bidi w:val="0"/>
        <w:rPr>
          <w:rFonts w:hint="eastAsia"/>
        </w:rPr>
      </w:pPr>
      <w:r>
        <w:rPr>
          <w:rFonts w:hint="eastAsia"/>
        </w:rPr>
        <w:t>部门整体支出绩效实现情况</w:t>
      </w:r>
    </w:p>
    <w:p>
      <w:pPr>
        <w:ind w:firstLine="560"/>
        <w:rPr>
          <w:shd w:val="clear" w:color="FFFFFF" w:fill="D9D9D9"/>
        </w:rPr>
      </w:pPr>
      <w:r>
        <w:rPr>
          <w:rFonts w:hint="eastAsia"/>
        </w:rPr>
        <w:t>部门整体支出能够根据履责需要科学合理编制预决算，不断完善和落实相关管理制度，从管理机制上规范预算执行，为有效履行职责和完成各项重点工作任务发挥了重要保障支撑作用。根据部门整体支出绩效评价指标体系和评分标准，</w:t>
      </w:r>
      <w:r>
        <w:rPr>
          <w:rFonts w:hint="eastAsia"/>
          <w:shd w:val="clear" w:color="auto" w:fill="auto"/>
        </w:rPr>
        <w:t>综合评定我局202</w:t>
      </w:r>
      <w:r>
        <w:rPr>
          <w:rFonts w:hint="eastAsia"/>
          <w:shd w:val="clear" w:color="auto" w:fill="auto"/>
          <w:lang w:val="en-US" w:eastAsia="zh-CN"/>
        </w:rPr>
        <w:t>1</w:t>
      </w:r>
      <w:r>
        <w:rPr>
          <w:rFonts w:hint="eastAsia"/>
          <w:shd w:val="clear" w:color="auto" w:fill="auto"/>
        </w:rPr>
        <w:t>年部门整体支出绩效得分为99.</w:t>
      </w:r>
      <w:r>
        <w:rPr>
          <w:rFonts w:hint="eastAsia"/>
          <w:shd w:val="clear" w:color="auto" w:fill="auto"/>
          <w:lang w:val="en-US" w:eastAsia="zh-CN"/>
        </w:rPr>
        <w:t>8</w:t>
      </w:r>
      <w:r>
        <w:rPr>
          <w:rFonts w:hint="eastAsia"/>
          <w:shd w:val="clear" w:color="auto" w:fill="auto"/>
        </w:rPr>
        <w:t>分，绩效等级为“优”。</w:t>
      </w:r>
    </w:p>
    <w:p>
      <w:pPr>
        <w:pStyle w:val="5"/>
        <w:numPr>
          <w:ilvl w:val="0"/>
          <w:numId w:val="5"/>
        </w:numPr>
        <w:bidi w:val="0"/>
      </w:pPr>
      <w:r>
        <w:t>履职完成情况</w:t>
      </w:r>
    </w:p>
    <w:p>
      <w:pPr>
        <w:pStyle w:val="6"/>
        <w:numPr>
          <w:ilvl w:val="0"/>
          <w:numId w:val="6"/>
        </w:numPr>
        <w:bidi w:val="0"/>
        <w:rPr>
          <w:rFonts w:hint="eastAsia"/>
          <w:lang w:val="en-US" w:eastAsia="zh-CN"/>
        </w:rPr>
      </w:pPr>
      <w:r>
        <w:rPr>
          <w:rFonts w:hint="eastAsia"/>
          <w:lang w:val="en-US" w:eastAsia="zh-CN"/>
        </w:rPr>
        <w:t>数量指标（指标分数6分，实际得分6分）</w:t>
      </w:r>
    </w:p>
    <w:tbl>
      <w:tblPr>
        <w:tblStyle w:val="9"/>
        <w:tblW w:w="7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89"/>
        <w:gridCol w:w="1185"/>
        <w:gridCol w:w="1086"/>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全年完成值</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保障在职职工工资、福利（人）</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乡镇林长办（个）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r>
    </w:tbl>
    <w:p>
      <w:pPr>
        <w:ind w:left="0" w:leftChars="0" w:firstLine="0" w:firstLineChars="0"/>
        <w:jc w:val="both"/>
        <w:rPr>
          <w:rFonts w:hint="eastAsia"/>
          <w:lang w:val="en-US" w:eastAsia="zh-CN"/>
        </w:rPr>
      </w:pPr>
    </w:p>
    <w:p>
      <w:pPr>
        <w:ind w:left="0" w:leftChars="0" w:firstLine="0" w:firstLineChars="0"/>
        <w:rPr>
          <w:rFonts w:hint="eastAsia"/>
          <w:lang w:val="en-US" w:eastAsia="zh-CN"/>
        </w:rPr>
      </w:pPr>
    </w:p>
    <w:p>
      <w:pPr>
        <w:rPr>
          <w:rFonts w:hint="eastAsia"/>
          <w:lang w:val="en-US" w:eastAsia="zh-CN"/>
        </w:rPr>
      </w:pPr>
    </w:p>
    <w:p>
      <w:pPr>
        <w:pStyle w:val="6"/>
        <w:numPr>
          <w:ilvl w:val="0"/>
          <w:numId w:val="6"/>
        </w:numPr>
        <w:bidi w:val="0"/>
        <w:rPr>
          <w:rFonts w:hint="eastAsia"/>
          <w:lang w:val="en-US" w:eastAsia="zh-CN"/>
        </w:rPr>
      </w:pPr>
      <w:r>
        <w:rPr>
          <w:rFonts w:hint="eastAsia"/>
          <w:lang w:val="en-US" w:eastAsia="zh-CN"/>
        </w:rPr>
        <w:t>质量指标（指标分数8.2分，实际得分8.2分）</w:t>
      </w:r>
    </w:p>
    <w:tbl>
      <w:tblPr>
        <w:tblStyle w:val="9"/>
        <w:tblW w:w="7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06"/>
        <w:gridCol w:w="1266"/>
        <w:gridCol w:w="1176"/>
        <w:gridCol w:w="1086"/>
        <w:gridCol w:w="10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全年完成值</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工资发放准确率（%）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&gt;=95%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乡镇林长办工作考核完成率（%）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单位运行经费使用合规率（%）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2.8</w:t>
            </w:r>
          </w:p>
        </w:tc>
      </w:tr>
    </w:tbl>
    <w:p>
      <w:pPr>
        <w:ind w:left="0" w:leftChars="0" w:firstLine="0" w:firstLineChars="0"/>
        <w:rPr>
          <w:rFonts w:hint="eastAsia"/>
          <w:lang w:val="en-US" w:eastAsia="zh-CN"/>
        </w:rPr>
      </w:pPr>
    </w:p>
    <w:p>
      <w:pPr>
        <w:pStyle w:val="6"/>
        <w:numPr>
          <w:ilvl w:val="0"/>
          <w:numId w:val="6"/>
        </w:numPr>
        <w:bidi w:val="0"/>
        <w:rPr>
          <w:rFonts w:hint="eastAsia"/>
          <w:lang w:val="en-US" w:eastAsia="zh-CN"/>
        </w:rPr>
      </w:pPr>
      <w:r>
        <w:rPr>
          <w:rFonts w:hint="eastAsia"/>
          <w:lang w:val="en-US" w:eastAsia="zh-CN"/>
        </w:rPr>
        <w:t>时效指标（指标分数10.8分，实际得分10.8分）</w:t>
      </w:r>
    </w:p>
    <w:tbl>
      <w:tblPr>
        <w:tblStyle w:val="9"/>
        <w:tblW w:w="7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06"/>
        <w:gridCol w:w="1266"/>
        <w:gridCol w:w="1176"/>
        <w:gridCol w:w="1086"/>
        <w:gridCol w:w="10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工资发放及时率（%）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乡镇林长办工作考核及时率（%）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资金支付及时率（%）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基本运行保障及时率（%）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r>
    </w:tbl>
    <w:p>
      <w:pPr>
        <w:ind w:left="0" w:leftChars="0" w:firstLine="0" w:firstLineChars="0"/>
        <w:rPr>
          <w:rFonts w:hint="eastAsia"/>
          <w:lang w:val="en-US" w:eastAsia="zh-CN"/>
        </w:rPr>
      </w:pPr>
    </w:p>
    <w:p>
      <w:pPr>
        <w:ind w:left="0" w:leftChars="0" w:firstLine="0" w:firstLineChars="0"/>
        <w:rPr>
          <w:rFonts w:hint="eastAsia"/>
          <w:lang w:val="en-US" w:eastAsia="zh-CN"/>
        </w:rPr>
      </w:pPr>
    </w:p>
    <w:p>
      <w:pPr>
        <w:pStyle w:val="5"/>
        <w:numPr>
          <w:ilvl w:val="0"/>
          <w:numId w:val="5"/>
        </w:numPr>
        <w:bidi w:val="0"/>
        <w:ind w:left="0" w:leftChars="0" w:firstLine="640" w:firstLineChars="200"/>
      </w:pPr>
      <w:r>
        <w:t>履职效果情况：从社会效益、经济效益（如有）、生态效益（如有）等方面反映部门履职效果的实现情况。</w:t>
      </w:r>
    </w:p>
    <w:p>
      <w:pPr>
        <w:pStyle w:val="6"/>
        <w:numPr>
          <w:ilvl w:val="0"/>
          <w:numId w:val="7"/>
        </w:numPr>
        <w:bidi w:val="0"/>
        <w:rPr>
          <w:rFonts w:hint="eastAsia"/>
          <w:lang w:val="en-US" w:eastAsia="zh-CN"/>
        </w:rPr>
      </w:pPr>
      <w:r>
        <w:rPr>
          <w:rFonts w:hint="eastAsia"/>
          <w:lang w:val="en-US" w:eastAsia="zh-CN"/>
        </w:rPr>
        <w:t>社会效益指标（指标分数17.5分，实际得分17.5分）</w:t>
      </w:r>
    </w:p>
    <w:tbl>
      <w:tblPr>
        <w:tblStyle w:val="9"/>
        <w:tblW w:w="7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22"/>
        <w:gridCol w:w="1172"/>
        <w:gridCol w:w="1074"/>
        <w:gridCol w:w="1176"/>
        <w:gridCol w:w="1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森林资源管护能力提升（是否）</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17.5</w:t>
            </w:r>
          </w:p>
        </w:tc>
      </w:tr>
    </w:tbl>
    <w:p>
      <w:pPr>
        <w:ind w:left="0" w:leftChars="0" w:firstLine="0" w:firstLineChars="0"/>
        <w:rPr>
          <w:rFonts w:hint="eastAsia"/>
          <w:lang w:val="en-US" w:eastAsia="zh-CN"/>
        </w:rPr>
      </w:pPr>
    </w:p>
    <w:p>
      <w:pPr>
        <w:ind w:left="0" w:leftChars="0" w:firstLine="0" w:firstLineChars="0"/>
        <w:rPr>
          <w:rFonts w:hint="eastAsia"/>
          <w:lang w:val="en-US" w:eastAsia="zh-CN"/>
        </w:rPr>
      </w:pPr>
    </w:p>
    <w:p>
      <w:pPr>
        <w:pStyle w:val="6"/>
        <w:numPr>
          <w:ilvl w:val="0"/>
          <w:numId w:val="7"/>
        </w:numPr>
        <w:bidi w:val="0"/>
        <w:rPr>
          <w:rFonts w:hint="eastAsia"/>
          <w:lang w:val="en-US" w:eastAsia="zh-CN"/>
        </w:rPr>
      </w:pPr>
      <w:r>
        <w:rPr>
          <w:rFonts w:hint="eastAsia"/>
          <w:lang w:val="en-US" w:eastAsia="zh-CN"/>
        </w:rPr>
        <w:t>生态效益指标（指标分数17.5分，实际得分17.5分）</w:t>
      </w:r>
    </w:p>
    <w:tbl>
      <w:tblPr>
        <w:tblStyle w:val="9"/>
        <w:tblW w:w="7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22"/>
        <w:gridCol w:w="1172"/>
        <w:gridCol w:w="1074"/>
        <w:gridCol w:w="1176"/>
        <w:gridCol w:w="1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促进森林资源质量提升（是否明显）</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17.5</w:t>
            </w:r>
          </w:p>
        </w:tc>
      </w:tr>
    </w:tbl>
    <w:p>
      <w:pPr>
        <w:ind w:left="0" w:leftChars="0" w:firstLine="0" w:firstLineChars="0"/>
        <w:rPr>
          <w:rFonts w:hint="eastAsia"/>
          <w:lang w:val="en-US" w:eastAsia="zh-CN"/>
        </w:rPr>
      </w:pPr>
    </w:p>
    <w:p>
      <w:pPr>
        <w:pStyle w:val="5"/>
        <w:numPr>
          <w:ilvl w:val="0"/>
          <w:numId w:val="5"/>
        </w:numPr>
        <w:bidi w:val="0"/>
        <w:ind w:left="0" w:leftChars="0" w:firstLine="640" w:firstLineChars="200"/>
      </w:pPr>
      <w:r>
        <w:t>社会满意度</w:t>
      </w:r>
    </w:p>
    <w:p>
      <w:pPr>
        <w:pStyle w:val="6"/>
        <w:numPr>
          <w:ilvl w:val="0"/>
          <w:numId w:val="8"/>
        </w:numPr>
        <w:bidi w:val="0"/>
        <w:rPr>
          <w:rFonts w:hint="eastAsia"/>
          <w:lang w:val="en-US" w:eastAsia="zh-CN"/>
        </w:rPr>
      </w:pPr>
      <w:r>
        <w:rPr>
          <w:rFonts w:hint="eastAsia"/>
          <w:lang w:val="en-US" w:eastAsia="zh-CN"/>
        </w:rPr>
        <w:t>社会满意度指标（指标分数10分，实际得分10分）</w:t>
      </w:r>
    </w:p>
    <w:tbl>
      <w:tblPr>
        <w:tblStyle w:val="9"/>
        <w:tblW w:w="7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13"/>
        <w:gridCol w:w="1266"/>
        <w:gridCol w:w="1086"/>
        <w:gridCol w:w="1077"/>
        <w:gridCol w:w="10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职工满意度（%）</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&gt;=90%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60" w:firstLineChars="20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r>
    </w:tbl>
    <w:p>
      <w:pPr>
        <w:numPr>
          <w:ilvl w:val="0"/>
          <w:numId w:val="0"/>
        </w:numPr>
        <w:rPr>
          <w:rFonts w:hint="eastAsia"/>
          <w:lang w:val="en-US" w:eastAsia="zh-CN"/>
        </w:rPr>
      </w:pPr>
    </w:p>
    <w:p>
      <w:pPr>
        <w:pStyle w:val="4"/>
        <w:bidi w:val="0"/>
        <w:rPr>
          <w:shd w:val="clear" w:color="auto" w:fill="auto"/>
        </w:rPr>
      </w:pPr>
      <w:r>
        <w:rPr>
          <w:rFonts w:hint="eastAsia"/>
          <w:shd w:val="clear" w:color="auto" w:fill="auto"/>
        </w:rPr>
        <w:t>三、部门整体支出绩效中存在问题及改进措施</w:t>
      </w:r>
    </w:p>
    <w:p>
      <w:pPr>
        <w:pStyle w:val="5"/>
        <w:bidi w:val="0"/>
        <w:rPr>
          <w:shd w:val="clear" w:color="auto" w:fill="auto"/>
        </w:rPr>
      </w:pPr>
      <w:r>
        <w:rPr>
          <w:shd w:val="clear" w:color="auto" w:fill="auto"/>
        </w:rPr>
        <w:t>（一）主要问题及原因分析。</w:t>
      </w:r>
    </w:p>
    <w:p>
      <w:pPr>
        <w:widowControl/>
        <w:shd w:val="clear" w:color="auto" w:fill="FFFFFF"/>
        <w:spacing w:line="360" w:lineRule="auto"/>
        <w:ind w:firstLine="560"/>
        <w:jc w:val="left"/>
        <w:rPr>
          <w:rFonts w:hint="eastAsia"/>
        </w:rPr>
      </w:pPr>
      <w:r>
        <w:rPr>
          <w:rFonts w:hint="eastAsia" w:ascii="宋体" w:hAnsi="宋体" w:cs="Arial"/>
          <w:color w:val="000000"/>
          <w:kern w:val="0"/>
          <w:szCs w:val="28"/>
          <w:lang w:eastAsia="zh-CN"/>
        </w:rPr>
        <w:t>预算绩效目标申报水平还需提高，难以做到项目绩效目标的准确论证，项目预算的制定与实际执行存在差距。开展部门整体绩效目标申报时，需要将各条线的工作目标进行整合，体现中心和重点工作，难度较大。</w:t>
      </w:r>
    </w:p>
    <w:p>
      <w:pPr>
        <w:pStyle w:val="5"/>
        <w:numPr>
          <w:ilvl w:val="0"/>
          <w:numId w:val="9"/>
        </w:numPr>
        <w:bidi w:val="0"/>
        <w:rPr>
          <w:shd w:val="clear" w:color="auto" w:fill="auto"/>
        </w:rPr>
      </w:pPr>
      <w:r>
        <w:rPr>
          <w:shd w:val="clear" w:color="auto" w:fill="auto"/>
        </w:rPr>
        <w:t>改进的方向和具体措施。</w:t>
      </w:r>
    </w:p>
    <w:p>
      <w:pPr>
        <w:ind w:firstLine="560"/>
      </w:pPr>
      <w:r>
        <w:rPr>
          <w:rFonts w:hint="eastAsia"/>
          <w:lang w:val="en-US" w:eastAsia="zh-CN"/>
        </w:rPr>
        <w:t>1、</w:t>
      </w:r>
      <w:r>
        <w:rPr>
          <w:rFonts w:hint="eastAsia"/>
        </w:rPr>
        <w:t>合理编制预算，强化预算绩效管理</w:t>
      </w:r>
    </w:p>
    <w:p>
      <w:pPr>
        <w:ind w:firstLine="560"/>
        <w:rPr>
          <w:rFonts w:hint="eastAsia"/>
        </w:rPr>
      </w:pPr>
      <w:r>
        <w:rPr>
          <w:rFonts w:hint="eastAsia"/>
        </w:rPr>
        <w:t>预算管理是加强财政资金管理的重要手段，年度财政预算应在充分考虑历史水平和现实需求的前提下合理编制。同</w:t>
      </w:r>
      <w:r>
        <w:rPr>
          <w:rFonts w:hint="eastAsia"/>
          <w:color w:val="auto"/>
        </w:rPr>
        <w:t>时制订科学专</w:t>
      </w:r>
      <w:r>
        <w:rPr>
          <w:rFonts w:hint="eastAsia"/>
        </w:rPr>
        <w:t>项资金的绩效目标，做到三明确：明确当年投入水平，明确完成项目目标数量、质量和时效，明确项目预期达到的效果，使预算编制与绩效目标相匹配。</w:t>
      </w:r>
    </w:p>
    <w:p>
      <w:pPr>
        <w:numPr>
          <w:ilvl w:val="0"/>
          <w:numId w:val="8"/>
        </w:numPr>
        <w:bidi w:val="0"/>
        <w:ind w:left="0" w:leftChars="0" w:firstLine="600" w:firstLineChars="200"/>
        <w:rPr>
          <w:rFonts w:hint="eastAsia"/>
          <w:lang w:val="en-US" w:eastAsia="zh-CN"/>
        </w:rPr>
      </w:pPr>
      <w:r>
        <w:rPr>
          <w:rFonts w:hint="eastAsia"/>
          <w:lang w:val="en-US" w:eastAsia="zh-CN"/>
        </w:rPr>
        <w:t>提高绩效评价质量，透彻全面分析绩效</w:t>
      </w:r>
    </w:p>
    <w:p>
      <w:pPr>
        <w:bidi w:val="0"/>
      </w:pPr>
      <w:r>
        <w:rPr>
          <w:rFonts w:hint="eastAsia"/>
          <w:lang w:eastAsia="zh-CN"/>
        </w:rPr>
        <w:t>设立科学合理的绩效评价指标，确保评价结论的客观公正性，对造成和影响评价结论的相关因素、问题和原因等进行归纳、分析、总结和剖析，特别是产生绩效偏差的项目找出原因，是项目立项还是项目执行问题，是管理方式还是管理环节问题，进行全面透彻的绩效分析。</w:t>
      </w:r>
    </w:p>
    <w:p>
      <w:pPr>
        <w:pStyle w:val="4"/>
        <w:bidi w:val="0"/>
      </w:pPr>
      <w:r>
        <w:rPr>
          <w:rFonts w:hint="eastAsia"/>
        </w:rPr>
        <w:t>四、绩效自评结果拟应用和公开情况</w:t>
      </w:r>
    </w:p>
    <w:p>
      <w:pPr>
        <w:widowControl/>
        <w:shd w:val="clear" w:color="auto" w:fill="FFFFFF"/>
        <w:spacing w:line="360" w:lineRule="auto"/>
        <w:ind w:firstLine="560"/>
        <w:jc w:val="left"/>
      </w:pPr>
      <w:r>
        <w:rPr>
          <w:rFonts w:hint="eastAsia" w:ascii="黑体" w:hAnsi="黑体" w:eastAsia="黑体"/>
          <w:sz w:val="32"/>
          <w:szCs w:val="32"/>
        </w:rPr>
        <w:t xml:space="preserve"> </w:t>
      </w:r>
      <w:r>
        <w:rPr>
          <w:rFonts w:hint="eastAsia" w:ascii="宋体" w:hAnsi="宋体" w:cs="Arial"/>
          <w:color w:val="000000"/>
          <w:kern w:val="0"/>
          <w:szCs w:val="28"/>
        </w:rPr>
        <w:t>对绩效自评结果未完成任务的单位和个人，要求其限期整改，限期整改完成经验收合格后，兑现补助资金，限期整改不合格，将不兑现补助，并取消其同类项目的申请。按规定和要求公开绩效自评结果。</w:t>
      </w:r>
    </w:p>
    <w:p>
      <w:pPr>
        <w:ind w:left="420" w:firstLine="0" w:firstLineChars="0"/>
      </w:pPr>
    </w:p>
    <w:p>
      <w:pPr>
        <w:rPr>
          <w:rFonts w:hint="eastAsia" w:ascii="黑体" w:hAnsi="黑体" w:eastAsia="黑体"/>
          <w:sz w:val="32"/>
          <w:szCs w:val="32"/>
        </w:rPr>
      </w:pPr>
    </w:p>
    <w:p>
      <w:pPr>
        <w:rPr>
          <w:rFonts w:hint="eastAsia" w:ascii="黑体" w:hAnsi="黑体" w:eastAsia="黑体"/>
          <w:sz w:val="32"/>
          <w:szCs w:val="32"/>
        </w:rPr>
      </w:pPr>
      <w:r>
        <w:rPr>
          <w:rFonts w:hint="eastAsia" w:ascii="黑体" w:hAnsi="黑体" w:eastAsia="黑体"/>
          <w:sz w:val="32"/>
          <w:szCs w:val="32"/>
        </w:rPr>
        <w:t xml:space="preserve"> </w:t>
      </w:r>
    </w:p>
    <w:p>
      <w:pPr>
        <w:rPr>
          <w:rFonts w:hint="eastAsia"/>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BEFF8"/>
    <w:multiLevelType w:val="singleLevel"/>
    <w:tmpl w:val="875BEFF8"/>
    <w:lvl w:ilvl="0" w:tentative="0">
      <w:start w:val="1"/>
      <w:numFmt w:val="chineseCounting"/>
      <w:suff w:val="nothing"/>
      <w:lvlText w:val="（%1）"/>
      <w:lvlJc w:val="left"/>
      <w:rPr>
        <w:rFonts w:hint="eastAsia"/>
      </w:rPr>
    </w:lvl>
  </w:abstractNum>
  <w:abstractNum w:abstractNumId="1">
    <w:nsid w:val="90D67712"/>
    <w:multiLevelType w:val="singleLevel"/>
    <w:tmpl w:val="90D67712"/>
    <w:lvl w:ilvl="0" w:tentative="0">
      <w:start w:val="1"/>
      <w:numFmt w:val="decimal"/>
      <w:suff w:val="nothing"/>
      <w:lvlText w:val="%1、"/>
      <w:lvlJc w:val="left"/>
    </w:lvl>
  </w:abstractNum>
  <w:abstractNum w:abstractNumId="2">
    <w:nsid w:val="9ECAD502"/>
    <w:multiLevelType w:val="singleLevel"/>
    <w:tmpl w:val="9ECAD502"/>
    <w:lvl w:ilvl="0" w:tentative="0">
      <w:start w:val="1"/>
      <w:numFmt w:val="decimal"/>
      <w:suff w:val="nothing"/>
      <w:lvlText w:val="%1、"/>
      <w:lvlJc w:val="left"/>
    </w:lvl>
  </w:abstractNum>
  <w:abstractNum w:abstractNumId="3">
    <w:nsid w:val="B4471FD4"/>
    <w:multiLevelType w:val="singleLevel"/>
    <w:tmpl w:val="B4471FD4"/>
    <w:lvl w:ilvl="0" w:tentative="0">
      <w:start w:val="3"/>
      <w:numFmt w:val="decimal"/>
      <w:suff w:val="nothing"/>
      <w:lvlText w:val="%1、"/>
      <w:lvlJc w:val="left"/>
    </w:lvl>
  </w:abstractNum>
  <w:abstractNum w:abstractNumId="4">
    <w:nsid w:val="D0DD952A"/>
    <w:multiLevelType w:val="singleLevel"/>
    <w:tmpl w:val="D0DD952A"/>
    <w:lvl w:ilvl="0" w:tentative="0">
      <w:start w:val="2"/>
      <w:numFmt w:val="chineseCounting"/>
      <w:suff w:val="nothing"/>
      <w:lvlText w:val="（%1）"/>
      <w:lvlJc w:val="left"/>
      <w:rPr>
        <w:rFonts w:hint="eastAsia"/>
      </w:rPr>
    </w:lvl>
  </w:abstractNum>
  <w:abstractNum w:abstractNumId="5">
    <w:nsid w:val="D4B355A0"/>
    <w:multiLevelType w:val="singleLevel"/>
    <w:tmpl w:val="D4B355A0"/>
    <w:lvl w:ilvl="0" w:tentative="0">
      <w:start w:val="1"/>
      <w:numFmt w:val="decimal"/>
      <w:suff w:val="nothing"/>
      <w:lvlText w:val="%1、"/>
      <w:lvlJc w:val="left"/>
    </w:lvl>
  </w:abstractNum>
  <w:abstractNum w:abstractNumId="6">
    <w:nsid w:val="DFF62D05"/>
    <w:multiLevelType w:val="singleLevel"/>
    <w:tmpl w:val="DFF62D05"/>
    <w:lvl w:ilvl="0" w:tentative="0">
      <w:start w:val="2"/>
      <w:numFmt w:val="chineseCounting"/>
      <w:suff w:val="nothing"/>
      <w:lvlText w:val="%1、"/>
      <w:lvlJc w:val="left"/>
      <w:rPr>
        <w:rFonts w:hint="eastAsia"/>
      </w:rPr>
    </w:lvl>
  </w:abstractNum>
  <w:abstractNum w:abstractNumId="7">
    <w:nsid w:val="1AB58747"/>
    <w:multiLevelType w:val="singleLevel"/>
    <w:tmpl w:val="1AB58747"/>
    <w:lvl w:ilvl="0" w:tentative="0">
      <w:start w:val="1"/>
      <w:numFmt w:val="decimal"/>
      <w:suff w:val="nothing"/>
      <w:lvlText w:val="%1、"/>
      <w:lvlJc w:val="left"/>
    </w:lvl>
  </w:abstractNum>
  <w:abstractNum w:abstractNumId="8">
    <w:nsid w:val="2DF1E62D"/>
    <w:multiLevelType w:val="singleLevel"/>
    <w:tmpl w:val="2DF1E62D"/>
    <w:lvl w:ilvl="0" w:tentative="0">
      <w:start w:val="2"/>
      <w:numFmt w:val="chineseCounting"/>
      <w:suff w:val="nothing"/>
      <w:lvlText w:val="（%1）"/>
      <w:lvlJc w:val="left"/>
      <w:rPr>
        <w:rFonts w:hint="eastAsia"/>
      </w:rPr>
    </w:lvl>
  </w:abstractNum>
  <w:num w:numId="1">
    <w:abstractNumId w:val="3"/>
  </w:num>
  <w:num w:numId="2">
    <w:abstractNumId w:val="8"/>
  </w:num>
  <w:num w:numId="3">
    <w:abstractNumId w:val="2"/>
  </w:num>
  <w:num w:numId="4">
    <w:abstractNumId w:val="6"/>
  </w:num>
  <w:num w:numId="5">
    <w:abstractNumId w:val="0"/>
  </w:num>
  <w:num w:numId="6">
    <w:abstractNumId w:val="5"/>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VkZTdkMjczZDY2Mzg5MGM1ZjMwNzE4YTcyMDZhYzcifQ=="/>
  </w:docVars>
  <w:rsids>
    <w:rsidRoot w:val="002B7735"/>
    <w:rsid w:val="002B7735"/>
    <w:rsid w:val="00D73AAD"/>
    <w:rsid w:val="0B230C26"/>
    <w:rsid w:val="15097846"/>
    <w:rsid w:val="1A9F3D3E"/>
    <w:rsid w:val="218E4616"/>
    <w:rsid w:val="248D578B"/>
    <w:rsid w:val="26165BF7"/>
    <w:rsid w:val="328403CD"/>
    <w:rsid w:val="357A1171"/>
    <w:rsid w:val="3AFD3A3C"/>
    <w:rsid w:val="3DA72B56"/>
    <w:rsid w:val="3E48492A"/>
    <w:rsid w:val="3ED5295A"/>
    <w:rsid w:val="4411696D"/>
    <w:rsid w:val="48224610"/>
    <w:rsid w:val="57FA2391"/>
    <w:rsid w:val="5AA06F53"/>
    <w:rsid w:val="5C1547BD"/>
    <w:rsid w:val="610A6B25"/>
    <w:rsid w:val="655B4A8A"/>
    <w:rsid w:val="66C6659E"/>
    <w:rsid w:val="68345D64"/>
    <w:rsid w:val="6FC67383"/>
    <w:rsid w:val="76975109"/>
    <w:rsid w:val="7A446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723" w:firstLineChars="200"/>
      <w:jc w:val="both"/>
    </w:pPr>
    <w:rPr>
      <w:rFonts w:ascii="Times New Roman" w:hAnsi="Times New Roman" w:eastAsia="宋体" w:cs="Times New Roman"/>
      <w:kern w:val="2"/>
      <w:sz w:val="30"/>
      <w:szCs w:val="21"/>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240" w:lineRule="auto"/>
      <w:jc w:val="center"/>
      <w:outlineLvl w:val="0"/>
    </w:pPr>
    <w:rPr>
      <w:b/>
      <w:kern w:val="44"/>
      <w:sz w:val="36"/>
    </w:rPr>
  </w:style>
  <w:style w:type="paragraph" w:styleId="4">
    <w:name w:val="heading 2"/>
    <w:basedOn w:val="1"/>
    <w:next w:val="1"/>
    <w:unhideWhenUsed/>
    <w:qFormat/>
    <w:uiPriority w:val="9"/>
    <w:pPr>
      <w:keepNext w:val="0"/>
      <w:keepLines w:val="0"/>
      <w:autoSpaceDE w:val="0"/>
      <w:autoSpaceDN w:val="0"/>
      <w:spacing w:before="260" w:beforeLines="0" w:beforeAutospacing="0" w:after="260" w:afterLines="0" w:afterAutospacing="0" w:line="288" w:lineRule="auto"/>
      <w:ind w:firstLine="723" w:firstLineChars="200"/>
      <w:jc w:val="left"/>
      <w:outlineLvl w:val="1"/>
    </w:pPr>
    <w:rPr>
      <w:rFonts w:ascii="Arial" w:hAnsi="Arial" w:eastAsia="黑体"/>
      <w:sz w:val="32"/>
    </w:rPr>
  </w:style>
  <w:style w:type="paragraph" w:styleId="5">
    <w:name w:val="heading 3"/>
    <w:basedOn w:val="1"/>
    <w:next w:val="1"/>
    <w:unhideWhenUsed/>
    <w:qFormat/>
    <w:uiPriority w:val="9"/>
    <w:pPr>
      <w:keepNext w:val="0"/>
      <w:keepLines w:val="0"/>
      <w:spacing w:before="260" w:beforeLines="0" w:beforeAutospacing="0" w:after="260" w:afterLines="0" w:afterAutospacing="0" w:line="120" w:lineRule="auto"/>
      <w:ind w:firstLine="723" w:firstLineChars="200"/>
      <w:outlineLvl w:val="2"/>
    </w:pPr>
    <w:rPr>
      <w:sz w:val="32"/>
    </w:rPr>
  </w:style>
  <w:style w:type="paragraph" w:styleId="6">
    <w:name w:val="heading 4"/>
    <w:basedOn w:val="1"/>
    <w:next w:val="1"/>
    <w:unhideWhenUsed/>
    <w:qFormat/>
    <w:uiPriority w:val="9"/>
    <w:pPr>
      <w:keepNext w:val="0"/>
      <w:keepLines w:val="0"/>
      <w:spacing w:before="280" w:beforeLines="0" w:beforeAutospacing="0" w:after="290" w:afterLines="0" w:afterAutospacing="0" w:line="192" w:lineRule="auto"/>
      <w:ind w:firstLine="723" w:firstLineChars="200"/>
      <w:outlineLvl w:val="3"/>
    </w:pPr>
    <w:rPr>
      <w:rFonts w:ascii="Arial" w:hAnsi="Arial" w:eastAsia="黑体"/>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before="100" w:beforeAutospacing="1" w:after="12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4491</Words>
  <Characters>4933</Characters>
  <Lines>2</Lines>
  <Paragraphs>1</Paragraphs>
  <TotalTime>8</TotalTime>
  <ScaleCrop>false</ScaleCrop>
  <LinksUpToDate>false</LinksUpToDate>
  <CharactersWithSpaces>4938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2022-05-06T01:26:00Z</dcterms:created>
  <dc:creator>微软用户</dc:creator>
  <cp:lastModifiedBy>苞米爱啃窝窝头</cp:lastModifiedBy>
  <cp:lastPrinted>2022-06-07T07:46:02Z</cp:lastPrinted>
  <dcterms:modified xsi:type="dcterms:W3CDTF">2022-06-07T07:47:47Z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811FBC310E014134B61303ABFF4241FB</vt:lpwstr>
  </property>
</Properties>
</file>