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</w:p>
    <w:p>
      <w:pPr>
        <w:pStyle w:val="2"/>
      </w:pPr>
      <w:r>
        <w:rPr>
          <w:rFonts w:hint="eastAsia"/>
        </w:rPr>
        <w:t>项目支出绩效评价报告</w:t>
      </w:r>
    </w:p>
    <w:p>
      <w:pPr>
        <w:ind w:firstLine="0" w:firstLineChars="0"/>
      </w:pPr>
    </w:p>
    <w:p>
      <w:pPr>
        <w:pStyle w:val="2"/>
        <w:ind w:firstLine="643"/>
        <w:jc w:val="both"/>
        <w:rPr>
          <w:rFonts w:ascii="仿宋" w:hAnsi="仿宋" w:eastAsia="仿宋" w:cs="仿宋"/>
          <w:b w:val="0"/>
          <w:bCs w:val="0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评价类型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</w:rPr>
        <w:sym w:font="Wingdings 2" w:char="00A3"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</w:rPr>
        <w:t>实施过程评价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 xml:space="preserve">   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</w:rPr>
        <w:sym w:font="Wingdings 2" w:char="0052"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</w:rPr>
        <w:t xml:space="preserve"> 完成结果评价</w:t>
      </w:r>
    </w:p>
    <w:p>
      <w:pPr>
        <w:pStyle w:val="2"/>
        <w:ind w:firstLine="643"/>
        <w:jc w:val="both"/>
        <w:rPr>
          <w:rFonts w:ascii="仿宋" w:hAnsi="仿宋" w:eastAsia="仿宋" w:cs="仿宋"/>
          <w:b w:val="0"/>
          <w:bCs w:val="0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项目名称：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</w:rPr>
        <w:t>浮梁县松材线虫病防治</w:t>
      </w:r>
    </w:p>
    <w:p>
      <w:pPr>
        <w:pStyle w:val="2"/>
        <w:ind w:firstLine="643"/>
        <w:jc w:val="both"/>
        <w:rPr>
          <w:rFonts w:ascii="仿宋" w:hAnsi="仿宋" w:eastAsia="仿宋" w:cs="仿宋"/>
          <w:b w:val="0"/>
          <w:bCs w:val="0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项目单位：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</w:rPr>
        <w:t xml:space="preserve">浮梁县林业局     </w:t>
      </w:r>
    </w:p>
    <w:p>
      <w:pPr>
        <w:pStyle w:val="2"/>
        <w:ind w:firstLine="643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主管部门：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</w:rPr>
        <w:t xml:space="preserve">     浮梁县林业局    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>
      <w:pPr>
        <w:pStyle w:val="2"/>
        <w:ind w:firstLine="643"/>
        <w:jc w:val="both"/>
        <w:rPr>
          <w:rFonts w:ascii="仿宋" w:hAnsi="仿宋" w:eastAsia="仿宋" w:cs="仿宋"/>
          <w:b w:val="0"/>
          <w:bCs w:val="0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评价时间：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</w:rPr>
        <w:t>20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>21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</w:rPr>
        <w:t>年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>1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</w:rPr>
        <w:t>月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>01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</w:rPr>
        <w:t>日至2021年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>12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</w:rPr>
        <w:t>月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>31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</w:rPr>
        <w:t>日</w:t>
      </w:r>
    </w:p>
    <w:p>
      <w:pPr>
        <w:pStyle w:val="2"/>
        <w:ind w:firstLine="643"/>
        <w:jc w:val="both"/>
        <w:rPr>
          <w:rFonts w:ascii="仿宋" w:hAnsi="仿宋" w:eastAsia="仿宋" w:cs="仿宋"/>
          <w:b w:val="0"/>
          <w:bCs w:val="0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组织方式：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</w:rPr>
        <w:sym w:font="Wingdings 2" w:char="00A3"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</w:rPr>
        <w:t>财政部门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</w:rPr>
        <w:sym w:font="Wingdings 2" w:char="0052"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</w:rPr>
        <w:t>主管部门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</w:rPr>
        <w:sym w:font="Wingdings 2" w:char="00A3"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</w:rPr>
        <w:t>项目单位</w:t>
      </w:r>
    </w:p>
    <w:p>
      <w:pPr>
        <w:pStyle w:val="2"/>
        <w:ind w:firstLine="643"/>
        <w:jc w:val="both"/>
        <w:rPr>
          <w:rFonts w:ascii="仿宋" w:hAnsi="仿宋" w:eastAsia="仿宋" w:cs="仿宋"/>
          <w:b w:val="0"/>
          <w:bCs w:val="0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评价机构：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</w:rPr>
        <w:sym w:font="Wingdings 2" w:char="00A3"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</w:rPr>
        <w:t>第三方机构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</w:rPr>
        <w:sym w:font="Wingdings 2" w:char="00A3"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</w:rPr>
        <w:t>专家组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</w:rPr>
        <w:sym w:font="Wingdings 2" w:char="0052"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</w:rPr>
        <w:t>项目单位评价组</w:t>
      </w:r>
    </w:p>
    <w:p>
      <w:pPr>
        <w:ind w:firstLine="560"/>
      </w:pPr>
      <w:bookmarkStart w:id="0" w:name="_GoBack"/>
      <w:bookmarkEnd w:id="0"/>
    </w:p>
    <w:p>
      <w:pPr>
        <w:pStyle w:val="2"/>
        <w:ind w:firstLine="643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评价单位（盖章）：</w:t>
      </w:r>
    </w:p>
    <w:p>
      <w:pPr>
        <w:pStyle w:val="2"/>
        <w:ind w:firstLine="643"/>
        <w:rPr>
          <w:rFonts w:ascii="仿宋" w:hAnsi="仿宋" w:eastAsia="仿宋" w:cs="仿宋"/>
          <w:b w:val="0"/>
          <w:bCs w:val="0"/>
          <w:sz w:val="32"/>
          <w:szCs w:val="32"/>
        </w:rPr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sz w:val="32"/>
          <w:szCs w:val="32"/>
        </w:rPr>
        <w:t>上报时间：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2022年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月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日</w:t>
      </w:r>
    </w:p>
    <w:p>
      <w:pPr>
        <w:pStyle w:val="2"/>
      </w:pPr>
      <w:r>
        <w:rPr>
          <w:rFonts w:hint="eastAsia"/>
        </w:rPr>
        <w:t>项目支出绩效评价表</w:t>
      </w:r>
    </w:p>
    <w:tbl>
      <w:tblPr>
        <w:tblStyle w:val="8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6"/>
        <w:gridCol w:w="1468"/>
        <w:gridCol w:w="978"/>
        <w:gridCol w:w="218"/>
        <w:gridCol w:w="1468"/>
        <w:gridCol w:w="1726"/>
        <w:gridCol w:w="732"/>
        <w:gridCol w:w="7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1196" w:type="dxa"/>
          </w:tcPr>
          <w:p>
            <w:pPr>
              <w:ind w:firstLine="0" w:firstLineChars="0"/>
            </w:pPr>
            <w:r>
              <w:rPr>
                <w:rFonts w:hint="eastAsia"/>
                <w:sz w:val="21"/>
                <w:szCs w:val="21"/>
              </w:rPr>
              <w:t>项目名称</w:t>
            </w:r>
          </w:p>
        </w:tc>
        <w:tc>
          <w:tcPr>
            <w:tcW w:w="7326" w:type="dxa"/>
            <w:gridSpan w:val="7"/>
          </w:tcPr>
          <w:p>
            <w:pPr>
              <w:ind w:firstLine="42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浮梁县松材线虫病防治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96" w:type="dxa"/>
          </w:tcPr>
          <w:p>
            <w:pPr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主管部门</w:t>
            </w:r>
          </w:p>
        </w:tc>
        <w:tc>
          <w:tcPr>
            <w:tcW w:w="2446" w:type="dxa"/>
            <w:gridSpan w:val="2"/>
          </w:tcPr>
          <w:p>
            <w:pPr>
              <w:ind w:firstLine="42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浮梁县林业局</w:t>
            </w:r>
          </w:p>
        </w:tc>
        <w:tc>
          <w:tcPr>
            <w:tcW w:w="1686" w:type="dxa"/>
            <w:gridSpan w:val="2"/>
          </w:tcPr>
          <w:p>
            <w:pPr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项目实施单位</w:t>
            </w:r>
          </w:p>
        </w:tc>
        <w:tc>
          <w:tcPr>
            <w:tcW w:w="3194" w:type="dxa"/>
            <w:gridSpan w:val="3"/>
          </w:tcPr>
          <w:p>
            <w:pPr>
              <w:ind w:firstLine="42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浮梁县林业局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6" w:type="dxa"/>
          </w:tcPr>
          <w:p>
            <w:pPr>
              <w:ind w:firstLine="42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项目负责人</w:t>
            </w:r>
          </w:p>
        </w:tc>
        <w:tc>
          <w:tcPr>
            <w:tcW w:w="2446" w:type="dxa"/>
            <w:gridSpan w:val="2"/>
          </w:tcPr>
          <w:p>
            <w:pPr>
              <w:ind w:firstLine="42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张浙东</w:t>
            </w:r>
          </w:p>
        </w:tc>
        <w:tc>
          <w:tcPr>
            <w:tcW w:w="1686" w:type="dxa"/>
            <w:gridSpan w:val="2"/>
          </w:tcPr>
          <w:p>
            <w:pPr>
              <w:ind w:firstLine="42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3194" w:type="dxa"/>
            <w:gridSpan w:val="3"/>
          </w:tcPr>
          <w:p>
            <w:pPr>
              <w:ind w:firstLine="42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0798-2622001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196" w:type="dxa"/>
          </w:tcPr>
          <w:p>
            <w:pPr>
              <w:ind w:firstLine="42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项目类型</w:t>
            </w:r>
          </w:p>
        </w:tc>
        <w:tc>
          <w:tcPr>
            <w:tcW w:w="7326" w:type="dxa"/>
            <w:gridSpan w:val="7"/>
          </w:tcPr>
          <w:p>
            <w:pPr>
              <w:ind w:firstLine="42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经常性项目（  </w:t>
            </w:r>
            <w:r>
              <w:rPr>
                <w:sz w:val="21"/>
                <w:szCs w:val="21"/>
              </w:rPr>
              <w:t>√</w:t>
            </w:r>
            <w:r>
              <w:rPr>
                <w:rFonts w:hint="eastAsia"/>
                <w:sz w:val="21"/>
                <w:szCs w:val="21"/>
              </w:rPr>
              <w:t xml:space="preserve">    ）                  一次性项目（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196" w:type="dxa"/>
          </w:tcPr>
          <w:p>
            <w:pPr>
              <w:ind w:firstLine="42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计划投资金额（万元）</w:t>
            </w:r>
          </w:p>
        </w:tc>
        <w:tc>
          <w:tcPr>
            <w:tcW w:w="1468" w:type="dxa"/>
          </w:tcPr>
          <w:p>
            <w:pPr>
              <w:ind w:firstLine="42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309</w:t>
            </w:r>
          </w:p>
        </w:tc>
        <w:tc>
          <w:tcPr>
            <w:tcW w:w="1196" w:type="dxa"/>
            <w:gridSpan w:val="2"/>
          </w:tcPr>
          <w:p>
            <w:pPr>
              <w:ind w:firstLine="42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实际到位资金（万元）</w:t>
            </w:r>
          </w:p>
        </w:tc>
        <w:tc>
          <w:tcPr>
            <w:tcW w:w="1468" w:type="dxa"/>
          </w:tcPr>
          <w:p>
            <w:pPr>
              <w:ind w:firstLine="42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309</w:t>
            </w:r>
          </w:p>
        </w:tc>
        <w:tc>
          <w:tcPr>
            <w:tcW w:w="1726" w:type="dxa"/>
          </w:tcPr>
          <w:p>
            <w:pPr>
              <w:ind w:firstLine="42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实际使用情况（万元）</w:t>
            </w:r>
          </w:p>
        </w:tc>
        <w:tc>
          <w:tcPr>
            <w:tcW w:w="1468" w:type="dxa"/>
            <w:gridSpan w:val="2"/>
          </w:tcPr>
          <w:p>
            <w:pPr>
              <w:ind w:firstLine="42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6" w:type="dxa"/>
          </w:tcPr>
          <w:p>
            <w:pPr>
              <w:ind w:firstLine="42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其中：中央财政</w:t>
            </w:r>
          </w:p>
        </w:tc>
        <w:tc>
          <w:tcPr>
            <w:tcW w:w="1468" w:type="dxa"/>
          </w:tcPr>
          <w:p>
            <w:pPr>
              <w:ind w:firstLine="420"/>
              <w:jc w:val="center"/>
              <w:rPr>
                <w:sz w:val="21"/>
                <w:szCs w:val="21"/>
              </w:rPr>
            </w:pPr>
          </w:p>
        </w:tc>
        <w:tc>
          <w:tcPr>
            <w:tcW w:w="1196" w:type="dxa"/>
            <w:gridSpan w:val="2"/>
          </w:tcPr>
          <w:p>
            <w:pPr>
              <w:ind w:firstLine="42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其中：中央财政</w:t>
            </w:r>
          </w:p>
        </w:tc>
        <w:tc>
          <w:tcPr>
            <w:tcW w:w="1468" w:type="dxa"/>
          </w:tcPr>
          <w:p>
            <w:pPr>
              <w:ind w:firstLine="420"/>
              <w:jc w:val="center"/>
              <w:rPr>
                <w:sz w:val="21"/>
                <w:szCs w:val="21"/>
              </w:rPr>
            </w:pPr>
          </w:p>
        </w:tc>
        <w:tc>
          <w:tcPr>
            <w:tcW w:w="1726" w:type="dxa"/>
          </w:tcPr>
          <w:p>
            <w:pPr>
              <w:ind w:firstLine="420"/>
              <w:jc w:val="center"/>
              <w:rPr>
                <w:sz w:val="21"/>
                <w:szCs w:val="21"/>
              </w:rPr>
            </w:pPr>
          </w:p>
        </w:tc>
        <w:tc>
          <w:tcPr>
            <w:tcW w:w="1468" w:type="dxa"/>
            <w:gridSpan w:val="2"/>
          </w:tcPr>
          <w:p>
            <w:pPr>
              <w:ind w:firstLine="420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6" w:type="dxa"/>
          </w:tcPr>
          <w:p>
            <w:pPr>
              <w:ind w:firstLine="42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省、市财政</w:t>
            </w:r>
          </w:p>
        </w:tc>
        <w:tc>
          <w:tcPr>
            <w:tcW w:w="1468" w:type="dxa"/>
          </w:tcPr>
          <w:p>
            <w:pPr>
              <w:ind w:firstLine="420"/>
              <w:jc w:val="center"/>
              <w:rPr>
                <w:sz w:val="21"/>
                <w:szCs w:val="21"/>
              </w:rPr>
            </w:pPr>
          </w:p>
        </w:tc>
        <w:tc>
          <w:tcPr>
            <w:tcW w:w="1196" w:type="dxa"/>
            <w:gridSpan w:val="2"/>
          </w:tcPr>
          <w:p>
            <w:pPr>
              <w:ind w:firstLine="42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省、市财政</w:t>
            </w:r>
          </w:p>
        </w:tc>
        <w:tc>
          <w:tcPr>
            <w:tcW w:w="1468" w:type="dxa"/>
          </w:tcPr>
          <w:p>
            <w:pPr>
              <w:ind w:firstLine="420"/>
              <w:jc w:val="center"/>
              <w:rPr>
                <w:sz w:val="21"/>
                <w:szCs w:val="21"/>
              </w:rPr>
            </w:pPr>
          </w:p>
        </w:tc>
        <w:tc>
          <w:tcPr>
            <w:tcW w:w="1726" w:type="dxa"/>
          </w:tcPr>
          <w:p>
            <w:pPr>
              <w:ind w:firstLine="420"/>
              <w:jc w:val="center"/>
              <w:rPr>
                <w:sz w:val="21"/>
                <w:szCs w:val="21"/>
              </w:rPr>
            </w:pPr>
          </w:p>
        </w:tc>
        <w:tc>
          <w:tcPr>
            <w:tcW w:w="1468" w:type="dxa"/>
            <w:gridSpan w:val="2"/>
          </w:tcPr>
          <w:p>
            <w:pPr>
              <w:ind w:firstLine="420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6" w:type="dxa"/>
          </w:tcPr>
          <w:p>
            <w:pPr>
              <w:ind w:firstLine="42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县级财政</w:t>
            </w:r>
          </w:p>
        </w:tc>
        <w:tc>
          <w:tcPr>
            <w:tcW w:w="1468" w:type="dxa"/>
          </w:tcPr>
          <w:p>
            <w:pPr>
              <w:ind w:firstLine="42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309</w:t>
            </w:r>
          </w:p>
        </w:tc>
        <w:tc>
          <w:tcPr>
            <w:tcW w:w="1196" w:type="dxa"/>
            <w:gridSpan w:val="2"/>
          </w:tcPr>
          <w:p>
            <w:pPr>
              <w:ind w:firstLine="42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县级财政</w:t>
            </w:r>
          </w:p>
        </w:tc>
        <w:tc>
          <w:tcPr>
            <w:tcW w:w="1468" w:type="dxa"/>
          </w:tcPr>
          <w:p>
            <w:pPr>
              <w:ind w:firstLine="42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309</w:t>
            </w:r>
          </w:p>
        </w:tc>
        <w:tc>
          <w:tcPr>
            <w:tcW w:w="1726" w:type="dxa"/>
          </w:tcPr>
          <w:p>
            <w:pPr>
              <w:ind w:firstLine="420"/>
              <w:jc w:val="center"/>
              <w:rPr>
                <w:sz w:val="21"/>
                <w:szCs w:val="21"/>
              </w:rPr>
            </w:pPr>
          </w:p>
        </w:tc>
        <w:tc>
          <w:tcPr>
            <w:tcW w:w="1468" w:type="dxa"/>
            <w:gridSpan w:val="2"/>
          </w:tcPr>
          <w:p>
            <w:pPr>
              <w:ind w:firstLine="420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6" w:type="dxa"/>
          </w:tcPr>
          <w:p>
            <w:pPr>
              <w:ind w:firstLine="42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其他</w:t>
            </w:r>
          </w:p>
        </w:tc>
        <w:tc>
          <w:tcPr>
            <w:tcW w:w="1468" w:type="dxa"/>
          </w:tcPr>
          <w:p>
            <w:pPr>
              <w:ind w:firstLine="420"/>
              <w:jc w:val="center"/>
              <w:rPr>
                <w:sz w:val="21"/>
                <w:szCs w:val="21"/>
              </w:rPr>
            </w:pPr>
          </w:p>
        </w:tc>
        <w:tc>
          <w:tcPr>
            <w:tcW w:w="1196" w:type="dxa"/>
            <w:gridSpan w:val="2"/>
          </w:tcPr>
          <w:p>
            <w:pPr>
              <w:ind w:firstLine="42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其他</w:t>
            </w:r>
          </w:p>
        </w:tc>
        <w:tc>
          <w:tcPr>
            <w:tcW w:w="1468" w:type="dxa"/>
          </w:tcPr>
          <w:p>
            <w:pPr>
              <w:ind w:firstLine="420"/>
              <w:jc w:val="center"/>
              <w:rPr>
                <w:sz w:val="21"/>
                <w:szCs w:val="21"/>
              </w:rPr>
            </w:pPr>
          </w:p>
        </w:tc>
        <w:tc>
          <w:tcPr>
            <w:tcW w:w="1726" w:type="dxa"/>
          </w:tcPr>
          <w:p>
            <w:pPr>
              <w:ind w:firstLine="420"/>
              <w:jc w:val="center"/>
              <w:rPr>
                <w:sz w:val="21"/>
                <w:szCs w:val="21"/>
              </w:rPr>
            </w:pPr>
          </w:p>
        </w:tc>
        <w:tc>
          <w:tcPr>
            <w:tcW w:w="1468" w:type="dxa"/>
            <w:gridSpan w:val="2"/>
          </w:tcPr>
          <w:p>
            <w:pPr>
              <w:ind w:firstLine="420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8522" w:type="dxa"/>
            <w:gridSpan w:val="8"/>
          </w:tcPr>
          <w:p>
            <w:pPr>
              <w:ind w:firstLine="42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二、绩效评价指标评价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6" w:type="dxa"/>
          </w:tcPr>
          <w:p>
            <w:pPr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一级指标</w:t>
            </w:r>
          </w:p>
        </w:tc>
        <w:tc>
          <w:tcPr>
            <w:tcW w:w="1468" w:type="dxa"/>
          </w:tcPr>
          <w:p>
            <w:pPr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分值</w:t>
            </w:r>
          </w:p>
        </w:tc>
        <w:tc>
          <w:tcPr>
            <w:tcW w:w="1196" w:type="dxa"/>
            <w:gridSpan w:val="2"/>
          </w:tcPr>
          <w:p>
            <w:pPr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二级指标</w:t>
            </w:r>
          </w:p>
        </w:tc>
        <w:tc>
          <w:tcPr>
            <w:tcW w:w="1468" w:type="dxa"/>
          </w:tcPr>
          <w:p>
            <w:pPr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分值</w:t>
            </w:r>
          </w:p>
        </w:tc>
        <w:tc>
          <w:tcPr>
            <w:tcW w:w="1726" w:type="dxa"/>
          </w:tcPr>
          <w:p>
            <w:pPr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三级指标</w:t>
            </w:r>
          </w:p>
        </w:tc>
        <w:tc>
          <w:tcPr>
            <w:tcW w:w="732" w:type="dxa"/>
          </w:tcPr>
          <w:p>
            <w:pPr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分值</w:t>
            </w:r>
          </w:p>
        </w:tc>
        <w:tc>
          <w:tcPr>
            <w:tcW w:w="736" w:type="dxa"/>
          </w:tcPr>
          <w:p>
            <w:pPr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6" w:type="dxa"/>
            <w:vMerge w:val="restart"/>
          </w:tcPr>
          <w:p>
            <w:pPr>
              <w:ind w:firstLine="0" w:firstLineChars="0"/>
              <w:rPr>
                <w:sz w:val="21"/>
                <w:szCs w:val="21"/>
              </w:rPr>
            </w:pPr>
          </w:p>
          <w:p>
            <w:pPr>
              <w:ind w:firstLine="0" w:firstLineChars="0"/>
              <w:rPr>
                <w:sz w:val="21"/>
                <w:szCs w:val="21"/>
              </w:rPr>
            </w:pPr>
          </w:p>
          <w:p>
            <w:pPr>
              <w:ind w:firstLine="0" w:firstLineChars="0"/>
              <w:rPr>
                <w:sz w:val="21"/>
                <w:szCs w:val="21"/>
              </w:rPr>
            </w:pPr>
          </w:p>
          <w:p>
            <w:pPr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决策</w:t>
            </w:r>
          </w:p>
          <w:p>
            <w:pPr>
              <w:ind w:firstLine="0" w:firstLineChars="0"/>
              <w:rPr>
                <w:sz w:val="21"/>
                <w:szCs w:val="21"/>
              </w:rPr>
            </w:pPr>
          </w:p>
          <w:p>
            <w:pPr>
              <w:ind w:firstLine="0" w:firstLineChars="0"/>
              <w:rPr>
                <w:sz w:val="21"/>
                <w:szCs w:val="21"/>
              </w:rPr>
            </w:pPr>
          </w:p>
        </w:tc>
        <w:tc>
          <w:tcPr>
            <w:tcW w:w="1468" w:type="dxa"/>
            <w:vMerge w:val="restart"/>
          </w:tcPr>
          <w:p>
            <w:pPr>
              <w:ind w:firstLine="0" w:firstLineChars="0"/>
              <w:rPr>
                <w:sz w:val="21"/>
                <w:szCs w:val="21"/>
              </w:rPr>
            </w:pPr>
          </w:p>
          <w:p>
            <w:pPr>
              <w:ind w:firstLine="0" w:firstLineChars="0"/>
              <w:rPr>
                <w:sz w:val="21"/>
                <w:szCs w:val="21"/>
              </w:rPr>
            </w:pPr>
          </w:p>
          <w:p>
            <w:pPr>
              <w:ind w:firstLine="0" w:firstLineChars="0"/>
              <w:rPr>
                <w:sz w:val="21"/>
                <w:szCs w:val="21"/>
              </w:rPr>
            </w:pPr>
          </w:p>
          <w:p>
            <w:pPr>
              <w:ind w:firstLine="0" w:firstLineChars="0"/>
              <w:rPr>
                <w:sz w:val="21"/>
                <w:szCs w:val="21"/>
              </w:rPr>
            </w:pPr>
          </w:p>
          <w:p>
            <w:pPr>
              <w:ind w:firstLine="0" w:firstLineChars="0"/>
              <w:rPr>
                <w:sz w:val="21"/>
                <w:szCs w:val="21"/>
              </w:rPr>
            </w:pPr>
          </w:p>
          <w:p>
            <w:pPr>
              <w:ind w:firstLine="0" w:firstLineChars="0"/>
              <w:rPr>
                <w:sz w:val="21"/>
                <w:szCs w:val="21"/>
              </w:rPr>
            </w:pPr>
          </w:p>
          <w:p>
            <w:pPr>
              <w:ind w:firstLine="42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40</w:t>
            </w:r>
          </w:p>
        </w:tc>
        <w:tc>
          <w:tcPr>
            <w:tcW w:w="1196" w:type="dxa"/>
            <w:gridSpan w:val="2"/>
            <w:vMerge w:val="restart"/>
          </w:tcPr>
          <w:p>
            <w:pPr>
              <w:ind w:firstLine="0" w:firstLineChars="0"/>
              <w:jc w:val="center"/>
              <w:rPr>
                <w:sz w:val="21"/>
                <w:szCs w:val="21"/>
              </w:rPr>
            </w:pPr>
          </w:p>
          <w:p>
            <w:pPr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项目立项</w:t>
            </w:r>
          </w:p>
        </w:tc>
        <w:tc>
          <w:tcPr>
            <w:tcW w:w="1468" w:type="dxa"/>
            <w:vMerge w:val="restart"/>
          </w:tcPr>
          <w:p>
            <w:pPr>
              <w:ind w:firstLine="0" w:firstLineChars="0"/>
              <w:jc w:val="center"/>
              <w:rPr>
                <w:sz w:val="21"/>
                <w:szCs w:val="21"/>
              </w:rPr>
            </w:pPr>
          </w:p>
          <w:p>
            <w:pPr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</w:t>
            </w:r>
          </w:p>
        </w:tc>
        <w:tc>
          <w:tcPr>
            <w:tcW w:w="1726" w:type="dxa"/>
          </w:tcPr>
          <w:p>
            <w:pPr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立项依据充分性</w:t>
            </w:r>
          </w:p>
        </w:tc>
        <w:tc>
          <w:tcPr>
            <w:tcW w:w="732" w:type="dxa"/>
          </w:tcPr>
          <w:p>
            <w:pPr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</w:t>
            </w:r>
          </w:p>
        </w:tc>
        <w:tc>
          <w:tcPr>
            <w:tcW w:w="736" w:type="dxa"/>
          </w:tcPr>
          <w:p>
            <w:pPr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6" w:type="dxa"/>
            <w:vMerge w:val="continue"/>
          </w:tcPr>
          <w:p>
            <w:pPr>
              <w:ind w:firstLine="0" w:firstLineChars="0"/>
              <w:rPr>
                <w:sz w:val="21"/>
                <w:szCs w:val="21"/>
              </w:rPr>
            </w:pPr>
          </w:p>
        </w:tc>
        <w:tc>
          <w:tcPr>
            <w:tcW w:w="1468" w:type="dxa"/>
            <w:vMerge w:val="continue"/>
          </w:tcPr>
          <w:p>
            <w:pPr>
              <w:ind w:firstLine="0" w:firstLineChars="0"/>
              <w:rPr>
                <w:sz w:val="21"/>
                <w:szCs w:val="21"/>
              </w:rPr>
            </w:pPr>
          </w:p>
        </w:tc>
        <w:tc>
          <w:tcPr>
            <w:tcW w:w="1196" w:type="dxa"/>
            <w:gridSpan w:val="2"/>
            <w:vMerge w:val="continue"/>
          </w:tcPr>
          <w:p>
            <w:pPr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1468" w:type="dxa"/>
            <w:vMerge w:val="continue"/>
          </w:tcPr>
          <w:p>
            <w:pPr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1726" w:type="dxa"/>
          </w:tcPr>
          <w:p>
            <w:pPr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立项程序规范性</w:t>
            </w:r>
          </w:p>
        </w:tc>
        <w:tc>
          <w:tcPr>
            <w:tcW w:w="732" w:type="dxa"/>
          </w:tcPr>
          <w:p>
            <w:pPr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</w:t>
            </w:r>
          </w:p>
        </w:tc>
        <w:tc>
          <w:tcPr>
            <w:tcW w:w="736" w:type="dxa"/>
          </w:tcPr>
          <w:p>
            <w:pPr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1196" w:type="dxa"/>
            <w:vMerge w:val="continue"/>
          </w:tcPr>
          <w:p>
            <w:pPr>
              <w:ind w:firstLine="0" w:firstLineChars="0"/>
              <w:rPr>
                <w:sz w:val="21"/>
                <w:szCs w:val="21"/>
              </w:rPr>
            </w:pPr>
          </w:p>
        </w:tc>
        <w:tc>
          <w:tcPr>
            <w:tcW w:w="1468" w:type="dxa"/>
            <w:vMerge w:val="continue"/>
          </w:tcPr>
          <w:p>
            <w:pPr>
              <w:ind w:firstLine="0" w:firstLineChars="0"/>
              <w:rPr>
                <w:sz w:val="21"/>
                <w:szCs w:val="21"/>
              </w:rPr>
            </w:pPr>
          </w:p>
        </w:tc>
        <w:tc>
          <w:tcPr>
            <w:tcW w:w="1196" w:type="dxa"/>
            <w:gridSpan w:val="2"/>
            <w:vMerge w:val="restart"/>
          </w:tcPr>
          <w:p>
            <w:pPr>
              <w:ind w:firstLine="0" w:firstLineChars="0"/>
              <w:jc w:val="center"/>
              <w:rPr>
                <w:sz w:val="21"/>
                <w:szCs w:val="21"/>
              </w:rPr>
            </w:pPr>
          </w:p>
          <w:p>
            <w:pPr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绩效目标</w:t>
            </w:r>
          </w:p>
        </w:tc>
        <w:tc>
          <w:tcPr>
            <w:tcW w:w="1468" w:type="dxa"/>
            <w:vMerge w:val="restart"/>
          </w:tcPr>
          <w:p>
            <w:pPr>
              <w:ind w:firstLine="0" w:firstLineChars="0"/>
              <w:jc w:val="center"/>
              <w:rPr>
                <w:sz w:val="21"/>
                <w:szCs w:val="21"/>
              </w:rPr>
            </w:pPr>
          </w:p>
          <w:p>
            <w:pPr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</w:t>
            </w:r>
          </w:p>
        </w:tc>
        <w:tc>
          <w:tcPr>
            <w:tcW w:w="1726" w:type="dxa"/>
          </w:tcPr>
          <w:p>
            <w:pPr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绩效目标合理性</w:t>
            </w:r>
          </w:p>
        </w:tc>
        <w:tc>
          <w:tcPr>
            <w:tcW w:w="732" w:type="dxa"/>
          </w:tcPr>
          <w:p>
            <w:pPr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</w:t>
            </w:r>
          </w:p>
        </w:tc>
        <w:tc>
          <w:tcPr>
            <w:tcW w:w="736" w:type="dxa"/>
          </w:tcPr>
          <w:p>
            <w:pPr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6" w:type="dxa"/>
            <w:vMerge w:val="continue"/>
          </w:tcPr>
          <w:p>
            <w:pPr>
              <w:ind w:firstLine="0" w:firstLineChars="0"/>
              <w:rPr>
                <w:sz w:val="21"/>
                <w:szCs w:val="21"/>
              </w:rPr>
            </w:pPr>
          </w:p>
        </w:tc>
        <w:tc>
          <w:tcPr>
            <w:tcW w:w="1468" w:type="dxa"/>
            <w:vMerge w:val="continue"/>
          </w:tcPr>
          <w:p>
            <w:pPr>
              <w:ind w:firstLine="0" w:firstLineChars="0"/>
              <w:rPr>
                <w:sz w:val="21"/>
                <w:szCs w:val="21"/>
              </w:rPr>
            </w:pPr>
          </w:p>
        </w:tc>
        <w:tc>
          <w:tcPr>
            <w:tcW w:w="1196" w:type="dxa"/>
            <w:gridSpan w:val="2"/>
            <w:vMerge w:val="continue"/>
          </w:tcPr>
          <w:p>
            <w:pPr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1468" w:type="dxa"/>
            <w:vMerge w:val="continue"/>
          </w:tcPr>
          <w:p>
            <w:pPr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1726" w:type="dxa"/>
          </w:tcPr>
          <w:p>
            <w:pPr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绩效指标明确性</w:t>
            </w:r>
          </w:p>
        </w:tc>
        <w:tc>
          <w:tcPr>
            <w:tcW w:w="732" w:type="dxa"/>
          </w:tcPr>
          <w:p>
            <w:pPr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</w:t>
            </w:r>
          </w:p>
        </w:tc>
        <w:tc>
          <w:tcPr>
            <w:tcW w:w="736" w:type="dxa"/>
          </w:tcPr>
          <w:p>
            <w:pPr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6" w:type="dxa"/>
            <w:vMerge w:val="continue"/>
          </w:tcPr>
          <w:p>
            <w:pPr>
              <w:ind w:firstLine="0" w:firstLineChars="0"/>
              <w:rPr>
                <w:sz w:val="21"/>
                <w:szCs w:val="21"/>
              </w:rPr>
            </w:pPr>
          </w:p>
        </w:tc>
        <w:tc>
          <w:tcPr>
            <w:tcW w:w="1468" w:type="dxa"/>
            <w:vMerge w:val="continue"/>
          </w:tcPr>
          <w:p>
            <w:pPr>
              <w:ind w:firstLine="0" w:firstLineChars="0"/>
              <w:rPr>
                <w:sz w:val="21"/>
                <w:szCs w:val="21"/>
              </w:rPr>
            </w:pPr>
          </w:p>
        </w:tc>
        <w:tc>
          <w:tcPr>
            <w:tcW w:w="1196" w:type="dxa"/>
            <w:gridSpan w:val="2"/>
            <w:vMerge w:val="restart"/>
          </w:tcPr>
          <w:p>
            <w:pPr>
              <w:ind w:firstLine="0" w:firstLineChars="0"/>
              <w:jc w:val="center"/>
              <w:rPr>
                <w:sz w:val="21"/>
                <w:szCs w:val="21"/>
              </w:rPr>
            </w:pPr>
          </w:p>
          <w:p>
            <w:pPr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资金投入</w:t>
            </w:r>
          </w:p>
        </w:tc>
        <w:tc>
          <w:tcPr>
            <w:tcW w:w="1468" w:type="dxa"/>
            <w:vMerge w:val="restart"/>
          </w:tcPr>
          <w:p>
            <w:pPr>
              <w:ind w:firstLine="0" w:firstLineChars="0"/>
              <w:jc w:val="center"/>
              <w:rPr>
                <w:sz w:val="21"/>
                <w:szCs w:val="21"/>
              </w:rPr>
            </w:pPr>
          </w:p>
          <w:p>
            <w:pPr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</w:t>
            </w:r>
          </w:p>
        </w:tc>
        <w:tc>
          <w:tcPr>
            <w:tcW w:w="1726" w:type="dxa"/>
          </w:tcPr>
          <w:p>
            <w:pPr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预算编制科学性</w:t>
            </w:r>
          </w:p>
        </w:tc>
        <w:tc>
          <w:tcPr>
            <w:tcW w:w="732" w:type="dxa"/>
          </w:tcPr>
          <w:p>
            <w:pPr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</w:t>
            </w:r>
          </w:p>
        </w:tc>
        <w:tc>
          <w:tcPr>
            <w:tcW w:w="736" w:type="dxa"/>
          </w:tcPr>
          <w:p>
            <w:pPr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196" w:type="dxa"/>
            <w:vMerge w:val="continue"/>
          </w:tcPr>
          <w:p>
            <w:pPr>
              <w:ind w:firstLine="0" w:firstLineChars="0"/>
              <w:rPr>
                <w:sz w:val="21"/>
                <w:szCs w:val="21"/>
              </w:rPr>
            </w:pPr>
          </w:p>
        </w:tc>
        <w:tc>
          <w:tcPr>
            <w:tcW w:w="1468" w:type="dxa"/>
            <w:vMerge w:val="continue"/>
          </w:tcPr>
          <w:p>
            <w:pPr>
              <w:ind w:firstLine="0" w:firstLineChars="0"/>
              <w:rPr>
                <w:sz w:val="21"/>
                <w:szCs w:val="21"/>
              </w:rPr>
            </w:pPr>
          </w:p>
        </w:tc>
        <w:tc>
          <w:tcPr>
            <w:tcW w:w="1196" w:type="dxa"/>
            <w:gridSpan w:val="2"/>
            <w:vMerge w:val="continue"/>
          </w:tcPr>
          <w:p>
            <w:pPr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1468" w:type="dxa"/>
            <w:vMerge w:val="continue"/>
          </w:tcPr>
          <w:p>
            <w:pPr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1726" w:type="dxa"/>
          </w:tcPr>
          <w:p>
            <w:pPr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资金分配合理性</w:t>
            </w:r>
          </w:p>
        </w:tc>
        <w:tc>
          <w:tcPr>
            <w:tcW w:w="732" w:type="dxa"/>
          </w:tcPr>
          <w:p>
            <w:pPr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</w:t>
            </w:r>
          </w:p>
        </w:tc>
        <w:tc>
          <w:tcPr>
            <w:tcW w:w="736" w:type="dxa"/>
          </w:tcPr>
          <w:p>
            <w:pPr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196" w:type="dxa"/>
            <w:vMerge w:val="restart"/>
          </w:tcPr>
          <w:p>
            <w:pPr>
              <w:ind w:firstLine="420"/>
              <w:jc w:val="center"/>
              <w:rPr>
                <w:sz w:val="21"/>
                <w:szCs w:val="21"/>
              </w:rPr>
            </w:pPr>
          </w:p>
          <w:p>
            <w:pPr>
              <w:ind w:firstLine="420"/>
              <w:jc w:val="center"/>
              <w:rPr>
                <w:sz w:val="21"/>
                <w:szCs w:val="21"/>
              </w:rPr>
            </w:pPr>
          </w:p>
          <w:p>
            <w:pPr>
              <w:ind w:firstLine="42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过程</w:t>
            </w:r>
          </w:p>
        </w:tc>
        <w:tc>
          <w:tcPr>
            <w:tcW w:w="1468" w:type="dxa"/>
            <w:vMerge w:val="continue"/>
          </w:tcPr>
          <w:p>
            <w:pPr>
              <w:ind w:firstLine="0" w:firstLineChars="0"/>
              <w:rPr>
                <w:sz w:val="21"/>
                <w:szCs w:val="21"/>
              </w:rPr>
            </w:pPr>
          </w:p>
        </w:tc>
        <w:tc>
          <w:tcPr>
            <w:tcW w:w="1196" w:type="dxa"/>
            <w:gridSpan w:val="2"/>
            <w:vMerge w:val="restart"/>
          </w:tcPr>
          <w:p>
            <w:pPr>
              <w:ind w:firstLine="0" w:firstLineChars="0"/>
              <w:jc w:val="center"/>
              <w:rPr>
                <w:sz w:val="21"/>
                <w:szCs w:val="21"/>
              </w:rPr>
            </w:pPr>
          </w:p>
          <w:p>
            <w:pPr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资金管理</w:t>
            </w:r>
          </w:p>
        </w:tc>
        <w:tc>
          <w:tcPr>
            <w:tcW w:w="1468" w:type="dxa"/>
            <w:vMerge w:val="restart"/>
          </w:tcPr>
          <w:p>
            <w:pPr>
              <w:ind w:firstLine="0" w:firstLineChars="0"/>
              <w:jc w:val="center"/>
              <w:rPr>
                <w:sz w:val="21"/>
                <w:szCs w:val="21"/>
              </w:rPr>
            </w:pPr>
          </w:p>
          <w:p>
            <w:pPr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</w:t>
            </w:r>
          </w:p>
        </w:tc>
        <w:tc>
          <w:tcPr>
            <w:tcW w:w="1726" w:type="dxa"/>
          </w:tcPr>
          <w:p>
            <w:pPr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资金到位率</w:t>
            </w:r>
          </w:p>
        </w:tc>
        <w:tc>
          <w:tcPr>
            <w:tcW w:w="732" w:type="dxa"/>
          </w:tcPr>
          <w:p>
            <w:pPr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</w:t>
            </w:r>
          </w:p>
        </w:tc>
        <w:tc>
          <w:tcPr>
            <w:tcW w:w="736" w:type="dxa"/>
          </w:tcPr>
          <w:p>
            <w:pPr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6" w:type="dxa"/>
            <w:vMerge w:val="continue"/>
          </w:tcPr>
          <w:p>
            <w:pPr>
              <w:ind w:firstLine="0" w:firstLineChars="0"/>
              <w:rPr>
                <w:sz w:val="21"/>
                <w:szCs w:val="21"/>
              </w:rPr>
            </w:pPr>
          </w:p>
        </w:tc>
        <w:tc>
          <w:tcPr>
            <w:tcW w:w="1468" w:type="dxa"/>
            <w:vMerge w:val="continue"/>
          </w:tcPr>
          <w:p>
            <w:pPr>
              <w:ind w:firstLine="0" w:firstLineChars="0"/>
              <w:rPr>
                <w:sz w:val="21"/>
                <w:szCs w:val="21"/>
              </w:rPr>
            </w:pPr>
          </w:p>
        </w:tc>
        <w:tc>
          <w:tcPr>
            <w:tcW w:w="1196" w:type="dxa"/>
            <w:gridSpan w:val="2"/>
            <w:vMerge w:val="continue"/>
          </w:tcPr>
          <w:p>
            <w:pPr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1468" w:type="dxa"/>
            <w:vMerge w:val="continue"/>
          </w:tcPr>
          <w:p>
            <w:pPr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1726" w:type="dxa"/>
          </w:tcPr>
          <w:p>
            <w:pPr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预算执行率</w:t>
            </w:r>
          </w:p>
        </w:tc>
        <w:tc>
          <w:tcPr>
            <w:tcW w:w="732" w:type="dxa"/>
          </w:tcPr>
          <w:p>
            <w:pPr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</w:t>
            </w:r>
          </w:p>
        </w:tc>
        <w:tc>
          <w:tcPr>
            <w:tcW w:w="736" w:type="dxa"/>
          </w:tcPr>
          <w:p>
            <w:pPr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6" w:type="dxa"/>
            <w:vMerge w:val="continue"/>
          </w:tcPr>
          <w:p>
            <w:pPr>
              <w:ind w:firstLine="0" w:firstLineChars="0"/>
              <w:rPr>
                <w:sz w:val="21"/>
                <w:szCs w:val="21"/>
              </w:rPr>
            </w:pPr>
          </w:p>
        </w:tc>
        <w:tc>
          <w:tcPr>
            <w:tcW w:w="1468" w:type="dxa"/>
            <w:vMerge w:val="continue"/>
          </w:tcPr>
          <w:p>
            <w:pPr>
              <w:ind w:firstLine="0" w:firstLineChars="0"/>
              <w:rPr>
                <w:sz w:val="21"/>
                <w:szCs w:val="21"/>
              </w:rPr>
            </w:pPr>
          </w:p>
        </w:tc>
        <w:tc>
          <w:tcPr>
            <w:tcW w:w="1196" w:type="dxa"/>
            <w:gridSpan w:val="2"/>
            <w:vMerge w:val="continue"/>
          </w:tcPr>
          <w:p>
            <w:pPr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1468" w:type="dxa"/>
            <w:vMerge w:val="continue"/>
          </w:tcPr>
          <w:p>
            <w:pPr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1726" w:type="dxa"/>
          </w:tcPr>
          <w:p>
            <w:pPr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资金使用合规性</w:t>
            </w:r>
          </w:p>
        </w:tc>
        <w:tc>
          <w:tcPr>
            <w:tcW w:w="0" w:type="auto"/>
          </w:tcPr>
          <w:p>
            <w:pPr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0" w:type="auto"/>
          </w:tcPr>
          <w:p>
            <w:pPr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6" w:type="dxa"/>
            <w:vMerge w:val="continue"/>
          </w:tcPr>
          <w:p>
            <w:pPr>
              <w:ind w:firstLine="0" w:firstLineChars="0"/>
              <w:rPr>
                <w:sz w:val="21"/>
                <w:szCs w:val="21"/>
              </w:rPr>
            </w:pPr>
          </w:p>
        </w:tc>
        <w:tc>
          <w:tcPr>
            <w:tcW w:w="1468" w:type="dxa"/>
            <w:vMerge w:val="continue"/>
          </w:tcPr>
          <w:p>
            <w:pPr>
              <w:ind w:firstLine="0" w:firstLineChars="0"/>
              <w:rPr>
                <w:sz w:val="21"/>
                <w:szCs w:val="21"/>
              </w:rPr>
            </w:pPr>
          </w:p>
        </w:tc>
        <w:tc>
          <w:tcPr>
            <w:tcW w:w="1196" w:type="dxa"/>
            <w:gridSpan w:val="2"/>
            <w:vMerge w:val="restart"/>
          </w:tcPr>
          <w:p>
            <w:pPr>
              <w:ind w:firstLine="0" w:firstLineChars="0"/>
              <w:jc w:val="center"/>
              <w:rPr>
                <w:sz w:val="21"/>
                <w:szCs w:val="21"/>
              </w:rPr>
            </w:pPr>
          </w:p>
          <w:p>
            <w:pPr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组织实施</w:t>
            </w:r>
          </w:p>
        </w:tc>
        <w:tc>
          <w:tcPr>
            <w:tcW w:w="1468" w:type="dxa"/>
            <w:vMerge w:val="restart"/>
          </w:tcPr>
          <w:p>
            <w:pPr>
              <w:ind w:firstLine="0" w:firstLineChars="0"/>
              <w:jc w:val="center"/>
              <w:rPr>
                <w:sz w:val="21"/>
                <w:szCs w:val="21"/>
              </w:rPr>
            </w:pPr>
          </w:p>
          <w:p>
            <w:pPr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</w:t>
            </w:r>
          </w:p>
        </w:tc>
        <w:tc>
          <w:tcPr>
            <w:tcW w:w="1726" w:type="dxa"/>
          </w:tcPr>
          <w:p>
            <w:pPr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管理制度健全性</w:t>
            </w:r>
          </w:p>
        </w:tc>
        <w:tc>
          <w:tcPr>
            <w:tcW w:w="0" w:type="auto"/>
          </w:tcPr>
          <w:p>
            <w:pPr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</w:t>
            </w:r>
          </w:p>
        </w:tc>
        <w:tc>
          <w:tcPr>
            <w:tcW w:w="0" w:type="auto"/>
          </w:tcPr>
          <w:p>
            <w:pPr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6" w:type="dxa"/>
            <w:vMerge w:val="continue"/>
          </w:tcPr>
          <w:p>
            <w:pPr>
              <w:ind w:firstLine="0" w:firstLineChars="0"/>
              <w:rPr>
                <w:sz w:val="21"/>
                <w:szCs w:val="21"/>
              </w:rPr>
            </w:pPr>
          </w:p>
        </w:tc>
        <w:tc>
          <w:tcPr>
            <w:tcW w:w="1468" w:type="dxa"/>
            <w:vMerge w:val="continue"/>
          </w:tcPr>
          <w:p>
            <w:pPr>
              <w:ind w:firstLine="0" w:firstLineChars="0"/>
              <w:rPr>
                <w:sz w:val="21"/>
                <w:szCs w:val="21"/>
              </w:rPr>
            </w:pPr>
          </w:p>
        </w:tc>
        <w:tc>
          <w:tcPr>
            <w:tcW w:w="1196" w:type="dxa"/>
            <w:gridSpan w:val="2"/>
            <w:vMerge w:val="continue"/>
          </w:tcPr>
          <w:p>
            <w:pPr>
              <w:ind w:firstLine="0" w:firstLineChars="0"/>
              <w:rPr>
                <w:sz w:val="21"/>
                <w:szCs w:val="21"/>
              </w:rPr>
            </w:pPr>
          </w:p>
        </w:tc>
        <w:tc>
          <w:tcPr>
            <w:tcW w:w="1468" w:type="dxa"/>
            <w:vMerge w:val="continue"/>
          </w:tcPr>
          <w:p>
            <w:pPr>
              <w:ind w:firstLine="0" w:firstLineChars="0"/>
              <w:rPr>
                <w:sz w:val="21"/>
                <w:szCs w:val="21"/>
              </w:rPr>
            </w:pPr>
          </w:p>
        </w:tc>
        <w:tc>
          <w:tcPr>
            <w:tcW w:w="1726" w:type="dxa"/>
          </w:tcPr>
          <w:p>
            <w:pPr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制度执行有效性</w:t>
            </w:r>
          </w:p>
        </w:tc>
        <w:tc>
          <w:tcPr>
            <w:tcW w:w="0" w:type="auto"/>
          </w:tcPr>
          <w:p>
            <w:pPr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</w:t>
            </w:r>
          </w:p>
        </w:tc>
        <w:tc>
          <w:tcPr>
            <w:tcW w:w="0" w:type="auto"/>
          </w:tcPr>
          <w:p>
            <w:pPr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6" w:type="dxa"/>
            <w:vMerge w:val="restart"/>
          </w:tcPr>
          <w:p>
            <w:pPr>
              <w:ind w:firstLine="0" w:firstLineChars="0"/>
              <w:rPr>
                <w:sz w:val="21"/>
                <w:szCs w:val="21"/>
              </w:rPr>
            </w:pPr>
          </w:p>
          <w:p>
            <w:pPr>
              <w:ind w:firstLine="0" w:firstLineChars="0"/>
              <w:rPr>
                <w:sz w:val="21"/>
                <w:szCs w:val="21"/>
              </w:rPr>
            </w:pPr>
          </w:p>
          <w:p>
            <w:pPr>
              <w:ind w:firstLine="0" w:firstLineChars="0"/>
              <w:rPr>
                <w:sz w:val="21"/>
                <w:szCs w:val="21"/>
              </w:rPr>
            </w:pPr>
          </w:p>
          <w:p>
            <w:pPr>
              <w:ind w:firstLine="0" w:firstLineChars="0"/>
              <w:rPr>
                <w:sz w:val="21"/>
                <w:szCs w:val="21"/>
              </w:rPr>
            </w:pPr>
          </w:p>
          <w:p>
            <w:pPr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产出指标</w:t>
            </w:r>
          </w:p>
        </w:tc>
        <w:tc>
          <w:tcPr>
            <w:tcW w:w="1468" w:type="dxa"/>
            <w:vMerge w:val="restart"/>
          </w:tcPr>
          <w:p>
            <w:pPr>
              <w:ind w:firstLine="0" w:firstLineChars="0"/>
              <w:jc w:val="center"/>
              <w:rPr>
                <w:sz w:val="21"/>
                <w:szCs w:val="21"/>
              </w:rPr>
            </w:pPr>
          </w:p>
          <w:p>
            <w:pPr>
              <w:ind w:firstLine="0" w:firstLineChars="0"/>
              <w:jc w:val="center"/>
              <w:rPr>
                <w:sz w:val="21"/>
                <w:szCs w:val="21"/>
              </w:rPr>
            </w:pPr>
          </w:p>
          <w:p>
            <w:pPr>
              <w:ind w:firstLine="0" w:firstLineChars="0"/>
              <w:jc w:val="center"/>
              <w:rPr>
                <w:sz w:val="21"/>
                <w:szCs w:val="21"/>
              </w:rPr>
            </w:pPr>
          </w:p>
          <w:p>
            <w:pPr>
              <w:ind w:firstLine="0" w:firstLineChars="0"/>
              <w:jc w:val="center"/>
              <w:rPr>
                <w:sz w:val="21"/>
                <w:szCs w:val="21"/>
              </w:rPr>
            </w:pPr>
          </w:p>
          <w:p>
            <w:pPr>
              <w:ind w:firstLine="0" w:firstLineChars="0"/>
              <w:jc w:val="center"/>
              <w:rPr>
                <w:sz w:val="21"/>
                <w:szCs w:val="21"/>
              </w:rPr>
            </w:pPr>
          </w:p>
          <w:p>
            <w:pPr>
              <w:ind w:firstLine="0" w:firstLineChars="0"/>
              <w:jc w:val="center"/>
              <w:rPr>
                <w:sz w:val="21"/>
                <w:szCs w:val="21"/>
              </w:rPr>
            </w:pPr>
          </w:p>
          <w:p>
            <w:pPr>
              <w:ind w:firstLine="0" w:firstLineChars="0"/>
              <w:jc w:val="center"/>
              <w:rPr>
                <w:sz w:val="21"/>
                <w:szCs w:val="21"/>
              </w:rPr>
            </w:pPr>
          </w:p>
          <w:p>
            <w:pPr>
              <w:ind w:firstLine="0" w:firstLineChars="0"/>
              <w:jc w:val="center"/>
              <w:rPr>
                <w:sz w:val="21"/>
                <w:szCs w:val="21"/>
              </w:rPr>
            </w:pPr>
          </w:p>
          <w:p>
            <w:pPr>
              <w:ind w:firstLine="0" w:firstLineChars="0"/>
              <w:jc w:val="center"/>
              <w:rPr>
                <w:sz w:val="21"/>
                <w:szCs w:val="21"/>
              </w:rPr>
            </w:pPr>
          </w:p>
          <w:p>
            <w:pPr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60</w:t>
            </w:r>
          </w:p>
        </w:tc>
        <w:tc>
          <w:tcPr>
            <w:tcW w:w="1196" w:type="dxa"/>
            <w:gridSpan w:val="2"/>
          </w:tcPr>
          <w:p>
            <w:pPr>
              <w:ind w:firstLine="0" w:firstLineChars="0"/>
              <w:rPr>
                <w:sz w:val="21"/>
                <w:szCs w:val="21"/>
              </w:rPr>
            </w:pPr>
          </w:p>
          <w:p>
            <w:pPr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数量指标</w:t>
            </w:r>
          </w:p>
        </w:tc>
        <w:tc>
          <w:tcPr>
            <w:tcW w:w="1468" w:type="dxa"/>
          </w:tcPr>
          <w:p>
            <w:pPr>
              <w:ind w:firstLine="0" w:firstLineChars="0"/>
              <w:jc w:val="center"/>
              <w:rPr>
                <w:sz w:val="21"/>
                <w:szCs w:val="21"/>
              </w:rPr>
            </w:pPr>
          </w:p>
          <w:p>
            <w:pPr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</w:t>
            </w:r>
          </w:p>
        </w:tc>
        <w:tc>
          <w:tcPr>
            <w:tcW w:w="1726" w:type="dxa"/>
          </w:tcPr>
          <w:p>
            <w:pPr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防治面积（万亩）</w:t>
            </w:r>
          </w:p>
        </w:tc>
        <w:tc>
          <w:tcPr>
            <w:tcW w:w="0" w:type="auto"/>
          </w:tcPr>
          <w:p>
            <w:pPr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</w:t>
            </w:r>
          </w:p>
        </w:tc>
        <w:tc>
          <w:tcPr>
            <w:tcW w:w="0" w:type="auto"/>
          </w:tcPr>
          <w:p>
            <w:pPr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6" w:type="dxa"/>
            <w:vMerge w:val="continue"/>
          </w:tcPr>
          <w:p>
            <w:pPr>
              <w:ind w:firstLine="0" w:firstLineChars="0"/>
              <w:rPr>
                <w:sz w:val="21"/>
                <w:szCs w:val="21"/>
              </w:rPr>
            </w:pPr>
          </w:p>
        </w:tc>
        <w:tc>
          <w:tcPr>
            <w:tcW w:w="1468" w:type="dxa"/>
            <w:vMerge w:val="continue"/>
          </w:tcPr>
          <w:p>
            <w:pPr>
              <w:ind w:firstLine="0" w:firstLineChars="0"/>
              <w:rPr>
                <w:sz w:val="21"/>
                <w:szCs w:val="21"/>
              </w:rPr>
            </w:pPr>
          </w:p>
        </w:tc>
        <w:tc>
          <w:tcPr>
            <w:tcW w:w="1196" w:type="dxa"/>
            <w:gridSpan w:val="2"/>
          </w:tcPr>
          <w:p>
            <w:pPr>
              <w:ind w:firstLine="0" w:firstLineChars="0"/>
              <w:rPr>
                <w:sz w:val="21"/>
                <w:szCs w:val="21"/>
              </w:rPr>
            </w:pPr>
          </w:p>
          <w:p>
            <w:pPr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质量指标</w:t>
            </w:r>
          </w:p>
        </w:tc>
        <w:tc>
          <w:tcPr>
            <w:tcW w:w="1468" w:type="dxa"/>
          </w:tcPr>
          <w:p>
            <w:pPr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</w:t>
            </w:r>
          </w:p>
        </w:tc>
        <w:tc>
          <w:tcPr>
            <w:tcW w:w="1726" w:type="dxa"/>
          </w:tcPr>
          <w:p>
            <w:pPr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林业有害生物成灾率（‰）</w:t>
            </w:r>
          </w:p>
        </w:tc>
        <w:tc>
          <w:tcPr>
            <w:tcW w:w="0" w:type="auto"/>
          </w:tcPr>
          <w:p>
            <w:pPr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</w:t>
            </w:r>
          </w:p>
        </w:tc>
        <w:tc>
          <w:tcPr>
            <w:tcW w:w="0" w:type="auto"/>
          </w:tcPr>
          <w:p>
            <w:pPr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6" w:type="dxa"/>
            <w:vMerge w:val="continue"/>
          </w:tcPr>
          <w:p>
            <w:pPr>
              <w:ind w:firstLine="0" w:firstLineChars="0"/>
              <w:rPr>
                <w:sz w:val="21"/>
                <w:szCs w:val="21"/>
              </w:rPr>
            </w:pPr>
          </w:p>
        </w:tc>
        <w:tc>
          <w:tcPr>
            <w:tcW w:w="1468" w:type="dxa"/>
            <w:vMerge w:val="continue"/>
          </w:tcPr>
          <w:p>
            <w:pPr>
              <w:ind w:firstLine="0" w:firstLineChars="0"/>
              <w:rPr>
                <w:sz w:val="21"/>
                <w:szCs w:val="21"/>
              </w:rPr>
            </w:pPr>
          </w:p>
        </w:tc>
        <w:tc>
          <w:tcPr>
            <w:tcW w:w="1196" w:type="dxa"/>
            <w:gridSpan w:val="2"/>
          </w:tcPr>
          <w:p>
            <w:pPr>
              <w:ind w:firstLine="0" w:firstLineChars="0"/>
              <w:rPr>
                <w:sz w:val="21"/>
                <w:szCs w:val="21"/>
              </w:rPr>
            </w:pPr>
          </w:p>
          <w:p>
            <w:pPr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时效指标</w:t>
            </w:r>
          </w:p>
        </w:tc>
        <w:tc>
          <w:tcPr>
            <w:tcW w:w="1468" w:type="dxa"/>
          </w:tcPr>
          <w:p>
            <w:pPr>
              <w:ind w:firstLine="0" w:firstLineChars="0"/>
              <w:jc w:val="center"/>
              <w:rPr>
                <w:sz w:val="21"/>
                <w:szCs w:val="21"/>
              </w:rPr>
            </w:pPr>
          </w:p>
          <w:p>
            <w:pPr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</w:t>
            </w:r>
          </w:p>
        </w:tc>
        <w:tc>
          <w:tcPr>
            <w:tcW w:w="1726" w:type="dxa"/>
          </w:tcPr>
          <w:p>
            <w:pPr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林业有害生物防治任务完成率（％）</w:t>
            </w:r>
          </w:p>
        </w:tc>
        <w:tc>
          <w:tcPr>
            <w:tcW w:w="0" w:type="auto"/>
          </w:tcPr>
          <w:p>
            <w:pPr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</w:t>
            </w:r>
          </w:p>
        </w:tc>
        <w:tc>
          <w:tcPr>
            <w:tcW w:w="0" w:type="auto"/>
          </w:tcPr>
          <w:p>
            <w:pPr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6" w:type="dxa"/>
            <w:vMerge w:val="restart"/>
          </w:tcPr>
          <w:p>
            <w:pPr>
              <w:ind w:firstLine="0" w:firstLineChars="0"/>
              <w:jc w:val="center"/>
              <w:rPr>
                <w:sz w:val="21"/>
                <w:szCs w:val="21"/>
              </w:rPr>
            </w:pPr>
          </w:p>
          <w:p>
            <w:pPr>
              <w:ind w:firstLine="0" w:firstLineChars="0"/>
              <w:jc w:val="center"/>
              <w:rPr>
                <w:sz w:val="21"/>
                <w:szCs w:val="21"/>
              </w:rPr>
            </w:pPr>
          </w:p>
          <w:p>
            <w:pPr>
              <w:ind w:firstLine="0" w:firstLineChars="0"/>
              <w:jc w:val="center"/>
              <w:rPr>
                <w:sz w:val="21"/>
                <w:szCs w:val="21"/>
              </w:rPr>
            </w:pPr>
          </w:p>
          <w:p>
            <w:pPr>
              <w:ind w:firstLine="0" w:firstLineChars="0"/>
              <w:jc w:val="center"/>
              <w:rPr>
                <w:sz w:val="21"/>
                <w:szCs w:val="21"/>
              </w:rPr>
            </w:pPr>
          </w:p>
          <w:p>
            <w:pPr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效益指标</w:t>
            </w:r>
          </w:p>
        </w:tc>
        <w:tc>
          <w:tcPr>
            <w:tcW w:w="1468" w:type="dxa"/>
            <w:vMerge w:val="continue"/>
          </w:tcPr>
          <w:p>
            <w:pPr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1196" w:type="dxa"/>
            <w:gridSpan w:val="2"/>
          </w:tcPr>
          <w:p>
            <w:pPr>
              <w:ind w:firstLine="0" w:firstLineChars="0"/>
              <w:jc w:val="center"/>
              <w:rPr>
                <w:sz w:val="21"/>
                <w:szCs w:val="21"/>
              </w:rPr>
            </w:pPr>
          </w:p>
          <w:p>
            <w:pPr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经济效益</w:t>
            </w:r>
          </w:p>
        </w:tc>
        <w:tc>
          <w:tcPr>
            <w:tcW w:w="1468" w:type="dxa"/>
          </w:tcPr>
          <w:p>
            <w:pPr>
              <w:ind w:firstLine="0" w:firstLineChars="0"/>
              <w:jc w:val="center"/>
              <w:rPr>
                <w:sz w:val="21"/>
                <w:szCs w:val="21"/>
              </w:rPr>
            </w:pPr>
          </w:p>
          <w:p>
            <w:pPr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</w:t>
            </w:r>
          </w:p>
        </w:tc>
        <w:tc>
          <w:tcPr>
            <w:tcW w:w="1726" w:type="dxa"/>
          </w:tcPr>
          <w:p>
            <w:pPr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林业有害生物防治挽回经济损失（亿元）</w:t>
            </w:r>
          </w:p>
        </w:tc>
        <w:tc>
          <w:tcPr>
            <w:tcW w:w="0" w:type="auto"/>
          </w:tcPr>
          <w:p>
            <w:pPr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</w:t>
            </w:r>
          </w:p>
        </w:tc>
        <w:tc>
          <w:tcPr>
            <w:tcW w:w="0" w:type="auto"/>
          </w:tcPr>
          <w:p>
            <w:pPr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6" w:type="dxa"/>
            <w:vMerge w:val="continue"/>
          </w:tcPr>
          <w:p>
            <w:pPr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1468" w:type="dxa"/>
            <w:vMerge w:val="continue"/>
          </w:tcPr>
          <w:p>
            <w:pPr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1196" w:type="dxa"/>
            <w:gridSpan w:val="2"/>
          </w:tcPr>
          <w:p>
            <w:pPr>
              <w:ind w:firstLine="0" w:firstLineChars="0"/>
              <w:jc w:val="center"/>
              <w:rPr>
                <w:sz w:val="21"/>
                <w:szCs w:val="21"/>
              </w:rPr>
            </w:pPr>
          </w:p>
          <w:p>
            <w:pPr>
              <w:ind w:firstLine="0" w:firstLineChars="0"/>
              <w:jc w:val="center"/>
              <w:rPr>
                <w:sz w:val="21"/>
                <w:szCs w:val="21"/>
              </w:rPr>
            </w:pPr>
          </w:p>
          <w:p>
            <w:pPr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生态效益</w:t>
            </w:r>
          </w:p>
        </w:tc>
        <w:tc>
          <w:tcPr>
            <w:tcW w:w="1468" w:type="dxa"/>
          </w:tcPr>
          <w:p>
            <w:pPr>
              <w:ind w:firstLine="0" w:firstLineChars="0"/>
              <w:jc w:val="center"/>
              <w:rPr>
                <w:sz w:val="21"/>
                <w:szCs w:val="21"/>
              </w:rPr>
            </w:pPr>
          </w:p>
          <w:p>
            <w:pPr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</w:t>
            </w:r>
          </w:p>
        </w:tc>
        <w:tc>
          <w:tcPr>
            <w:tcW w:w="1726" w:type="dxa"/>
          </w:tcPr>
          <w:p>
            <w:pPr>
              <w:ind w:firstLine="0" w:firstLineChars="0"/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林业有害生物无公害防治率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%)</w:t>
            </w:r>
          </w:p>
        </w:tc>
        <w:tc>
          <w:tcPr>
            <w:tcW w:w="0" w:type="auto"/>
          </w:tcPr>
          <w:p>
            <w:pPr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</w:t>
            </w:r>
          </w:p>
        </w:tc>
        <w:tc>
          <w:tcPr>
            <w:tcW w:w="0" w:type="auto"/>
          </w:tcPr>
          <w:p>
            <w:pPr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6" w:type="dxa"/>
          </w:tcPr>
          <w:p>
            <w:pPr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满意度指标</w:t>
            </w:r>
          </w:p>
        </w:tc>
        <w:tc>
          <w:tcPr>
            <w:tcW w:w="1468" w:type="dxa"/>
            <w:vMerge w:val="continue"/>
          </w:tcPr>
          <w:p>
            <w:pPr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1196" w:type="dxa"/>
            <w:gridSpan w:val="2"/>
          </w:tcPr>
          <w:p>
            <w:pPr>
              <w:ind w:firstLine="0" w:firstLineChars="0"/>
              <w:jc w:val="center"/>
              <w:rPr>
                <w:sz w:val="21"/>
                <w:szCs w:val="21"/>
              </w:rPr>
            </w:pPr>
          </w:p>
          <w:p>
            <w:pPr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满意度</w:t>
            </w:r>
          </w:p>
        </w:tc>
        <w:tc>
          <w:tcPr>
            <w:tcW w:w="1468" w:type="dxa"/>
          </w:tcPr>
          <w:p>
            <w:pPr>
              <w:ind w:firstLine="0" w:firstLineChars="0"/>
              <w:jc w:val="center"/>
              <w:rPr>
                <w:sz w:val="21"/>
                <w:szCs w:val="21"/>
              </w:rPr>
            </w:pPr>
          </w:p>
          <w:p>
            <w:pPr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</w:t>
            </w:r>
          </w:p>
        </w:tc>
        <w:tc>
          <w:tcPr>
            <w:tcW w:w="1726" w:type="dxa"/>
          </w:tcPr>
          <w:p>
            <w:pPr>
              <w:ind w:firstLine="0" w:firstLineChars="0"/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林业有害生物防治辖区民众满意度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(%)</w:t>
            </w:r>
          </w:p>
        </w:tc>
        <w:tc>
          <w:tcPr>
            <w:tcW w:w="0" w:type="auto"/>
          </w:tcPr>
          <w:p>
            <w:pPr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</w:t>
            </w:r>
          </w:p>
        </w:tc>
        <w:tc>
          <w:tcPr>
            <w:tcW w:w="0" w:type="auto"/>
          </w:tcPr>
          <w:p>
            <w:pPr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6" w:type="dxa"/>
          </w:tcPr>
          <w:p>
            <w:pPr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总分</w:t>
            </w:r>
          </w:p>
        </w:tc>
        <w:tc>
          <w:tcPr>
            <w:tcW w:w="1468" w:type="dxa"/>
          </w:tcPr>
          <w:p>
            <w:pPr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</w:t>
            </w:r>
          </w:p>
        </w:tc>
        <w:tc>
          <w:tcPr>
            <w:tcW w:w="1196" w:type="dxa"/>
            <w:gridSpan w:val="2"/>
          </w:tcPr>
          <w:p>
            <w:pPr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1468" w:type="dxa"/>
          </w:tcPr>
          <w:p>
            <w:pPr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</w:t>
            </w:r>
          </w:p>
        </w:tc>
        <w:tc>
          <w:tcPr>
            <w:tcW w:w="1726" w:type="dxa"/>
          </w:tcPr>
          <w:p>
            <w:pPr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</w:tcPr>
          <w:p>
            <w:pPr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</w:t>
            </w:r>
          </w:p>
        </w:tc>
        <w:tc>
          <w:tcPr>
            <w:tcW w:w="0" w:type="auto"/>
          </w:tcPr>
          <w:p>
            <w:pPr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6" w:type="dxa"/>
            <w:vMerge w:val="restart"/>
          </w:tcPr>
          <w:p>
            <w:pPr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评价等次</w:t>
            </w:r>
          </w:p>
        </w:tc>
        <w:tc>
          <w:tcPr>
            <w:tcW w:w="7326" w:type="dxa"/>
            <w:gridSpan w:val="7"/>
          </w:tcPr>
          <w:p>
            <w:pPr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sym w:font="Wingdings 2" w:char="0052"/>
            </w:r>
            <w:r>
              <w:rPr>
                <w:rFonts w:hint="eastAsia"/>
                <w:sz w:val="21"/>
                <w:szCs w:val="21"/>
              </w:rPr>
              <w:t xml:space="preserve">     良</w:t>
            </w:r>
            <w:r>
              <w:rPr>
                <w:rFonts w:hint="eastAsia"/>
                <w:sz w:val="21"/>
                <w:szCs w:val="21"/>
              </w:rPr>
              <w:sym w:font="Wingdings 2" w:char="00A3"/>
            </w:r>
            <w:r>
              <w:rPr>
                <w:rFonts w:hint="eastAsia"/>
                <w:sz w:val="21"/>
                <w:szCs w:val="21"/>
              </w:rPr>
              <w:t xml:space="preserve">     中</w:t>
            </w:r>
            <w:r>
              <w:rPr>
                <w:rFonts w:hint="eastAsia"/>
                <w:sz w:val="21"/>
                <w:szCs w:val="21"/>
              </w:rPr>
              <w:sym w:font="Wingdings 2" w:char="00A3"/>
            </w:r>
            <w:r>
              <w:rPr>
                <w:rFonts w:hint="eastAsia"/>
                <w:sz w:val="21"/>
                <w:szCs w:val="21"/>
              </w:rPr>
              <w:t xml:space="preserve">     差</w:t>
            </w:r>
            <w:r>
              <w:rPr>
                <w:rFonts w:hint="eastAsia"/>
                <w:sz w:val="21"/>
                <w:szCs w:val="21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6" w:type="dxa"/>
            <w:vMerge w:val="continue"/>
          </w:tcPr>
          <w:p>
            <w:pPr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7326" w:type="dxa"/>
            <w:gridSpan w:val="7"/>
          </w:tcPr>
          <w:p>
            <w:pPr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90（含）-100分为优、80（含）-90分为良、60（含）-80分为中、60分以下为差</w:t>
            </w:r>
          </w:p>
        </w:tc>
      </w:tr>
    </w:tbl>
    <w:p>
      <w:pPr>
        <w:ind w:firstLine="0" w:firstLineChars="0"/>
        <w:jc w:val="center"/>
      </w:pPr>
    </w:p>
    <w:p>
      <w:pPr>
        <w:pStyle w:val="2"/>
        <w:ind w:firstLine="0" w:firstLineChars="0"/>
        <w:jc w:val="both"/>
      </w:pPr>
      <w:r>
        <w:rPr>
          <w:rFonts w:hint="eastAsia"/>
        </w:rPr>
        <w:br w:type="page"/>
      </w:r>
    </w:p>
    <w:p>
      <w:pPr>
        <w:ind w:firstLine="0" w:firstLineChars="0"/>
      </w:pPr>
    </w:p>
    <w:p>
      <w:pPr>
        <w:pStyle w:val="2"/>
        <w:ind w:firstLine="0" w:firstLineChars="0"/>
      </w:pPr>
      <w:r>
        <w:rPr>
          <w:rFonts w:hint="eastAsia" w:ascii="宋体" w:hAnsi="宋体"/>
        </w:rPr>
        <w:t>浮梁县2021年林业有害生物（松材线虫病）防治</w:t>
      </w:r>
      <w:r>
        <w:rPr>
          <w:rFonts w:hint="eastAsia"/>
        </w:rPr>
        <w:t>项目支出绩效评价报告</w:t>
      </w:r>
    </w:p>
    <w:p>
      <w:pPr>
        <w:ind w:firstLine="0" w:firstLineChars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县财政局：</w:t>
      </w:r>
    </w:p>
    <w:p>
      <w:pPr>
        <w:ind w:firstLine="64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根据《关于开展2021年度中央和省级转移支付预算执行情况绩效自评工作的通知》赣林函字〔2021〕26号要求，我局按照文件要求组织开展了浮梁县2021年林业有害生物（松材线虫病）项目支出绩效自评工作，现将有关情况报告如下：</w:t>
      </w:r>
    </w:p>
    <w:p>
      <w:pPr>
        <w:pStyle w:val="3"/>
        <w:ind w:firstLine="643"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>一、基本情况</w:t>
      </w:r>
    </w:p>
    <w:p>
      <w:pPr>
        <w:pStyle w:val="4"/>
        <w:ind w:firstLine="64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(一)项目概况</w:t>
      </w:r>
    </w:p>
    <w:p>
      <w:pPr>
        <w:pStyle w:val="15"/>
        <w:spacing w:line="560" w:lineRule="exact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松材线虫病是一种松树的毁灭性病害，具有致病力强、寄主死亡速度快、传播迅速的特点。近年来，我县松材线虫病防控工作在县委县政府的高度重视和正确领导下，县直有关单位及各乡镇共同努力下，发生面积和病死树数量较往年均有所下降。但由于生物灾害的特殊性，全县疫情的发生形势依然十分严峻。松材线虫病防治费用很高，控制其扩散蔓延要花费很大的代价。疫情监测、检疫封锁、砍伐枯死松树、松褐天牛综合治理、疫木除害处理等都需要投入大量人力、物力和财力。由于与我县毗邻区疫情发生严重，传播蔓延的机率增大，如果不加大防控力度，还会造成更大的、前所未有的林业有害生物灾害。</w:t>
      </w:r>
      <w:r>
        <w:rPr>
          <w:rFonts w:hint="eastAsia" w:ascii="仿宋_GB2312" w:hAnsi="仿宋" w:eastAsia="仿宋_GB2312" w:cs="仿宋"/>
          <w:sz w:val="32"/>
          <w:szCs w:val="32"/>
        </w:rPr>
        <w:t xml:space="preserve"> </w:t>
      </w:r>
    </w:p>
    <w:p>
      <w:pPr>
        <w:pStyle w:val="4"/>
        <w:numPr>
          <w:ilvl w:val="0"/>
          <w:numId w:val="1"/>
        </w:numPr>
        <w:ind w:firstLine="64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项目绩效目标</w:t>
      </w:r>
    </w:p>
    <w:p>
      <w:pPr>
        <w:pStyle w:val="15"/>
        <w:spacing w:line="560" w:lineRule="exact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1、加强松材线虫病监测普查工作，确保第一时间发现新疫情，并及时处置。</w:t>
      </w:r>
    </w:p>
    <w:p>
      <w:pPr>
        <w:pStyle w:val="15"/>
        <w:spacing w:line="560" w:lineRule="exact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 xml:space="preserve">2、巩固去冬今春年防治成效，防止浮梁镇、臧湾乡、王港乡、鹅湖镇等乡镇疫情反弹，完成省政府下达的松材线虫病防治阶段性目标任务，逐步压缩湘湖镇、瑶里镇疫情。 </w:t>
      </w:r>
    </w:p>
    <w:p>
      <w:pPr>
        <w:pStyle w:val="15"/>
        <w:spacing w:line="560" w:lineRule="exact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 xml:space="preserve">3、不发生疫木及其产品跨县调运事件。 </w:t>
      </w:r>
    </w:p>
    <w:p>
      <w:pPr>
        <w:pStyle w:val="3"/>
        <w:ind w:firstLine="643"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>二、绩效评价工作开展情况</w:t>
      </w:r>
    </w:p>
    <w:p>
      <w:pPr>
        <w:pStyle w:val="4"/>
        <w:ind w:firstLine="64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(一)绩效评价目的、对象和范围。</w:t>
      </w:r>
    </w:p>
    <w:p>
      <w:pPr>
        <w:ind w:firstLine="640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按照“抓两头、控中间、保重点”的工作思路，伐除全县范围内的所有枯死、衰弱松树，对采伐疫木枝桠进行粉碎或就地烧毁，疫木伐桩采取除害处理。在做好枯死木清理工作的基础上，按照因地制宜，分类施策的原则，落实悬挂诱捕器、设置诱木、打孔注药等各项综合治理措施。强化疫木疫区管理，加大对违法违规采伐、加工、经营和调运疫木行为查处力度，防止疫木流失，避免出现跨县调运检疫事故。</w:t>
      </w:r>
    </w:p>
    <w:p>
      <w:pPr>
        <w:pStyle w:val="4"/>
        <w:ind w:firstLine="64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(二)绩效评价原则、评价指标体系、评价方法、评价标准等，(见附表说明)</w:t>
      </w:r>
    </w:p>
    <w:p>
      <w:pPr>
        <w:pStyle w:val="4"/>
        <w:ind w:firstLine="64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(三)绩效评价工作过程</w:t>
      </w:r>
    </w:p>
    <w:p>
      <w:pPr>
        <w:ind w:firstLine="640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我局对绩效评价工作高度重视，及时组织分管领导及计财、林检站等业务股室认真开展绩效自评工作：一是认真学习国家、省、市、县关于项目资金绩效目标自评工作的文件精神，全面掌握绩效自评的范围、任务、指标及要求，将任务分解落实到各股室、责任到人，明确了完成时间；二是各业务股室按项目资金拨付情况，项目建设任务计划及实施、检查验收等情况，全面开展梳理分析，统计调查，认真进行项目实施自评工作，填写自评表和自评报告；三是利用微信、电话等方式，及时调度工作进展，协调解答工作遇到的问题；四是林业局与财政局和各股室之间通力协作，加强沟通，对资金拨付、票据、任务完成等情况进行进一步核实；五是认真审核汇总，按时上报绩效自评报告和自评表。</w:t>
      </w:r>
    </w:p>
    <w:p>
      <w:pPr>
        <w:pStyle w:val="3"/>
        <w:ind w:firstLine="643"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>三、综合评价情况及评价结论，(见附相关评分表)</w:t>
      </w:r>
    </w:p>
    <w:p>
      <w:pPr>
        <w:pStyle w:val="3"/>
        <w:ind w:firstLine="643"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>四、绩效评价指标分析</w:t>
      </w:r>
    </w:p>
    <w:p>
      <w:pPr>
        <w:pStyle w:val="4"/>
        <w:ind w:firstLine="64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(一)项目决策情况。</w:t>
      </w:r>
    </w:p>
    <w:p>
      <w:pPr>
        <w:ind w:firstLine="640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严格按照下达的该项工作的工作细则。根据2020年秋季普查情况，县林业局组织起草《浮梁县2020-2021年度松材线虫病防治实施方案》（送审稿），提请县政府常务会议对《防治实施方案》进行审议后印发2020-2021年度松材线虫病防治实施方案并严格按方案执行。</w:t>
      </w:r>
    </w:p>
    <w:p>
      <w:pPr>
        <w:pStyle w:val="4"/>
        <w:ind w:firstLine="64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(二)项目过程情况。</w:t>
      </w:r>
    </w:p>
    <w:p>
      <w:pPr>
        <w:ind w:firstLine="640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县本级补助资金309万元，县林业局对防治项目资金执行封闭运行，专人专户管理，分账核算，确保防治资金专款专用。具体是在项目实施完成后，按上级批复的文件和各乡（镇）枯死木清理自查验收，县财政</w:t>
      </w:r>
      <w:r>
        <w:rPr>
          <w:rFonts w:hint="eastAsia" w:ascii="宋体" w:hAnsi="宋体" w:cs="宋体"/>
          <w:kern w:val="2"/>
          <w:sz w:val="28"/>
          <w:szCs w:val="28"/>
          <w:lang w:val="en-US" w:eastAsia="zh-CN" w:bidi="ar-SA"/>
        </w:rPr>
        <w:t>将资金指标下达至林业局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，</w:t>
      </w:r>
      <w:r>
        <w:rPr>
          <w:rFonts w:hint="eastAsia" w:ascii="宋体" w:hAnsi="宋体" w:cs="宋体"/>
          <w:kern w:val="2"/>
          <w:sz w:val="28"/>
          <w:szCs w:val="28"/>
          <w:lang w:val="en-US" w:eastAsia="zh-CN" w:bidi="ar-SA"/>
        </w:rPr>
        <w:t>县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松材线虫病防治</w:t>
      </w:r>
      <w:r>
        <w:rPr>
          <w:rFonts w:hint="eastAsia" w:ascii="宋体" w:hAnsi="宋体" w:cs="宋体"/>
          <w:kern w:val="2"/>
          <w:sz w:val="28"/>
          <w:szCs w:val="28"/>
          <w:lang w:val="en-US" w:eastAsia="zh-CN" w:bidi="ar-SA"/>
        </w:rPr>
        <w:t>指挥部下达资金文件，林业局按文件将资金下达至各乡镇。</w:t>
      </w:r>
    </w:p>
    <w:p>
      <w:pPr>
        <w:pStyle w:val="4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13" w:lineRule="auto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（三）</w:t>
      </w:r>
      <w:r>
        <w:rPr>
          <w:rFonts w:hint="eastAsia" w:ascii="仿宋_GB2312" w:eastAsia="仿宋_GB2312"/>
          <w:sz w:val="32"/>
          <w:szCs w:val="32"/>
        </w:rPr>
        <w:t>项目产出情况。</w:t>
      </w:r>
    </w:p>
    <w:p>
      <w:pPr>
        <w:ind w:firstLine="640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2021年度松材线虫病防治资金309万元主要用于松材线虫病等重大林业有害生物防治工作。根据防治项目计划任务和松材线虫病防治方案的要求，各乡镇在做好枯死木清理的基础上，大力实施松褐天牛综合治理。各乡镇组织除治专业队对3万亩松林实施强度择伐。通过乡镇“回头看”和自查验收，去冬今春全县共清理枯死松树13595株，就地粉碎（削片）1589吨。除治工作结束后，为巩固除治成效，大力实施松褐天牛综合治理。全县释放天敌花绒寄甲成虫13万头；对瑶里、鹅湖等重点区域内12388株古树名木及需要特别保护的松树实施打孔注药6万瓶，完成计划松褐天牛综合治理任务的100%。</w:t>
      </w:r>
    </w:p>
    <w:p>
      <w:pPr>
        <w:pStyle w:val="4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13" w:lineRule="auto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（四）</w:t>
      </w:r>
      <w:r>
        <w:rPr>
          <w:rFonts w:hint="eastAsia" w:ascii="仿宋_GB2312" w:eastAsia="仿宋_GB2312"/>
          <w:sz w:val="32"/>
          <w:szCs w:val="32"/>
        </w:rPr>
        <w:t>项目效益情况。</w:t>
      </w:r>
    </w:p>
    <w:p>
      <w:pPr>
        <w:ind w:firstLine="640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松材线虫病被称为松树的“癌症”，是国际公认的林业上特大的毁灭性病害。一旦松材线虫病在我县扩散蔓延，将严重威胁林业生产安全，造成重大的经济损失和生态环境破坏，通过县级防治项目实施，能有效控制松材线虫病的扩散蔓延态势，充分发挥生态、经济和社会效益，切实维护生态安全，促进全县林业建设持续、快速、协调、健康发展。</w:t>
      </w:r>
    </w:p>
    <w:p>
      <w:pPr>
        <w:spacing w:line="54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五、主要经验及做法、存在的问题及原因分析</w:t>
      </w:r>
    </w:p>
    <w:p>
      <w:pPr>
        <w:spacing w:line="54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六、有关建议</w:t>
      </w:r>
    </w:p>
    <w:p>
      <w:pPr>
        <w:spacing w:line="54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七、其他需要说明的问题</w:t>
      </w:r>
    </w:p>
    <w:p>
      <w:pPr>
        <w:spacing w:line="60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left="0" w:leftChars="0" w:firstLine="0" w:firstLineChars="0"/>
        <w:rPr>
          <w:rFonts w:hint="eastAsia" w:ascii="仿宋_GB2312" w:hAnsi="仿宋" w:eastAsia="仿宋_GB2312" w:cs="仿宋"/>
          <w:sz w:val="32"/>
          <w:szCs w:val="32"/>
        </w:rPr>
      </w:pPr>
    </w:p>
    <w:sectPr>
      <w:footerReference r:id="rId11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560"/>
      </w:pPr>
      <w:r>
        <w:separator/>
      </w:r>
    </w:p>
  </w:endnote>
  <w:endnote w:type="continuationSeparator" w:id="1">
    <w:p>
      <w:pPr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  <w: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5"/>
                  <w:ind w:firstLine="360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560"/>
      </w:pPr>
      <w:r>
        <w:separator/>
      </w:r>
    </w:p>
  </w:footnote>
  <w:footnote w:type="continuationSeparator" w:id="1">
    <w:p>
      <w:pPr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6217712"/>
    <w:multiLevelType w:val="singleLevel"/>
    <w:tmpl w:val="56217712"/>
    <w:lvl w:ilvl="0" w:tentative="0">
      <w:start w:val="2"/>
      <w:numFmt w:val="chineseCounting"/>
      <w:lvlText w:val="(%1)"/>
      <w:lvlJc w:val="left"/>
      <w:pPr>
        <w:tabs>
          <w:tab w:val="left" w:pos="312"/>
        </w:tabs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TVkZTdkMjczZDY2Mzg5MGM1ZjMwNzE4YTcyMDZhYzcifQ=="/>
  </w:docVars>
  <w:rsids>
    <w:rsidRoot w:val="00172A27"/>
    <w:rsid w:val="00051324"/>
    <w:rsid w:val="00172A27"/>
    <w:rsid w:val="00226F3B"/>
    <w:rsid w:val="002F13D0"/>
    <w:rsid w:val="00354338"/>
    <w:rsid w:val="00571816"/>
    <w:rsid w:val="006572B9"/>
    <w:rsid w:val="0071150A"/>
    <w:rsid w:val="00724A2B"/>
    <w:rsid w:val="0076369E"/>
    <w:rsid w:val="00775E5B"/>
    <w:rsid w:val="008C3AB0"/>
    <w:rsid w:val="009E6BA8"/>
    <w:rsid w:val="00A14C89"/>
    <w:rsid w:val="00BC68B8"/>
    <w:rsid w:val="00D45B9A"/>
    <w:rsid w:val="00E76AE5"/>
    <w:rsid w:val="00EA1569"/>
    <w:rsid w:val="00F946A6"/>
    <w:rsid w:val="00FD4AFB"/>
    <w:rsid w:val="0ABE1B24"/>
    <w:rsid w:val="0D7C7126"/>
    <w:rsid w:val="0F1F56AA"/>
    <w:rsid w:val="16DA141D"/>
    <w:rsid w:val="1AE15F98"/>
    <w:rsid w:val="1C022DF9"/>
    <w:rsid w:val="1E5C79D2"/>
    <w:rsid w:val="1EA8500B"/>
    <w:rsid w:val="1F9A7C8C"/>
    <w:rsid w:val="20EC0AB5"/>
    <w:rsid w:val="219A11F5"/>
    <w:rsid w:val="221139C8"/>
    <w:rsid w:val="23BC52A2"/>
    <w:rsid w:val="23D4352B"/>
    <w:rsid w:val="31C53436"/>
    <w:rsid w:val="36AC3DF5"/>
    <w:rsid w:val="379E7E69"/>
    <w:rsid w:val="3E932D35"/>
    <w:rsid w:val="4A260E6A"/>
    <w:rsid w:val="4C0F7154"/>
    <w:rsid w:val="51776546"/>
    <w:rsid w:val="55FE3579"/>
    <w:rsid w:val="5D504C6C"/>
    <w:rsid w:val="609311E9"/>
    <w:rsid w:val="65C91E0A"/>
    <w:rsid w:val="70FA5857"/>
    <w:rsid w:val="78071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883" w:firstLineChars="200"/>
      <w:jc w:val="both"/>
    </w:pPr>
    <w:rPr>
      <w:rFonts w:eastAsia="宋体" w:asciiTheme="minorAscii" w:hAnsiTheme="minorAscii" w:cstheme="minorBidi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340" w:after="330" w:line="578" w:lineRule="auto"/>
      <w:jc w:val="center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1"/>
    <w:unhideWhenUsed/>
    <w:qFormat/>
    <w:uiPriority w:val="9"/>
    <w:pPr>
      <w:keepLines/>
      <w:spacing w:before="260" w:after="260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line="413" w:lineRule="auto"/>
      <w:outlineLvl w:val="2"/>
    </w:pPr>
    <w:rPr>
      <w:sz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标题 1 Char"/>
    <w:basedOn w:val="9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1">
    <w:name w:val="标题 2 Char"/>
    <w:basedOn w:val="9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12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3">
    <w:name w:val="页眉 Char"/>
    <w:basedOn w:val="9"/>
    <w:link w:val="6"/>
    <w:semiHidden/>
    <w:qFormat/>
    <w:uiPriority w:val="99"/>
    <w:rPr>
      <w:kern w:val="2"/>
      <w:sz w:val="18"/>
      <w:szCs w:val="18"/>
    </w:rPr>
  </w:style>
  <w:style w:type="character" w:customStyle="1" w:styleId="14">
    <w:name w:val="页脚 Char"/>
    <w:basedOn w:val="9"/>
    <w:link w:val="5"/>
    <w:qFormat/>
    <w:uiPriority w:val="99"/>
    <w:rPr>
      <w:kern w:val="2"/>
      <w:sz w:val="18"/>
      <w:szCs w:val="18"/>
    </w:rPr>
  </w:style>
  <w:style w:type="paragraph" w:styleId="15">
    <w:name w:val="List Paragraph"/>
    <w:basedOn w:val="1"/>
    <w:unhideWhenUsed/>
    <w:qFormat/>
    <w:uiPriority w:val="99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theme" Target="theme/theme1.xml"/><Relationship Id="rId11" Type="http://schemas.openxmlformats.org/officeDocument/2006/relationships/footer" Target="footer4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7</Pages>
  <Words>2518</Words>
  <Characters>2647</Characters>
  <Lines>21</Lines>
  <Paragraphs>5</Paragraphs>
  <TotalTime>2</TotalTime>
  <ScaleCrop>false</ScaleCrop>
  <LinksUpToDate>false</LinksUpToDate>
  <CharactersWithSpaces>2730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2021-05-24T07:54:00Z</dcterms:created>
  <dc:creator>微软用户</dc:creator>
  <cp:lastModifiedBy>苞米爱啃窝窝头</cp:lastModifiedBy>
  <cp:lastPrinted>2021-06-21T03:20:00Z</cp:lastPrinted>
  <dcterms:modified xsi:type="dcterms:W3CDTF">2022-06-07T01:48:26Z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8A06522990384516B15ED7E639690B1B</vt:lpwstr>
  </property>
</Properties>
</file>