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_GB2312" w:hAnsi="方正大标宋简体" w:eastAsia="楷体_GB2312"/>
          <w:b/>
          <w:bCs/>
          <w:sz w:val="30"/>
          <w:szCs w:val="30"/>
        </w:rPr>
      </w:pPr>
    </w:p>
    <w:p>
      <w:pPr>
        <w:spacing w:line="600" w:lineRule="exact"/>
        <w:jc w:val="center"/>
        <w:rPr>
          <w:rFonts w:ascii="方正大标宋简体" w:hAnsi="方正大标宋简体" w:eastAsia="方正大标宋简体"/>
          <w:sz w:val="44"/>
          <w:szCs w:val="44"/>
        </w:rPr>
      </w:pPr>
    </w:p>
    <w:p>
      <w:pPr>
        <w:spacing w:line="600" w:lineRule="exact"/>
        <w:jc w:val="center"/>
        <w:rPr>
          <w:rFonts w:ascii="方正大标宋简体" w:hAnsi="方正大标宋简体" w:eastAsia="方正大标宋简体"/>
          <w:sz w:val="44"/>
          <w:szCs w:val="44"/>
        </w:rPr>
      </w:pPr>
      <w:r>
        <w:rPr>
          <w:rFonts w:hint="eastAsia" w:ascii="方正大标宋简体" w:hAnsi="方正大标宋简体" w:eastAsia="方正大标宋简体" w:cs="方正大标宋简体"/>
          <w:sz w:val="44"/>
          <w:szCs w:val="44"/>
          <w:lang w:eastAsia="zh-CN"/>
        </w:rPr>
        <w:t>浮梁县交通运输局</w:t>
      </w:r>
      <w:r>
        <w:rPr>
          <w:rFonts w:ascii="方正大标宋简体" w:hAnsi="方正大标宋简体" w:eastAsia="方正大标宋简体" w:cs="方正大标宋简体"/>
          <w:sz w:val="44"/>
          <w:szCs w:val="44"/>
        </w:rPr>
        <w:t>20</w:t>
      </w:r>
      <w:r>
        <w:rPr>
          <w:rFonts w:hint="eastAsia" w:ascii="方正大标宋简体" w:hAnsi="方正大标宋简体" w:eastAsia="方正大标宋简体" w:cs="方正大标宋简体"/>
          <w:sz w:val="44"/>
          <w:szCs w:val="44"/>
          <w:lang w:val="en-US" w:eastAsia="zh-CN"/>
        </w:rPr>
        <w:t>19</w:t>
      </w:r>
      <w:r>
        <w:rPr>
          <w:rFonts w:hint="eastAsia" w:ascii="方正大标宋简体" w:hAnsi="方正大标宋简体" w:eastAsia="方正大标宋简体" w:cs="方正大标宋简体"/>
          <w:sz w:val="44"/>
          <w:szCs w:val="44"/>
        </w:rPr>
        <w:t>年度部门决算</w:t>
      </w:r>
    </w:p>
    <w:p>
      <w:pPr>
        <w:spacing w:line="600" w:lineRule="exact"/>
        <w:jc w:val="center"/>
        <w:rPr>
          <w:rFonts w:ascii="黑体" w:eastAsia="黑体"/>
          <w:sz w:val="44"/>
          <w:szCs w:val="44"/>
        </w:rPr>
      </w:pPr>
    </w:p>
    <w:p>
      <w:pPr>
        <w:spacing w:line="600" w:lineRule="exact"/>
        <w:jc w:val="center"/>
        <w:rPr>
          <w:rFonts w:ascii="楷体_GB2312" w:hAnsi="楷体_GB2312" w:eastAsia="楷体_GB2312"/>
          <w:b/>
          <w:bCs/>
          <w:sz w:val="44"/>
          <w:szCs w:val="44"/>
        </w:rPr>
      </w:pPr>
      <w:r>
        <w:rPr>
          <w:rFonts w:hint="eastAsia" w:ascii="楷体_GB2312" w:hAnsi="楷体_GB2312" w:eastAsia="楷体_GB2312" w:cs="楷体_GB2312"/>
          <w:b/>
          <w:bCs/>
          <w:sz w:val="44"/>
          <w:szCs w:val="44"/>
        </w:rPr>
        <w:t>目</w:t>
      </w:r>
      <w:r>
        <w:rPr>
          <w:rFonts w:ascii="楷体_GB2312" w:hAnsi="楷体_GB2312" w:eastAsia="楷体_GB2312" w:cs="楷体_GB2312"/>
          <w:b/>
          <w:bCs/>
          <w:sz w:val="44"/>
          <w:szCs w:val="44"/>
        </w:rPr>
        <w:t xml:space="preserve">    </w:t>
      </w:r>
      <w:r>
        <w:rPr>
          <w:rFonts w:hint="eastAsia" w:ascii="楷体_GB2312" w:hAnsi="楷体_GB2312" w:eastAsia="楷体_GB2312" w:cs="楷体_GB2312"/>
          <w:b/>
          <w:bCs/>
          <w:sz w:val="44"/>
          <w:szCs w:val="44"/>
        </w:rPr>
        <w:t>录</w:t>
      </w:r>
    </w:p>
    <w:p>
      <w:pPr>
        <w:widowControl/>
        <w:spacing w:line="600" w:lineRule="exact"/>
        <w:ind w:firstLine="640"/>
        <w:jc w:val="left"/>
        <w:rPr>
          <w:rFonts w:ascii="仿宋_GB2312" w:eastAsia="仿宋_GB2312"/>
          <w:sz w:val="32"/>
          <w:szCs w:val="32"/>
        </w:rPr>
      </w:pPr>
    </w:p>
    <w:p>
      <w:pPr>
        <w:widowControl/>
        <w:spacing w:line="660" w:lineRule="exact"/>
        <w:ind w:firstLine="640"/>
        <w:jc w:val="left"/>
        <w:rPr>
          <w:rFonts w:ascii="黑体" w:hAnsi="黑体" w:eastAsia="黑体"/>
          <w:b/>
          <w:bCs/>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交通运输局</w:t>
      </w:r>
      <w:r>
        <w:rPr>
          <w:rFonts w:hint="eastAsia" w:ascii="黑体" w:hAnsi="黑体" w:eastAsia="黑体" w:cs="黑体"/>
          <w:sz w:val="32"/>
          <w:szCs w:val="32"/>
        </w:rPr>
        <w:t>概况</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交通运输局</w:t>
      </w:r>
      <w:r>
        <w:rPr>
          <w:rFonts w:hint="eastAsia" w:ascii="仿宋_GB2312" w:hAnsi="仿宋_GB2312" w:eastAsia="仿宋_GB2312" w:cs="仿宋_GB2312"/>
          <w:sz w:val="32"/>
          <w:szCs w:val="32"/>
        </w:rPr>
        <w:t>主要职责</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交通运输局</w:t>
      </w:r>
      <w:r>
        <w:rPr>
          <w:rFonts w:hint="eastAsia" w:ascii="仿宋_GB2312" w:hAnsi="仿宋_GB2312" w:eastAsia="仿宋_GB2312" w:cs="仿宋_GB2312"/>
          <w:kern w:val="0"/>
          <w:sz w:val="32"/>
          <w:szCs w:val="32"/>
        </w:rPr>
        <w:t>基本情况</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交通运输局</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一、收入支出决算总表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二、收入决算表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四、财政拨款收入支出决算总表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五、一般公共预算财政拨款支出决算表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六、一般公共预算财政拨款基本支出决算表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七、一般公共预算财政拨款“三公”经费支出决算</w:t>
      </w:r>
    </w:p>
    <w:p>
      <w:pPr>
        <w:widowControl/>
        <w:spacing w:line="6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八、政府性基金预算财政拨款收入支出决算表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九、国有资产占用情况表</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kern w:val="0"/>
          <w:sz w:val="32"/>
          <w:szCs w:val="32"/>
        </w:rPr>
        <w:t xml:space="preserve">    </w:t>
      </w: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交通运输局</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三、财政拨款支出决算情况说明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四、一般公共预算财政拨款基本支出决算情况说明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五、一般公共预算财政拨款“三公”经费支出决算</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六、机关运行经费支出情况说明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七、政府采购支出情况说明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八、预算绩效情况说明</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widowControl/>
        <w:numPr>
          <w:ilvl w:val="0"/>
          <w:numId w:val="1"/>
        </w:numPr>
        <w:spacing w:line="560" w:lineRule="exact"/>
        <w:ind w:firstLine="640"/>
        <w:jc w:val="cente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浮梁县交通运输局</w:t>
      </w:r>
      <w:r>
        <w:rPr>
          <w:rFonts w:hint="eastAsia" w:ascii="黑体" w:hAnsi="黑体" w:eastAsia="黑体" w:cs="黑体"/>
          <w:sz w:val="32"/>
          <w:szCs w:val="32"/>
        </w:rPr>
        <w:t>概况</w:t>
      </w:r>
    </w:p>
    <w:p>
      <w:pPr>
        <w:widowControl/>
        <w:numPr>
          <w:ilvl w:val="0"/>
          <w:numId w:val="0"/>
        </w:numPr>
        <w:spacing w:line="560" w:lineRule="exact"/>
        <w:jc w:val="both"/>
        <w:rPr>
          <w:rFonts w:hint="eastAsia" w:ascii="黑体" w:hAnsi="黑体" w:eastAsia="黑体" w:cs="黑体"/>
          <w:sz w:val="32"/>
          <w:szCs w:val="32"/>
        </w:rPr>
      </w:pPr>
    </w:p>
    <w:p>
      <w:pPr>
        <w:spacing w:line="580" w:lineRule="exact"/>
        <w:ind w:firstLine="629"/>
        <w:jc w:val="left"/>
        <w:rPr>
          <w:rFonts w:ascii="黑体" w:hAnsi="黑体" w:eastAsia="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交通运输局</w:t>
      </w:r>
      <w:r>
        <w:rPr>
          <w:rFonts w:hint="eastAsia" w:ascii="黑体" w:hAnsi="黑体" w:eastAsia="黑体" w:cs="黑体"/>
          <w:sz w:val="30"/>
          <w:szCs w:val="30"/>
        </w:rPr>
        <w:t>主要职能</w:t>
      </w:r>
    </w:p>
    <w:p>
      <w:pPr>
        <w:ind w:firstLineChars="200"/>
        <w:rPr>
          <w:rFonts w:ascii="仿宋_GB2312" w:hAnsi="Calibri" w:eastAsia="仿宋_GB2312"/>
          <w:sz w:val="30"/>
          <w:szCs w:val="30"/>
        </w:rPr>
      </w:pPr>
      <w:r>
        <w:rPr>
          <w:rFonts w:hint="eastAsia" w:ascii="仿宋_GB2312" w:hAnsi="Calibri" w:eastAsia="仿宋_GB2312"/>
          <w:sz w:val="30"/>
          <w:szCs w:val="30"/>
        </w:rPr>
        <w:t>一、贯彻执行国家关于交通行业的发展战略、方针政策和法律法规，拟定全县县乡公路和水路交通行业发展战略和政策规章并监督实施。</w:t>
      </w:r>
    </w:p>
    <w:p>
      <w:pPr>
        <w:ind w:firstLineChars="200"/>
        <w:rPr>
          <w:rFonts w:ascii="仿宋_GB2312" w:hAnsi="Calibri" w:eastAsia="仿宋_GB2312"/>
          <w:sz w:val="30"/>
          <w:szCs w:val="30"/>
        </w:rPr>
      </w:pPr>
      <w:r>
        <w:rPr>
          <w:rFonts w:hint="eastAsia" w:ascii="仿宋_GB2312" w:hAnsi="Calibri" w:eastAsia="仿宋_GB2312"/>
          <w:sz w:val="30"/>
          <w:szCs w:val="30"/>
        </w:rPr>
        <w:t>二、编制全县公路和水路运输交通行业的发展规划、中长期计划并组织实施。</w:t>
      </w:r>
    </w:p>
    <w:p>
      <w:pPr>
        <w:ind w:firstLineChars="200"/>
        <w:rPr>
          <w:rFonts w:ascii="仿宋_GB2312" w:hAnsi="Calibri" w:eastAsia="仿宋_GB2312"/>
          <w:sz w:val="30"/>
          <w:szCs w:val="30"/>
        </w:rPr>
      </w:pPr>
      <w:r>
        <w:rPr>
          <w:rFonts w:hint="eastAsia" w:ascii="仿宋_GB2312" w:hAnsi="Calibri" w:eastAsia="仿宋_GB2312"/>
          <w:sz w:val="30"/>
          <w:szCs w:val="30"/>
        </w:rPr>
        <w:t>三、负责全县城乡道路客运（出租车行业管理）和水路旅客运输、货物运输、装在搬运、汽车维修市场、运输服务、汽车综合性能检测站、汽车驾驭学校和驾驶员培训的行业管理，调控重点物资运输和紧急客货的运输，负责交通战备工作，对路政和运政进行管理，承担道路、水路运输市场监督责任。</w:t>
      </w:r>
    </w:p>
    <w:p>
      <w:pPr>
        <w:ind w:firstLineChars="200"/>
        <w:rPr>
          <w:rFonts w:ascii="仿宋_GB2312" w:hAnsi="Calibri" w:eastAsia="仿宋_GB2312"/>
          <w:sz w:val="30"/>
          <w:szCs w:val="30"/>
        </w:rPr>
      </w:pPr>
      <w:r>
        <w:rPr>
          <w:rFonts w:hint="eastAsia" w:ascii="仿宋_GB2312" w:hAnsi="Calibri" w:eastAsia="仿宋_GB2312"/>
          <w:sz w:val="30"/>
          <w:szCs w:val="30"/>
        </w:rPr>
        <w:t>四、负责全县县乡公路和交通基础设施的建设、维护管理、组织交通基础设施建设资金的筹集使用和管理，对公路建设工程进行质量检查和监督。</w:t>
      </w:r>
    </w:p>
    <w:p>
      <w:pPr>
        <w:ind w:firstLineChars="200"/>
        <w:rPr>
          <w:rFonts w:ascii="仿宋_GB2312" w:hAnsi="仿宋_GB2312" w:eastAsia="仿宋_GB2312"/>
          <w:sz w:val="30"/>
          <w:szCs w:val="30"/>
        </w:rPr>
      </w:pPr>
      <w:r>
        <w:rPr>
          <w:rFonts w:hint="eastAsia" w:ascii="仿宋_GB2312" w:hAnsi="Calibri" w:eastAsia="仿宋_GB2312"/>
          <w:sz w:val="30"/>
          <w:szCs w:val="30"/>
        </w:rPr>
        <w:t>五、负责全县渡口设施建设、养护管理，渡运安全和监督，承担水上交通安全监督责任。</w:t>
      </w:r>
    </w:p>
    <w:p>
      <w:pPr>
        <w:spacing w:line="580" w:lineRule="exact"/>
        <w:ind w:firstLine="629"/>
        <w:jc w:val="left"/>
        <w:rPr>
          <w:rFonts w:ascii="黑体" w:hAnsi="黑体" w:eastAsia="黑体"/>
          <w:sz w:val="30"/>
          <w:szCs w:val="30"/>
        </w:rPr>
      </w:pPr>
      <w:r>
        <w:rPr>
          <w:rFonts w:hint="eastAsia" w:ascii="黑体" w:hAnsi="黑体" w:eastAsia="黑体" w:cs="黑体"/>
          <w:sz w:val="30"/>
          <w:szCs w:val="30"/>
        </w:rPr>
        <w:t>二、部门基本情况</w:t>
      </w:r>
    </w:p>
    <w:p>
      <w:pPr>
        <w:spacing w:line="580" w:lineRule="exact"/>
        <w:ind w:firstLine="629"/>
        <w:jc w:val="left"/>
        <w:rPr>
          <w:rFonts w:ascii="仿宋_GB2312" w:hAnsi="仿宋_GB2312" w:eastAsia="仿宋_GB2312"/>
          <w:sz w:val="30"/>
          <w:szCs w:val="30"/>
        </w:rPr>
      </w:pPr>
      <w:r>
        <w:rPr>
          <w:rFonts w:hint="eastAsia" w:ascii="仿宋_GB2312" w:hAnsi="仿宋_GB2312" w:eastAsia="仿宋_GB2312" w:cs="仿宋_GB2312"/>
          <w:sz w:val="30"/>
          <w:szCs w:val="30"/>
        </w:rPr>
        <w:t>纳入本套部门决算汇编范围的单位共</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个，包括：</w:t>
      </w:r>
      <w:r>
        <w:rPr>
          <w:rFonts w:hint="eastAsia" w:ascii="仿宋_GB2312" w:hAnsi="仿宋_GB2312" w:eastAsia="仿宋_GB2312" w:cs="仿宋_GB2312"/>
          <w:sz w:val="30"/>
          <w:szCs w:val="30"/>
          <w:lang w:eastAsia="zh-CN"/>
        </w:rPr>
        <w:t>浮梁县交通运输局机关、浮梁县公路管理站、浮梁县公路运输管理所、浮梁县交通工程质量监督管理站、浮梁县航运渡口管理站</w:t>
      </w:r>
      <w:r>
        <w:rPr>
          <w:rFonts w:hint="eastAsia" w:ascii="仿宋_GB2312" w:hAnsi="仿宋_GB2312" w:eastAsia="仿宋_GB2312" w:cs="仿宋_GB2312"/>
          <w:sz w:val="30"/>
          <w:szCs w:val="30"/>
        </w:rPr>
        <w:t>。</w:t>
      </w:r>
    </w:p>
    <w:p>
      <w:pPr>
        <w:spacing w:line="580" w:lineRule="exact"/>
        <w:ind w:firstLine="629"/>
        <w:jc w:val="left"/>
        <w:rPr>
          <w:rFonts w:ascii="仿宋_GB2312" w:hAnsi="仿宋_GB2312" w:eastAsia="仿宋_GB2312"/>
          <w:sz w:val="30"/>
          <w:szCs w:val="30"/>
        </w:rPr>
      </w:pPr>
      <w:r>
        <w:rPr>
          <w:rFonts w:hint="eastAsia" w:ascii="仿宋_GB2312" w:hAnsi="仿宋_GB2312" w:eastAsia="仿宋_GB2312" w:cs="仿宋_GB2312"/>
          <w:sz w:val="30"/>
          <w:szCs w:val="30"/>
        </w:rPr>
        <w:t>本部门</w:t>
      </w:r>
      <w:r>
        <w:rPr>
          <w:rFonts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年年末编制人数</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47</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人，其中行政编制</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人，事业编制</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39</w:t>
      </w:r>
      <w:r>
        <w:rPr>
          <w:rFonts w:hint="eastAsia" w:ascii="仿宋_GB2312" w:hAnsi="仿宋_GB2312" w:eastAsia="仿宋_GB2312" w:cs="仿宋_GB2312"/>
          <w:sz w:val="30"/>
          <w:szCs w:val="30"/>
        </w:rPr>
        <w:t>人；年末实有人数</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85</w:t>
      </w:r>
      <w:r>
        <w:rPr>
          <w:rFonts w:hint="eastAsia" w:ascii="仿宋_GB2312" w:hAnsi="仿宋_GB2312" w:eastAsia="仿宋_GB2312" w:cs="仿宋_GB2312"/>
          <w:sz w:val="30"/>
          <w:szCs w:val="30"/>
        </w:rPr>
        <w:t>人，其中在职人员</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85</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人，离休人员</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人，退休人员</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rPr>
        <w:t>人；年末学生人数</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人。</w:t>
      </w:r>
    </w:p>
    <w:p>
      <w:pPr>
        <w:spacing w:line="240" w:lineRule="exact"/>
        <w:ind w:firstLine="629"/>
        <w:jc w:val="left"/>
        <w:rPr>
          <w:rFonts w:ascii="仿宋_GB2312" w:hAnsi="仿宋_GB2312" w:eastAsia="仿宋_GB2312"/>
          <w:sz w:val="30"/>
          <w:szCs w:val="30"/>
        </w:rPr>
      </w:pP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487795" cy="6015355"/>
            <wp:effectExtent l="0" t="0" r="825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487795" cy="601535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336030" cy="3350260"/>
            <wp:effectExtent l="0" t="0" r="7620" b="25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6336030" cy="335026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53200" cy="44862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6553200" cy="44862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63310" cy="5669915"/>
            <wp:effectExtent l="0" t="0" r="8890" b="698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6163310" cy="5669915"/>
                    </a:xfrm>
                    <a:prstGeom prst="rect">
                      <a:avLst/>
                    </a:prstGeom>
                    <a:noFill/>
                    <a:ln w="9525">
                      <a:noFill/>
                    </a:ln>
                  </pic:spPr>
                </pic:pic>
              </a:graphicData>
            </a:graphic>
          </wp:inline>
        </w:drawing>
      </w:r>
    </w:p>
    <w:p>
      <w:pPr>
        <w:keepNext w:val="0"/>
        <w:keepLines w:val="0"/>
        <w:widowControl/>
        <w:suppressLineNumbers w:val="0"/>
        <w:jc w:val="left"/>
        <w:rPr>
          <w:rFonts w:hint="eastAsia" w:ascii="仿宋_GB2312" w:hAnsi="仿宋_GB2312" w:eastAsia="仿宋_GB2312" w:cs="仿宋_GB2312"/>
          <w:sz w:val="30"/>
          <w:szCs w:val="30"/>
          <w:lang w:eastAsia="zh-CN"/>
        </w:rPr>
      </w:pPr>
      <w:r>
        <w:rPr>
          <w:rFonts w:ascii="宋体" w:hAnsi="宋体" w:eastAsia="宋体" w:cs="宋体"/>
          <w:kern w:val="0"/>
          <w:sz w:val="24"/>
          <w:szCs w:val="24"/>
          <w:lang w:val="en-US" w:eastAsia="zh-CN" w:bidi="ar"/>
        </w:rPr>
        <w:drawing>
          <wp:inline distT="0" distB="0" distL="114300" distR="114300">
            <wp:extent cx="6482080" cy="3820160"/>
            <wp:effectExtent l="0" t="0" r="13970" b="889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9"/>
                    <a:stretch>
                      <a:fillRect/>
                    </a:stretch>
                  </pic:blipFill>
                  <pic:spPr>
                    <a:xfrm>
                      <a:off x="0" y="0"/>
                      <a:ext cx="6482080" cy="3820160"/>
                    </a:xfrm>
                    <a:prstGeom prst="rect">
                      <a:avLst/>
                    </a:prstGeom>
                    <a:noFill/>
                    <a:ln w="9525">
                      <a:noFill/>
                    </a:ln>
                  </pic:spPr>
                </pic:pic>
              </a:graphicData>
            </a:graphic>
          </wp:inline>
        </w:drawing>
      </w:r>
    </w:p>
    <w:p>
      <w:pPr>
        <w:widowControl/>
        <w:spacing w:line="240" w:lineRule="auto"/>
        <w:ind w:firstLine="64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248275" cy="7572375"/>
            <wp:effectExtent l="0" t="0" r="9525" b="952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0"/>
                    <a:stretch>
                      <a:fillRect/>
                    </a:stretch>
                  </pic:blipFill>
                  <pic:spPr>
                    <a:xfrm>
                      <a:off x="0" y="0"/>
                      <a:ext cx="5248275" cy="7572375"/>
                    </a:xfrm>
                    <a:prstGeom prst="rect">
                      <a:avLst/>
                    </a:prstGeom>
                  </pic:spPr>
                </pic:pic>
              </a:graphicData>
            </a:graphic>
          </wp:inline>
        </w:drawing>
      </w:r>
    </w:p>
    <w:p>
      <w:pPr>
        <w:widowControl/>
        <w:spacing w:line="240" w:lineRule="auto"/>
        <w:ind w:firstLine="640"/>
        <w:jc w:val="center"/>
        <w:rPr>
          <w:rFonts w:hint="eastAsia" w:ascii="黑体" w:hAnsi="黑体" w:eastAsia="黑体" w:cs="黑体"/>
          <w:sz w:val="32"/>
          <w:szCs w:val="32"/>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43600" cy="5534025"/>
            <wp:effectExtent l="0" t="0" r="0" b="9525"/>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11"/>
                    <a:stretch>
                      <a:fillRect/>
                    </a:stretch>
                  </pic:blipFill>
                  <pic:spPr>
                    <a:xfrm>
                      <a:off x="0" y="0"/>
                      <a:ext cx="5943600" cy="5534025"/>
                    </a:xfrm>
                    <a:prstGeom prst="rect">
                      <a:avLst/>
                    </a:prstGeom>
                    <a:noFill/>
                    <a:ln w="9525">
                      <a:noFill/>
                    </a:ln>
                  </pic:spPr>
                </pic:pic>
              </a:graphicData>
            </a:graphic>
          </wp:inline>
        </w:drawing>
      </w:r>
    </w:p>
    <w:p>
      <w:pPr>
        <w:widowControl/>
        <w:spacing w:line="240" w:lineRule="auto"/>
        <w:ind w:firstLine="640"/>
        <w:jc w:val="center"/>
        <w:rPr>
          <w:rFonts w:hint="eastAsia" w:ascii="黑体" w:hAnsi="黑体" w:eastAsia="黑体" w:cs="黑体"/>
          <w:sz w:val="32"/>
          <w:szCs w:val="32"/>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11545" cy="2769235"/>
            <wp:effectExtent l="0" t="0" r="8255" b="12065"/>
            <wp:docPr id="1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56"/>
                    <pic:cNvPicPr>
                      <a:picLocks noChangeAspect="1"/>
                    </pic:cNvPicPr>
                  </pic:nvPicPr>
                  <pic:blipFill>
                    <a:blip r:embed="rId12"/>
                    <a:stretch>
                      <a:fillRect/>
                    </a:stretch>
                  </pic:blipFill>
                  <pic:spPr>
                    <a:xfrm>
                      <a:off x="0" y="0"/>
                      <a:ext cx="6011545" cy="276923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67935" cy="3200400"/>
            <wp:effectExtent l="0" t="0" r="18415" b="0"/>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13"/>
                    <a:stretch>
                      <a:fillRect/>
                    </a:stretch>
                  </pic:blipFill>
                  <pic:spPr>
                    <a:xfrm>
                      <a:off x="0" y="0"/>
                      <a:ext cx="5067935" cy="3200400"/>
                    </a:xfrm>
                    <a:prstGeom prst="rect">
                      <a:avLst/>
                    </a:prstGeom>
                    <a:noFill/>
                    <a:ln w="9525">
                      <a:noFill/>
                    </a:ln>
                  </pic:spPr>
                </pic:pic>
              </a:graphicData>
            </a:graphic>
          </wp:inline>
        </w:drawing>
      </w:r>
    </w:p>
    <w:p>
      <w:pPr>
        <w:widowControl/>
        <w:spacing w:line="240" w:lineRule="auto"/>
        <w:ind w:firstLine="640"/>
        <w:jc w:val="center"/>
        <w:rPr>
          <w:rFonts w:hint="eastAsia" w:ascii="黑体" w:hAnsi="黑体" w:eastAsia="黑体" w:cs="黑体"/>
          <w:sz w:val="32"/>
          <w:szCs w:val="32"/>
          <w:lang w:eastAsia="zh-CN"/>
        </w:rPr>
      </w:pPr>
    </w:p>
    <w:p>
      <w:pPr>
        <w:widowControl/>
        <w:spacing w:line="240" w:lineRule="auto"/>
        <w:ind w:firstLine="640"/>
        <w:jc w:val="center"/>
        <w:rPr>
          <w:rFonts w:hint="eastAsia" w:ascii="黑体" w:hAnsi="黑体" w:eastAsia="黑体" w:cs="黑体"/>
          <w:sz w:val="32"/>
          <w:szCs w:val="32"/>
          <w:lang w:eastAsia="zh-CN"/>
        </w:rPr>
      </w:pPr>
    </w:p>
    <w:p>
      <w:pPr>
        <w:widowControl/>
        <w:spacing w:line="240" w:lineRule="auto"/>
        <w:ind w:firstLine="640"/>
        <w:jc w:val="center"/>
        <w:rPr>
          <w:rFonts w:hint="eastAsia" w:ascii="黑体" w:hAnsi="黑体" w:eastAsia="黑体" w:cs="黑体"/>
          <w:sz w:val="32"/>
          <w:szCs w:val="32"/>
          <w:lang w:eastAsia="zh-CN"/>
        </w:rPr>
      </w:pP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年度部门决算情况说明</w:t>
      </w:r>
    </w:p>
    <w:p>
      <w:pPr>
        <w:widowControl/>
        <w:spacing w:line="240" w:lineRule="exact"/>
        <w:jc w:val="center"/>
        <w:rPr>
          <w:rFonts w:ascii="黑体" w:hAnsi="黑体" w:eastAsia="黑体"/>
          <w:b/>
          <w:bCs/>
          <w:sz w:val="32"/>
          <w:szCs w:val="32"/>
        </w:rPr>
      </w:pPr>
    </w:p>
    <w:p>
      <w:pPr>
        <w:widowControl/>
        <w:spacing w:line="600" w:lineRule="exact"/>
        <w:ind w:firstLine="640" w:firstLineChars="200"/>
        <w:rPr>
          <w:rFonts w:ascii="黑体" w:hAnsi="黑体" w:eastAsia="黑体"/>
          <w:sz w:val="32"/>
          <w:szCs w:val="32"/>
        </w:rPr>
      </w:pPr>
      <w:r>
        <w:rPr>
          <w:rFonts w:hint="eastAsia" w:ascii="黑体" w:hAnsi="黑体" w:eastAsia="黑体" w:cs="黑体"/>
          <w:sz w:val="32"/>
          <w:szCs w:val="32"/>
        </w:rPr>
        <w:t>一、收入决算情况说明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18431.19</w:t>
      </w:r>
      <w:r>
        <w:rPr>
          <w:rFonts w:hint="eastAsia" w:ascii="仿宋_GB2312" w:hAnsi="仿宋_GB2312" w:eastAsia="仿宋_GB2312" w:cs="仿宋_GB2312"/>
          <w:sz w:val="32"/>
          <w:szCs w:val="32"/>
        </w:rPr>
        <w:t>万元，其中年初结转和结余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18431.19</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16622.93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919.28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新政府会计制度实施，所有涉及到交通建设的资金都拨付给我局本级部门，由交通局本级拨付给相关交通建设管理部门及各乡镇部门</w:t>
      </w:r>
      <w:r>
        <w:rPr>
          <w:rFonts w:hint="eastAsia" w:ascii="仿宋_GB2312" w:hAnsi="仿宋_GB2312" w:eastAsia="仿宋_GB2312" w:cs="仿宋_GB2312"/>
          <w:sz w:val="32"/>
          <w:szCs w:val="32"/>
        </w:rPr>
        <w:t>。</w:t>
      </w:r>
    </w:p>
    <w:p>
      <w:pPr>
        <w:pStyle w:val="7"/>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本年收入的具体构成为：财政拨款收入</w:t>
      </w:r>
      <w:r>
        <w:rPr>
          <w:rFonts w:hint="eastAsia" w:ascii="仿宋_GB2312" w:hAnsi="仿宋_GB2312" w:eastAsia="仿宋_GB2312" w:cs="仿宋_GB2312"/>
          <w:sz w:val="32"/>
          <w:szCs w:val="32"/>
          <w:lang w:val="en-US" w:eastAsia="zh-CN"/>
        </w:rPr>
        <w:t>3652.56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总收入的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19.82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政府性基金拨款收入为</w:t>
      </w:r>
      <w:r>
        <w:rPr>
          <w:rFonts w:hint="eastAsia" w:ascii="仿宋_GB2312" w:hAnsi="仿宋_GB2312" w:eastAsia="仿宋_GB2312" w:cs="仿宋_GB2312"/>
          <w:sz w:val="32"/>
          <w:szCs w:val="32"/>
          <w:lang w:val="en-US" w:eastAsia="zh-CN"/>
        </w:rPr>
        <w:t>8101.18万元，占总收入43.95%。</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总收入的</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6677.45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总收入的</w:t>
      </w:r>
      <w:r>
        <w:rPr>
          <w:rFonts w:hint="eastAsia" w:ascii="仿宋_GB2312" w:hAnsi="仿宋_GB2312" w:eastAsia="仿宋_GB2312" w:cs="仿宋_GB2312"/>
          <w:sz w:val="32"/>
          <w:szCs w:val="32"/>
          <w:lang w:val="en-US" w:eastAsia="zh-CN"/>
        </w:rPr>
        <w:t>36.23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ind w:firstLine="630"/>
        <w:jc w:val="left"/>
        <w:rPr>
          <w:rFonts w:ascii="黑体" w:hAnsi="黑体" w:eastAsia="黑体"/>
          <w:sz w:val="32"/>
          <w:szCs w:val="32"/>
        </w:rPr>
      </w:pPr>
      <w:r>
        <w:rPr>
          <w:rFonts w:hint="eastAsia" w:ascii="黑体" w:hAnsi="黑体" w:eastAsia="黑体" w:cs="黑体"/>
          <w:sz w:val="32"/>
          <w:szCs w:val="32"/>
        </w:rPr>
        <w:t>二、支出决算情况说明</w:t>
      </w:r>
    </w:p>
    <w:p>
      <w:pPr>
        <w:pStyle w:val="7"/>
        <w:spacing w:line="560" w:lineRule="exact"/>
        <w:ind w:firstLine="601"/>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年度支出总计</w:t>
      </w:r>
      <w:r>
        <w:rPr>
          <w:rFonts w:hint="eastAsia" w:ascii="仿宋_GB2312" w:hAnsi="仿宋_GB2312" w:eastAsia="仿宋_GB2312" w:cs="仿宋_GB2312"/>
          <w:sz w:val="32"/>
          <w:szCs w:val="32"/>
          <w:lang w:val="en-US" w:eastAsia="zh-CN"/>
        </w:rPr>
        <w:t>18431.19</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年初结转和结余</w:t>
      </w:r>
      <w:r>
        <w:rPr>
          <w:rFonts w:hint="eastAsia" w:ascii="仿宋_GB2312" w:hAnsi="仿宋_GB2312" w:eastAsia="仿宋_GB2312" w:cs="仿宋_GB2312"/>
          <w:sz w:val="32"/>
          <w:szCs w:val="32"/>
          <w:lang w:val="en-US" w:eastAsia="zh-CN"/>
        </w:rPr>
        <w:t>0万元，较2018年增加（减少）0万元，增长（下降）0%；本年收入合计18431.19</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16622.93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919.28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2019年度政府会计制度开始实施，涉及到交通建设的资金都拨付给了我局本级，再由我局本级拨付给各项目管理部门及全县相关乡、镇，因此本年度涉及的相关资金支出较多。</w:t>
      </w:r>
    </w:p>
    <w:p>
      <w:pPr>
        <w:pStyle w:val="7"/>
        <w:spacing w:line="560" w:lineRule="exact"/>
        <w:ind w:firstLine="601"/>
        <w:rPr>
          <w:rFonts w:ascii="仿宋_GB2312" w:hAnsi="仿宋_GB2312" w:eastAsia="仿宋_GB2312"/>
          <w:b w:val="0"/>
          <w:bCs w:val="0"/>
          <w:sz w:val="32"/>
          <w:szCs w:val="32"/>
        </w:rPr>
      </w:pPr>
      <w:r>
        <w:rPr>
          <w:rFonts w:hint="eastAsia" w:ascii="仿宋_GB2312" w:hAnsi="仿宋_GB2312" w:eastAsia="仿宋_GB2312" w:cs="仿宋_GB2312"/>
          <w:sz w:val="32"/>
          <w:szCs w:val="32"/>
        </w:rPr>
        <w:t>本年支出的具体构成为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799.65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17631.54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；其他支出（对附属单位补助支出、上缴上级支出）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万元，占</w:t>
      </w:r>
      <w:r>
        <w:rPr>
          <w:rFonts w:hint="eastAsia" w:ascii="仿宋_GB2312" w:hAnsi="仿宋_GB2312" w:eastAsia="仿宋_GB2312" w:cs="仿宋_GB2312"/>
          <w:b w:val="0"/>
          <w:bCs w:val="0"/>
          <w:sz w:val="32"/>
          <w:szCs w:val="32"/>
          <w:lang w:val="en-US" w:eastAsia="zh-CN"/>
        </w:rPr>
        <w:t>0</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w:t>
      </w:r>
    </w:p>
    <w:p>
      <w:pPr>
        <w:ind w:firstLine="630"/>
        <w:jc w:val="left"/>
        <w:rPr>
          <w:rFonts w:ascii="黑体" w:hAnsi="黑体" w:eastAsia="黑体"/>
          <w:sz w:val="32"/>
          <w:szCs w:val="32"/>
        </w:rPr>
      </w:pPr>
      <w:r>
        <w:rPr>
          <w:rFonts w:hint="eastAsia" w:ascii="黑体" w:hAnsi="黑体" w:eastAsia="黑体" w:cs="黑体"/>
          <w:sz w:val="32"/>
          <w:szCs w:val="32"/>
        </w:rPr>
        <w:t>三、财政拨款支出决算情况说明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度财政拨款本年支出年初预算数为</w:t>
      </w:r>
      <w:r>
        <w:rPr>
          <w:rFonts w:hint="eastAsia" w:ascii="仿宋_GB2312" w:hAnsi="仿宋_GB2312" w:eastAsia="仿宋_GB2312" w:cs="仿宋_GB2312"/>
          <w:sz w:val="32"/>
          <w:szCs w:val="32"/>
          <w:lang w:val="en-US" w:eastAsia="zh-CN"/>
        </w:rPr>
        <w:t>563.23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，决算数为</w:t>
      </w:r>
      <w:r>
        <w:rPr>
          <w:rFonts w:hint="eastAsia" w:ascii="仿宋_GB2312" w:hAnsi="仿宋_GB2312" w:eastAsia="仿宋_GB2312" w:cs="仿宋_GB2312"/>
          <w:sz w:val="32"/>
          <w:szCs w:val="32"/>
          <w:lang w:val="en-US" w:eastAsia="zh-CN"/>
        </w:rPr>
        <w:t>11753.74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2086.8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pStyle w:val="7"/>
        <w:numPr>
          <w:ilvl w:val="0"/>
          <w:numId w:val="2"/>
        </w:numPr>
        <w:spacing w:line="56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eastAsia="zh-CN"/>
        </w:rPr>
        <w:t>预算财政拨款</w:t>
      </w:r>
      <w:r>
        <w:rPr>
          <w:rFonts w:hint="eastAsia" w:ascii="仿宋_GB2312" w:hAnsi="仿宋_GB2312" w:eastAsia="仿宋_GB2312" w:cs="仿宋_GB2312"/>
          <w:sz w:val="32"/>
          <w:szCs w:val="32"/>
        </w:rPr>
        <w:t>支出年初预算数为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pStyle w:val="7"/>
        <w:numPr>
          <w:ilvl w:val="0"/>
          <w:numId w:val="2"/>
        </w:numPr>
        <w:spacing w:line="560" w:lineRule="exact"/>
        <w:ind w:firstLine="60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公共安全支出年初预算数为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p>
    <w:p>
      <w:pPr>
        <w:ind w:firstLine="630"/>
        <w:jc w:val="left"/>
        <w:rPr>
          <w:rFonts w:hint="eastAsia" w:ascii="仿宋" w:hAnsi="仿宋" w:eastAsia="仿宋"/>
          <w:sz w:val="30"/>
          <w:szCs w:val="30"/>
          <w:lang w:val="en-US" w:eastAsia="zh-CN"/>
        </w:rPr>
      </w:pPr>
      <w:r>
        <w:rPr>
          <w:rFonts w:hint="eastAsia" w:ascii="仿宋_GB2312" w:hAnsi="仿宋_GB2312" w:eastAsia="仿宋_GB2312" w:cs="仿宋_GB2312"/>
          <w:sz w:val="32"/>
          <w:szCs w:val="32"/>
          <w:lang w:eastAsia="zh-CN"/>
        </w:rPr>
        <w:t>（三）</w:t>
      </w:r>
      <w:r>
        <w:rPr>
          <w:rFonts w:hint="eastAsia" w:ascii="仿宋" w:hAnsi="仿宋" w:eastAsia="仿宋"/>
          <w:sz w:val="30"/>
          <w:szCs w:val="30"/>
          <w:lang w:eastAsia="zh-CN"/>
        </w:rPr>
        <w:t>交通运输支出年初预算数为</w:t>
      </w:r>
      <w:r>
        <w:rPr>
          <w:rFonts w:hint="eastAsia" w:ascii="仿宋" w:hAnsi="仿宋" w:eastAsia="仿宋"/>
          <w:sz w:val="30"/>
          <w:szCs w:val="30"/>
          <w:lang w:val="en-US" w:eastAsia="zh-CN"/>
        </w:rPr>
        <w:t>563.23万元，决算数为3638.04万元，完成年初预算的645.9%。</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（四）农林水事务支出年初预算数为0万元，决算数为14.52万元，用于乡镇渡工燃油补助及渡工工资。</w:t>
      </w:r>
    </w:p>
    <w:p>
      <w:pPr>
        <w:ind w:firstLine="630"/>
        <w:jc w:val="left"/>
        <w:rPr>
          <w:rFonts w:ascii="仿宋_GB2312" w:hAnsi="仿宋_GB2312" w:eastAsia="仿宋_GB2312"/>
          <w:sz w:val="32"/>
          <w:szCs w:val="32"/>
        </w:rPr>
      </w:pPr>
      <w:r>
        <w:rPr>
          <w:rFonts w:hint="eastAsia" w:ascii="仿宋" w:hAnsi="仿宋" w:eastAsia="仿宋"/>
          <w:sz w:val="30"/>
          <w:szCs w:val="30"/>
          <w:lang w:val="en-US" w:eastAsia="zh-CN"/>
        </w:rPr>
        <w:t>（五）城乡社区支出年初预算数为0万元，决算数为8101.18万元，用于交通基础设施建设资金及拨付给各乡镇的交通基础设施建设、维修资金。</w:t>
      </w:r>
    </w:p>
    <w:p>
      <w:pPr>
        <w:ind w:firstLine="630"/>
        <w:jc w:val="left"/>
        <w:rPr>
          <w:rFonts w:ascii="黑体" w:hAnsi="黑体" w:eastAsia="黑体"/>
          <w:sz w:val="32"/>
          <w:szCs w:val="32"/>
        </w:rPr>
      </w:pPr>
      <w:r>
        <w:rPr>
          <w:rFonts w:hint="eastAsia" w:ascii="黑体" w:hAnsi="黑体" w:eastAsia="黑体" w:cs="黑体"/>
          <w:sz w:val="32"/>
          <w:szCs w:val="32"/>
        </w:rPr>
        <w:t>四、一般公共预算财政拨款基本支出决算情况说明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799.65</w:t>
      </w:r>
      <w:r>
        <w:rPr>
          <w:rFonts w:hint="eastAsia" w:ascii="仿宋_GB2312" w:hAnsi="仿宋_GB2312" w:eastAsia="仿宋_GB2312" w:cs="仿宋_GB2312"/>
          <w:sz w:val="32"/>
          <w:szCs w:val="32"/>
        </w:rPr>
        <w:t>万元，其中：</w:t>
      </w:r>
    </w:p>
    <w:p>
      <w:pPr>
        <w:pStyle w:val="7"/>
        <w:numPr>
          <w:ilvl w:val="0"/>
          <w:numId w:val="3"/>
        </w:numPr>
        <w:spacing w:line="560" w:lineRule="exact"/>
        <w:ind w:firstLine="60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工资福利支出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590.75</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56.29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职工工资年度调资，本年度招考多名事业编制人员。</w:t>
      </w:r>
    </w:p>
    <w:p>
      <w:pPr>
        <w:pStyle w:val="7"/>
        <w:numPr>
          <w:ilvl w:val="0"/>
          <w:numId w:val="0"/>
        </w:num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（二）商品和服务支出</w:t>
      </w:r>
      <w:r>
        <w:rPr>
          <w:rFonts w:hint="eastAsia" w:ascii="仿宋_GB2312" w:hAnsi="仿宋_GB2312" w:eastAsia="仿宋_GB2312" w:cs="仿宋_GB2312"/>
          <w:sz w:val="32"/>
          <w:szCs w:val="32"/>
          <w:lang w:val="en-US" w:eastAsia="zh-CN"/>
        </w:rPr>
        <w:t>139.6</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11.36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加强单位内部控制管理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健全内部管理机制。</w:t>
      </w:r>
    </w:p>
    <w:p>
      <w:pPr>
        <w:pStyle w:val="7"/>
        <w:numPr>
          <w:ilvl w:val="0"/>
          <w:numId w:val="0"/>
        </w:num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（三）对个人和家庭补助支出</w:t>
      </w:r>
      <w:r>
        <w:rPr>
          <w:rFonts w:hint="eastAsia" w:ascii="仿宋_GB2312" w:hAnsi="仿宋_GB2312" w:eastAsia="仿宋_GB2312" w:cs="仿宋_GB2312"/>
          <w:sz w:val="32"/>
          <w:szCs w:val="32"/>
          <w:lang w:val="en-US" w:eastAsia="zh-CN"/>
        </w:rPr>
        <w:t>4.47</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38.13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下降了</w:t>
      </w:r>
      <w:r>
        <w:rPr>
          <w:rFonts w:hint="eastAsia" w:ascii="仿宋_GB2312" w:hAnsi="仿宋_GB2312" w:eastAsia="仿宋_GB2312" w:cs="仿宋_GB2312"/>
          <w:sz w:val="32"/>
          <w:szCs w:val="32"/>
          <w:lang w:val="en-US" w:eastAsia="zh-CN"/>
        </w:rPr>
        <w:t>89.5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加强单位内部控制管理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健全内部管理机制。</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（四）其他资本性支出</w:t>
      </w:r>
      <w:r>
        <w:rPr>
          <w:rFonts w:hint="eastAsia" w:ascii="仿宋_GB2312" w:hAnsi="仿宋_GB2312" w:eastAsia="仿宋_GB2312" w:cs="仿宋_GB2312"/>
          <w:sz w:val="32"/>
          <w:szCs w:val="32"/>
          <w:lang w:val="en-US" w:eastAsia="zh-CN"/>
        </w:rPr>
        <w:t>64.83</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56.86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本年度对老旧职工食堂及卫生</w:t>
      </w:r>
      <w:r>
        <w:rPr>
          <w:rFonts w:hint="eastAsia" w:ascii="仿宋_GB2312" w:hAnsi="仿宋_GB2312" w:eastAsia="仿宋_GB2312" w:cs="仿宋_GB2312"/>
          <w:b w:val="0"/>
          <w:bCs w:val="0"/>
          <w:sz w:val="32"/>
          <w:szCs w:val="32"/>
          <w:lang w:eastAsia="zh-CN"/>
        </w:rPr>
        <w:t>间进行了维修</w:t>
      </w:r>
      <w:r>
        <w:rPr>
          <w:rFonts w:hint="eastAsia" w:ascii="仿宋_GB2312" w:hAnsi="仿宋_GB2312" w:eastAsia="仿宋_GB2312" w:cs="仿宋_GB2312"/>
          <w:b w:val="0"/>
          <w:bCs w:val="0"/>
          <w:sz w:val="32"/>
          <w:szCs w:val="32"/>
        </w:rPr>
        <w:t>。</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五、一般公共预算财政拨款“三公”经费支出决算情况说明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年度一般公共预算财政拨款“三公”经费支出年初预算数为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24.75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58.23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15.02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增长了</w:t>
      </w:r>
      <w:r>
        <w:rPr>
          <w:rFonts w:hint="eastAsia" w:ascii="仿宋_GB2312" w:hAnsi="仿宋_GB2312" w:eastAsia="仿宋_GB2312" w:cs="仿宋_GB2312"/>
          <w:sz w:val="32"/>
          <w:szCs w:val="32"/>
          <w:lang w:val="en-US" w:eastAsia="zh-CN"/>
        </w:rPr>
        <w:t>154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，其中：</w:t>
      </w:r>
    </w:p>
    <w:p>
      <w:pPr>
        <w:pStyle w:val="7"/>
        <w:spacing w:line="560" w:lineRule="exact"/>
        <w:ind w:firstLine="601"/>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（一）因公出国（境）支出年初预算数为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万元，决算数为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p>
    <w:p>
      <w:pPr>
        <w:pStyle w:val="7"/>
        <w:spacing w:line="560" w:lineRule="exact"/>
        <w:ind w:firstLine="601"/>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（二）公务接待费支出年初预算数为</w:t>
      </w:r>
      <w:r>
        <w:rPr>
          <w:rFonts w:hint="eastAsia" w:ascii="仿宋_GB2312" w:hAnsi="仿宋_GB2312" w:eastAsia="仿宋_GB2312" w:cs="仿宋_GB2312"/>
          <w:sz w:val="32"/>
          <w:szCs w:val="32"/>
          <w:lang w:val="en-US" w:eastAsia="zh-CN"/>
        </w:rPr>
        <w:t>22.5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10.42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46.3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84.75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涉及交通建设的项目较多，相关部门也多，因此本年度的公务接待与上年度的公务接待相比有所增加。</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（三）公务用车购置及运行维护费支出</w:t>
      </w:r>
      <w:r>
        <w:rPr>
          <w:rFonts w:hint="eastAsia" w:ascii="仿宋_GB2312" w:hAnsi="仿宋_GB2312" w:eastAsia="仿宋_GB2312" w:cs="仿宋_GB2312"/>
          <w:sz w:val="32"/>
          <w:szCs w:val="32"/>
          <w:lang w:val="en-US" w:eastAsia="zh-CN"/>
        </w:rPr>
        <w:t>14.32</w:t>
      </w:r>
      <w:r>
        <w:rPr>
          <w:rFonts w:hint="eastAsia" w:ascii="仿宋_GB2312" w:hAnsi="仿宋_GB2312" w:eastAsia="仿宋_GB2312" w:cs="仿宋_GB2312"/>
          <w:sz w:val="32"/>
          <w:szCs w:val="32"/>
        </w:rPr>
        <w:t>万元，其中公务用车购置年初预算数为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年增加（减少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万元，增长（下降）</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公务用车运行维护费支出年初预算数为</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14.32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10.23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250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本年度我县涉及的交通建设项目较多，辖区新建的交通基础设施也较多，因此的本年度的交通运行费用与上年度相比有所增加。</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六、机关运行经费支出情况说明</w:t>
      </w:r>
    </w:p>
    <w:p>
      <w:pPr>
        <w:pStyle w:val="7"/>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204.43</w:t>
      </w:r>
      <w:r>
        <w:rPr>
          <w:rFonts w:hint="eastAsia" w:ascii="仿宋_GB2312" w:hAnsi="仿宋_GB2312" w:eastAsia="仿宋_GB2312" w:cs="仿宋_GB2312"/>
          <w:sz w:val="32"/>
          <w:szCs w:val="32"/>
        </w:rPr>
        <w:t>万元（与部门决算中行政单位和参照公务员法管理事业单位一般公共预算财政拨款基本支出中公用经费保持一致），较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45.5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28.62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：单位职工增多</w:t>
      </w:r>
      <w:r>
        <w:rPr>
          <w:rFonts w:hint="eastAsia" w:ascii="仿宋" w:hAnsi="仿宋" w:eastAsia="仿宋"/>
          <w:sz w:val="30"/>
          <w:szCs w:val="30"/>
        </w:rPr>
        <w:t>，</w:t>
      </w:r>
      <w:r>
        <w:rPr>
          <w:rFonts w:hint="eastAsia" w:ascii="仿宋" w:hAnsi="仿宋" w:eastAsia="仿宋"/>
          <w:sz w:val="30"/>
          <w:szCs w:val="30"/>
          <w:lang w:eastAsia="zh-CN"/>
        </w:rPr>
        <w:t>人们生活水平的不断提高，物价的提高。使得我单位的机关运行费用有所增长。</w:t>
      </w:r>
      <w:r>
        <w:rPr>
          <w:rFonts w:ascii="仿宋_GB2312" w:hAnsi="仿宋_GB2312" w:eastAsia="仿宋_GB2312" w:cs="仿宋_GB2312"/>
          <w:sz w:val="32"/>
          <w:szCs w:val="32"/>
        </w:rPr>
        <w:t xml:space="preserve"> </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七、政府采购支出情况说明</w:t>
      </w:r>
    </w:p>
    <w:p>
      <w:pPr>
        <w:pStyle w:val="7"/>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。（市级部门公开的政府采购金额的计算口径为：本部门纳入</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年部门预算范围的各项政府采购支出金额之和，并做好与</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年度政府采购信息统计报表中“政府采购资金情况表”有关数据的衔接。）</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年12月31日，本部门共有车辆</w:t>
      </w:r>
      <w:r>
        <w:rPr>
          <w:rFonts w:hint="eastAsia" w:ascii="仿宋" w:hAnsi="仿宋" w:eastAsia="仿宋"/>
          <w:kern w:val="0"/>
          <w:sz w:val="30"/>
          <w:szCs w:val="30"/>
          <w:lang w:val="en-US" w:eastAsia="zh-CN"/>
        </w:rPr>
        <w:t>0</w:t>
      </w:r>
      <w:r>
        <w:rPr>
          <w:rFonts w:hint="eastAsia" w:ascii="仿宋" w:hAnsi="仿宋" w:eastAsia="仿宋"/>
          <w:kern w:val="0"/>
          <w:sz w:val="30"/>
          <w:szCs w:val="30"/>
        </w:rPr>
        <w:t>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辆、应急保障用车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辆，其他用车主要</w:t>
      </w:r>
      <w:r>
        <w:rPr>
          <w:rFonts w:hint="eastAsia" w:ascii="仿宋" w:hAnsi="仿宋" w:eastAsia="仿宋"/>
          <w:kern w:val="0"/>
          <w:sz w:val="30"/>
          <w:szCs w:val="30"/>
          <w:lang w:eastAsia="zh-CN"/>
        </w:rPr>
        <w:t>是老旧资产，已无相关车辆手续的老旧车辆，待报废处理（下属单位）</w:t>
      </w:r>
      <w:r>
        <w:rPr>
          <w:rFonts w:hint="eastAsia" w:ascii="仿宋" w:hAnsi="仿宋" w:eastAsia="仿宋"/>
          <w:kern w:val="0"/>
          <w:sz w:val="30"/>
          <w:szCs w:val="30"/>
        </w:rPr>
        <w:t>；单位价值50万元以上通用设备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pStyle w:val="7"/>
        <w:spacing w:line="600" w:lineRule="exact"/>
        <w:ind w:firstLine="600"/>
        <w:rPr>
          <w:rFonts w:hint="eastAsia" w:ascii="仿宋_GB2312" w:hAnsi="仿宋_GB2312" w:eastAsia="仿宋_GB2312" w:cs="仿宋_GB2312"/>
          <w:sz w:val="32"/>
          <w:szCs w:val="32"/>
        </w:rPr>
      </w:pPr>
    </w:p>
    <w:p>
      <w:pPr>
        <w:numPr>
          <w:ilvl w:val="0"/>
          <w:numId w:val="4"/>
        </w:numPr>
        <w:spacing w:line="600" w:lineRule="exact"/>
        <w:ind w:firstLine="630"/>
        <w:jc w:val="left"/>
        <w:rPr>
          <w:rFonts w:hint="eastAsia" w:ascii="黑体" w:hAnsi="黑体" w:eastAsia="黑体" w:cs="黑体"/>
          <w:sz w:val="32"/>
          <w:szCs w:val="32"/>
        </w:rPr>
      </w:pPr>
      <w:r>
        <w:rPr>
          <w:rFonts w:hint="eastAsia" w:ascii="黑体" w:hAnsi="黑体" w:eastAsia="黑体" w:cs="黑体"/>
          <w:sz w:val="32"/>
          <w:szCs w:val="32"/>
        </w:rPr>
        <w:t>预算绩效情况说明</w:t>
      </w:r>
    </w:p>
    <w:p>
      <w:pPr>
        <w:numPr>
          <w:ilvl w:val="0"/>
          <w:numId w:val="5"/>
        </w:num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绩效管理工作开展情况。</w:t>
      </w:r>
    </w:p>
    <w:p>
      <w:pPr>
        <w:numPr>
          <w:numId w:val="0"/>
        </w:numPr>
        <w:autoSpaceDE w:val="0"/>
        <w:autoSpaceDN w:val="0"/>
        <w:adjustRightInd w:val="0"/>
        <w:spacing w:line="360" w:lineRule="auto"/>
        <w:jc w:val="left"/>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xml:space="preserve">      本部门暂未开展绩效管理工作。</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（二）部门决算中项目绩效自评结果（选择1至2个项目）。</w:t>
      </w:r>
    </w:p>
    <w:p>
      <w:pPr>
        <w:autoSpaceDE w:val="0"/>
        <w:autoSpaceDN w:val="0"/>
        <w:adjustRightInd w:val="0"/>
        <w:spacing w:line="360" w:lineRule="auto"/>
        <w:ind w:firstLine="600"/>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本部门未开展决算中项目绩效自评工作。</w:t>
      </w:r>
      <w:bookmarkStart w:id="0" w:name="_GoBack"/>
      <w:bookmarkEnd w:id="0"/>
    </w:p>
    <w:p>
      <w:pPr>
        <w:widowControl/>
        <w:spacing w:line="600" w:lineRule="exact"/>
        <w:ind w:firstLine="640"/>
        <w:jc w:val="center"/>
        <w:rPr>
          <w:rFonts w:hint="eastAsia" w:ascii="黑体" w:hAnsi="黑体" w:eastAsia="黑体" w:cs="黑体"/>
          <w:b/>
          <w:bCs/>
          <w:sz w:val="32"/>
          <w:szCs w:val="32"/>
        </w:rPr>
      </w:pPr>
      <w:r>
        <w:rPr>
          <w:rFonts w:ascii="仿宋_GB2312" w:hAnsi="仿宋_GB2312" w:eastAsia="仿宋_GB2312" w:cs="仿宋_GB2312"/>
          <w:b/>
          <w:bCs/>
          <w:kern w:val="0"/>
          <w:sz w:val="32"/>
          <w:szCs w:val="32"/>
        </w:rPr>
        <w:t xml:space="preserve">   </w:t>
      </w: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名词解释</w:t>
      </w:r>
    </w:p>
    <w:p>
      <w:pPr>
        <w:widowControl/>
        <w:spacing w:line="600" w:lineRule="exact"/>
        <w:ind w:firstLine="640"/>
        <w:jc w:val="center"/>
        <w:rPr>
          <w:rFonts w:hint="eastAsia" w:ascii="仿宋" w:hAnsi="仿宋" w:eastAsia="仿宋" w:cs="仿宋"/>
          <w:sz w:val="10"/>
          <w:szCs w:val="10"/>
        </w:rPr>
      </w:pP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对部门决算中涉及的收入科目、支出功能分类科目（明细到项级），结合部门实际，参照《201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年政府收支分类科目》的规范说明进行解释。</w:t>
      </w: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（一）财政拨款：指市级财政当年拨付的资金。</w:t>
      </w: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（二）事业收入：指事业单位开展专业业务活动及辅助活动取得的收入。</w:t>
      </w: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（三）行政运行：反映行政单位（包括参公单位）的基本支出。</w:t>
      </w: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hd w:val="clear" w:color="auto" w:fill="FFFFFF"/>
        <w:spacing w:line="400" w:lineRule="exac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560" w:lineRule="exact"/>
        <w:ind w:firstLine="630"/>
        <w:jc w:val="left"/>
        <w:rPr>
          <w:rFonts w:hint="eastAsia" w:ascii="仿宋" w:hAnsi="仿宋" w:eastAsia="仿宋" w:cs="仿宋"/>
          <w:sz w:val="30"/>
          <w:szCs w:val="30"/>
        </w:rPr>
      </w:pPr>
    </w:p>
    <w:p>
      <w:pPr>
        <w:spacing w:line="560" w:lineRule="exact"/>
        <w:rPr>
          <w:rFonts w:hint="eastAsia" w:ascii="仿宋" w:hAnsi="仿宋" w:eastAsia="仿宋" w:cs="仿宋"/>
        </w:rPr>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12</w: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70615A"/>
    <w:multiLevelType w:val="singleLevel"/>
    <w:tmpl w:val="E470615A"/>
    <w:lvl w:ilvl="0" w:tentative="0">
      <w:start w:val="1"/>
      <w:numFmt w:val="chineseCounting"/>
      <w:suff w:val="nothing"/>
      <w:lvlText w:val="（%1）"/>
      <w:lvlJc w:val="left"/>
      <w:rPr>
        <w:rFonts w:hint="eastAsia"/>
      </w:rPr>
    </w:lvl>
  </w:abstractNum>
  <w:abstractNum w:abstractNumId="1">
    <w:nsid w:val="FBF7ED3A"/>
    <w:multiLevelType w:val="singleLevel"/>
    <w:tmpl w:val="FBF7ED3A"/>
    <w:lvl w:ilvl="0" w:tentative="0">
      <w:start w:val="1"/>
      <w:numFmt w:val="chineseCounting"/>
      <w:suff w:val="nothing"/>
      <w:lvlText w:val="（%1）"/>
      <w:lvlJc w:val="left"/>
      <w:rPr>
        <w:rFonts w:hint="eastAsia"/>
      </w:rPr>
    </w:lvl>
  </w:abstractNum>
  <w:abstractNum w:abstractNumId="2">
    <w:nsid w:val="22F4E4C1"/>
    <w:multiLevelType w:val="singleLevel"/>
    <w:tmpl w:val="22F4E4C1"/>
    <w:lvl w:ilvl="0" w:tentative="0">
      <w:start w:val="9"/>
      <w:numFmt w:val="chineseCounting"/>
      <w:suff w:val="nothing"/>
      <w:lvlText w:val="%1、"/>
      <w:lvlJc w:val="left"/>
      <w:rPr>
        <w:rFonts w:hint="eastAsia"/>
      </w:rPr>
    </w:lvl>
  </w:abstractNum>
  <w:abstractNum w:abstractNumId="3">
    <w:nsid w:val="4E593200"/>
    <w:multiLevelType w:val="singleLevel"/>
    <w:tmpl w:val="4E593200"/>
    <w:lvl w:ilvl="0" w:tentative="0">
      <w:start w:val="1"/>
      <w:numFmt w:val="chineseCounting"/>
      <w:suff w:val="space"/>
      <w:lvlText w:val="第%1部分"/>
      <w:lvlJc w:val="left"/>
      <w:rPr>
        <w:rFonts w:hint="eastAsia"/>
      </w:rPr>
    </w:lvl>
  </w:abstractNum>
  <w:abstractNum w:abstractNumId="4">
    <w:nsid w:val="6FB9566A"/>
    <w:multiLevelType w:val="singleLevel"/>
    <w:tmpl w:val="6FB9566A"/>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DD"/>
    <w:rsid w:val="002C526D"/>
    <w:rsid w:val="00487D11"/>
    <w:rsid w:val="00562B10"/>
    <w:rsid w:val="00951DC7"/>
    <w:rsid w:val="00A6101F"/>
    <w:rsid w:val="00C6247D"/>
    <w:rsid w:val="00D3707B"/>
    <w:rsid w:val="00DE7B48"/>
    <w:rsid w:val="00F369DD"/>
    <w:rsid w:val="00F5165F"/>
    <w:rsid w:val="00F76C24"/>
    <w:rsid w:val="013B3EC4"/>
    <w:rsid w:val="044024ED"/>
    <w:rsid w:val="0DA31DD1"/>
    <w:rsid w:val="0E13271D"/>
    <w:rsid w:val="1631013A"/>
    <w:rsid w:val="1DBB0E35"/>
    <w:rsid w:val="31B44405"/>
    <w:rsid w:val="33AB1D4A"/>
    <w:rsid w:val="3AA93ED6"/>
    <w:rsid w:val="44E0240C"/>
    <w:rsid w:val="47637E85"/>
    <w:rsid w:val="492A0983"/>
    <w:rsid w:val="494D2B64"/>
    <w:rsid w:val="4BD733D2"/>
    <w:rsid w:val="4C861288"/>
    <w:rsid w:val="4CB0115F"/>
    <w:rsid w:val="4F817559"/>
    <w:rsid w:val="4F9D7318"/>
    <w:rsid w:val="57661723"/>
    <w:rsid w:val="5F8F7046"/>
    <w:rsid w:val="60430078"/>
    <w:rsid w:val="6C6F0E55"/>
    <w:rsid w:val="6E2266E5"/>
    <w:rsid w:val="79456191"/>
    <w:rsid w:val="7A530A56"/>
    <w:rsid w:val="7C8004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style>
  <w:style w:type="paragraph" w:customStyle="1" w:styleId="7">
    <w:name w:val="p0"/>
    <w:basedOn w:val="1"/>
    <w:qFormat/>
    <w:uiPriority w:val="99"/>
    <w:pPr>
      <w:widowControl/>
    </w:pPr>
    <w:rPr>
      <w:kern w:val="0"/>
    </w:rPr>
  </w:style>
  <w:style w:type="character" w:customStyle="1" w:styleId="8">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473</Words>
  <Characters>2702</Characters>
  <Lines>0</Lines>
  <Paragraphs>0</Paragraphs>
  <TotalTime>32</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2018-09-21T08:10:00Z</dcterms:created>
  <dc:creator>qingshuiban</dc:creator>
  <cp:lastModifiedBy>Administrator</cp:lastModifiedBy>
  <cp:lastPrinted>2020-10-13T02:11:00Z</cp:lastPrinted>
  <dcterms:modified xsi:type="dcterms:W3CDTF">2021-05-25T00:53:30Z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