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0E205">
      <w:pPr>
        <w:spacing w:line="600" w:lineRule="exact"/>
        <w:rPr>
          <w:rFonts w:ascii="楷体_GB2312" w:hAnsi="方正大标宋简体" w:eastAsia="楷体_GB2312"/>
          <w:b/>
          <w:bCs/>
          <w:sz w:val="30"/>
          <w:szCs w:val="30"/>
        </w:rPr>
      </w:pPr>
    </w:p>
    <w:p w14:paraId="0069DB68">
      <w:pPr>
        <w:spacing w:line="600" w:lineRule="exact"/>
        <w:jc w:val="center"/>
        <w:rPr>
          <w:rFonts w:ascii="方正大标宋简体" w:hAnsi="方正大标宋简体" w:eastAsia="方正大标宋简体"/>
          <w:sz w:val="44"/>
          <w:szCs w:val="44"/>
        </w:rPr>
      </w:pPr>
    </w:p>
    <w:p w14:paraId="402E7F72">
      <w:pPr>
        <w:spacing w:line="600" w:lineRule="exact"/>
        <w:jc w:val="center"/>
        <w:rPr>
          <w:rFonts w:ascii="方正大标宋简体" w:hAnsi="方正大标宋简体" w:eastAsia="方正大标宋简体"/>
          <w:sz w:val="44"/>
          <w:szCs w:val="44"/>
        </w:rPr>
      </w:pPr>
      <w:r>
        <w:rPr>
          <w:rFonts w:hint="eastAsia" w:ascii="方正大标宋简体" w:hAnsi="方正大标宋简体" w:eastAsia="方正大标宋简体" w:cs="方正大标宋简体"/>
          <w:sz w:val="44"/>
          <w:szCs w:val="44"/>
          <w:lang w:eastAsia="zh-CN"/>
        </w:rPr>
        <w:t>浮梁县交通运输局</w:t>
      </w:r>
      <w:r>
        <w:rPr>
          <w:rFonts w:ascii="方正大标宋简体" w:hAnsi="方正大标宋简体" w:eastAsia="方正大标宋简体" w:cs="方正大标宋简体"/>
          <w:sz w:val="44"/>
          <w:szCs w:val="44"/>
        </w:rPr>
        <w:t>20</w:t>
      </w:r>
      <w:r>
        <w:rPr>
          <w:rFonts w:hint="eastAsia" w:ascii="方正大标宋简体" w:hAnsi="方正大标宋简体" w:eastAsia="方正大标宋简体" w:cs="方正大标宋简体"/>
          <w:sz w:val="44"/>
          <w:szCs w:val="44"/>
          <w:lang w:val="en-US" w:eastAsia="zh-CN"/>
        </w:rPr>
        <w:t>19</w:t>
      </w:r>
      <w:r>
        <w:rPr>
          <w:rFonts w:hint="eastAsia" w:ascii="方正大标宋简体" w:hAnsi="方正大标宋简体" w:eastAsia="方正大标宋简体" w:cs="方正大标宋简体"/>
          <w:sz w:val="44"/>
          <w:szCs w:val="44"/>
        </w:rPr>
        <w:t>年度部门决算</w:t>
      </w:r>
    </w:p>
    <w:p w14:paraId="0E1EFFEB">
      <w:pPr>
        <w:spacing w:line="600" w:lineRule="exact"/>
        <w:jc w:val="center"/>
        <w:rPr>
          <w:rFonts w:ascii="黑体" w:eastAsia="黑体"/>
          <w:sz w:val="44"/>
          <w:szCs w:val="44"/>
        </w:rPr>
      </w:pPr>
    </w:p>
    <w:p w14:paraId="7B16C422">
      <w:pPr>
        <w:spacing w:line="600" w:lineRule="exact"/>
        <w:jc w:val="center"/>
        <w:rPr>
          <w:rFonts w:ascii="楷体_GB2312" w:hAnsi="楷体_GB2312" w:eastAsia="楷体_GB2312"/>
          <w:b/>
          <w:bCs/>
          <w:sz w:val="44"/>
          <w:szCs w:val="44"/>
        </w:rPr>
      </w:pPr>
      <w:r>
        <w:rPr>
          <w:rFonts w:hint="eastAsia" w:ascii="楷体_GB2312" w:hAnsi="楷体_GB2312" w:eastAsia="楷体_GB2312" w:cs="楷体_GB2312"/>
          <w:b/>
          <w:bCs/>
          <w:sz w:val="44"/>
          <w:szCs w:val="44"/>
        </w:rPr>
        <w:t>目</w:t>
      </w:r>
      <w:r>
        <w:rPr>
          <w:rFonts w:ascii="楷体_GB2312" w:hAnsi="楷体_GB2312" w:eastAsia="楷体_GB2312" w:cs="楷体_GB2312"/>
          <w:b/>
          <w:bCs/>
          <w:sz w:val="44"/>
          <w:szCs w:val="44"/>
        </w:rPr>
        <w:t xml:space="preserve">    </w:t>
      </w:r>
      <w:r>
        <w:rPr>
          <w:rFonts w:hint="eastAsia" w:ascii="楷体_GB2312" w:hAnsi="楷体_GB2312" w:eastAsia="楷体_GB2312" w:cs="楷体_GB2312"/>
          <w:b/>
          <w:bCs/>
          <w:sz w:val="44"/>
          <w:szCs w:val="44"/>
        </w:rPr>
        <w:t>录</w:t>
      </w:r>
    </w:p>
    <w:p w14:paraId="024BF3AC">
      <w:pPr>
        <w:widowControl/>
        <w:spacing w:line="600" w:lineRule="exact"/>
        <w:ind w:firstLine="640"/>
        <w:jc w:val="left"/>
        <w:rPr>
          <w:rFonts w:ascii="仿宋_GB2312" w:eastAsia="仿宋_GB2312"/>
          <w:sz w:val="32"/>
          <w:szCs w:val="32"/>
        </w:rPr>
      </w:pPr>
    </w:p>
    <w:p w14:paraId="2FF2C2AA">
      <w:pPr>
        <w:widowControl/>
        <w:spacing w:line="660" w:lineRule="exact"/>
        <w:ind w:firstLine="640"/>
        <w:jc w:val="left"/>
        <w:rPr>
          <w:rFonts w:ascii="黑体" w:hAnsi="黑体" w:eastAsia="黑体"/>
          <w:b/>
          <w:bCs/>
          <w:sz w:val="32"/>
          <w:szCs w:val="32"/>
        </w:rPr>
      </w:pPr>
      <w:r>
        <w:rPr>
          <w:rFonts w:hint="eastAsia" w:ascii="黑体" w:hAnsi="黑体" w:eastAsia="黑体" w:cs="黑体"/>
          <w:sz w:val="32"/>
          <w:szCs w:val="32"/>
        </w:rPr>
        <w:t>第一部分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交通运输局</w:t>
      </w:r>
      <w:r>
        <w:rPr>
          <w:rFonts w:hint="eastAsia" w:ascii="黑体" w:hAnsi="黑体" w:eastAsia="黑体" w:cs="黑体"/>
          <w:sz w:val="32"/>
          <w:szCs w:val="32"/>
        </w:rPr>
        <w:t>概况</w:t>
      </w:r>
    </w:p>
    <w:p w14:paraId="55848AF0">
      <w:pPr>
        <w:widowControl/>
        <w:spacing w:line="660" w:lineRule="exact"/>
        <w:ind w:firstLine="640"/>
        <w:jc w:val="left"/>
        <w:rPr>
          <w:rFonts w:ascii="仿宋_GB2312" w:hAnsi="仿宋_GB2312" w:eastAsia="仿宋_GB2312"/>
          <w:sz w:val="32"/>
          <w:szCs w:val="32"/>
        </w:rPr>
      </w:pPr>
      <w:r>
        <w:rPr>
          <w:rFonts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交通运输局</w:t>
      </w:r>
      <w:r>
        <w:rPr>
          <w:rFonts w:hint="eastAsia" w:ascii="仿宋_GB2312" w:hAnsi="仿宋_GB2312" w:eastAsia="仿宋_GB2312" w:cs="仿宋_GB2312"/>
          <w:sz w:val="32"/>
          <w:szCs w:val="32"/>
        </w:rPr>
        <w:t>主要职责</w:t>
      </w:r>
    </w:p>
    <w:p w14:paraId="0497F89D">
      <w:pPr>
        <w:widowControl/>
        <w:spacing w:line="660" w:lineRule="exact"/>
        <w:ind w:firstLine="640"/>
        <w:jc w:val="left"/>
        <w:rPr>
          <w:rFonts w:ascii="仿宋_GB2312" w:hAnsi="仿宋_GB2312" w:eastAsia="仿宋_GB2312"/>
          <w:kern w:val="0"/>
          <w:sz w:val="32"/>
          <w:szCs w:val="32"/>
        </w:rPr>
      </w:pP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二、</w:t>
      </w:r>
      <w:r>
        <w:rPr>
          <w:rFonts w:hint="eastAsia" w:ascii="仿宋_GB2312" w:hAnsi="仿宋_GB2312" w:eastAsia="仿宋_GB2312" w:cs="仿宋_GB2312"/>
          <w:kern w:val="0"/>
          <w:sz w:val="32"/>
          <w:szCs w:val="32"/>
          <w:lang w:eastAsia="zh-CN"/>
        </w:rPr>
        <w:t>交通运输局</w:t>
      </w:r>
      <w:r>
        <w:rPr>
          <w:rFonts w:hint="eastAsia" w:ascii="仿宋_GB2312" w:hAnsi="仿宋_GB2312" w:eastAsia="仿宋_GB2312" w:cs="仿宋_GB2312"/>
          <w:kern w:val="0"/>
          <w:sz w:val="32"/>
          <w:szCs w:val="32"/>
        </w:rPr>
        <w:t>基本情况</w:t>
      </w:r>
    </w:p>
    <w:p w14:paraId="0B6CEA5E">
      <w:pPr>
        <w:widowControl/>
        <w:spacing w:line="660" w:lineRule="exact"/>
        <w:ind w:firstLine="640"/>
        <w:jc w:val="left"/>
        <w:rPr>
          <w:rFonts w:ascii="黑体" w:hAnsi="黑体" w:eastAsia="黑体"/>
          <w:sz w:val="32"/>
          <w:szCs w:val="32"/>
        </w:rPr>
      </w:pPr>
      <w:r>
        <w:rPr>
          <w:rFonts w:hint="eastAsia" w:ascii="黑体" w:hAnsi="黑体" w:eastAsia="黑体" w:cs="黑体"/>
          <w:sz w:val="32"/>
          <w:szCs w:val="32"/>
        </w:rPr>
        <w:t>第二部分</w:t>
      </w:r>
      <w:r>
        <w:rPr>
          <w:rFonts w:ascii="黑体" w:hAnsi="黑体" w:eastAsia="黑体" w:cs="黑体"/>
          <w:sz w:val="32"/>
          <w:szCs w:val="32"/>
        </w:rPr>
        <w:t xml:space="preserve">  </w:t>
      </w:r>
      <w:r>
        <w:rPr>
          <w:rFonts w:hint="eastAsia" w:ascii="黑体" w:hAnsi="黑体" w:eastAsia="黑体" w:cs="黑体"/>
          <w:sz w:val="32"/>
          <w:szCs w:val="32"/>
          <w:lang w:eastAsia="zh-CN"/>
        </w:rPr>
        <w:t>交通运输局</w:t>
      </w:r>
      <w:r>
        <w:rPr>
          <w:rFonts w:ascii="黑体" w:hAnsi="黑体" w:eastAsia="黑体" w:cs="黑体"/>
          <w:sz w:val="32"/>
          <w:szCs w:val="32"/>
        </w:rPr>
        <w:t>201</w:t>
      </w:r>
      <w:r>
        <w:rPr>
          <w:rFonts w:hint="eastAsia" w:ascii="黑体" w:hAnsi="黑体" w:eastAsia="黑体" w:cs="黑体"/>
          <w:sz w:val="32"/>
          <w:szCs w:val="32"/>
          <w:lang w:val="en-US" w:eastAsia="zh-CN"/>
        </w:rPr>
        <w:t>9</w:t>
      </w:r>
      <w:r>
        <w:rPr>
          <w:rFonts w:hint="eastAsia" w:ascii="黑体" w:hAnsi="黑体" w:eastAsia="黑体" w:cs="黑体"/>
          <w:sz w:val="32"/>
          <w:szCs w:val="32"/>
        </w:rPr>
        <w:t>年度部门决算表</w:t>
      </w:r>
    </w:p>
    <w:p w14:paraId="6D307C2C">
      <w:pPr>
        <w:widowControl/>
        <w:spacing w:line="660" w:lineRule="exact"/>
        <w:ind w:firstLine="1280" w:firstLineChars="400"/>
        <w:jc w:val="left"/>
        <w:rPr>
          <w:rFonts w:ascii="仿宋_GB2312" w:hAnsi="仿宋_GB2312" w:eastAsia="仿宋_GB2312"/>
          <w:sz w:val="32"/>
          <w:szCs w:val="32"/>
        </w:rPr>
      </w:pPr>
      <w:r>
        <w:rPr>
          <w:rFonts w:hint="eastAsia" w:ascii="仿宋_GB2312" w:hAnsi="仿宋_GB2312" w:eastAsia="仿宋_GB2312" w:cs="仿宋_GB2312"/>
          <w:sz w:val="32"/>
          <w:szCs w:val="32"/>
        </w:rPr>
        <w:t>一、收入支出决算总表</w:t>
      </w:r>
    </w:p>
    <w:p w14:paraId="39ACC5F2">
      <w:pPr>
        <w:widowControl/>
        <w:spacing w:line="660" w:lineRule="exact"/>
        <w:ind w:firstLine="1280" w:firstLineChars="400"/>
        <w:jc w:val="left"/>
        <w:rPr>
          <w:rFonts w:ascii="仿宋_GB2312" w:hAnsi="仿宋_GB2312" w:eastAsia="仿宋_GB2312"/>
          <w:sz w:val="32"/>
          <w:szCs w:val="32"/>
        </w:rPr>
      </w:pPr>
      <w:r>
        <w:rPr>
          <w:rFonts w:hint="eastAsia" w:ascii="仿宋_GB2312" w:hAnsi="仿宋_GB2312" w:eastAsia="仿宋_GB2312" w:cs="仿宋_GB2312"/>
          <w:sz w:val="32"/>
          <w:szCs w:val="32"/>
        </w:rPr>
        <w:t>二、收入决算表</w:t>
      </w:r>
    </w:p>
    <w:p w14:paraId="6CA17AED">
      <w:pPr>
        <w:widowControl/>
        <w:spacing w:line="660" w:lineRule="exact"/>
        <w:ind w:firstLine="640"/>
        <w:jc w:val="left"/>
        <w:rPr>
          <w:rFonts w:ascii="仿宋_GB2312" w:hAnsi="仿宋_GB2312" w:eastAsia="仿宋_GB2312"/>
          <w:kern w:val="0"/>
          <w:sz w:val="32"/>
          <w:szCs w:val="32"/>
        </w:rPr>
      </w:pP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三、支出决算表</w:t>
      </w:r>
    </w:p>
    <w:p w14:paraId="17AB063B">
      <w:pPr>
        <w:widowControl/>
        <w:spacing w:line="660" w:lineRule="exact"/>
        <w:ind w:firstLine="640"/>
        <w:jc w:val="left"/>
        <w:rPr>
          <w:rFonts w:ascii="仿宋_GB2312" w:hAnsi="仿宋_GB2312" w:eastAsia="仿宋_GB2312"/>
          <w:kern w:val="0"/>
          <w:sz w:val="32"/>
          <w:szCs w:val="32"/>
        </w:rPr>
      </w:pP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四、财政拨款收入支出决算总表</w:t>
      </w:r>
    </w:p>
    <w:p w14:paraId="31C3108B">
      <w:pPr>
        <w:widowControl/>
        <w:spacing w:line="660" w:lineRule="exact"/>
        <w:ind w:firstLine="640"/>
        <w:jc w:val="left"/>
        <w:rPr>
          <w:rFonts w:ascii="仿宋_GB2312" w:hAnsi="仿宋_GB2312" w:eastAsia="仿宋_GB2312"/>
          <w:kern w:val="0"/>
          <w:sz w:val="32"/>
          <w:szCs w:val="32"/>
        </w:rPr>
      </w:pP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五、一般公共预算财政拨款支出决算表</w:t>
      </w:r>
    </w:p>
    <w:p w14:paraId="1A451B93">
      <w:pPr>
        <w:widowControl/>
        <w:spacing w:line="660" w:lineRule="exact"/>
        <w:ind w:firstLine="640"/>
        <w:jc w:val="left"/>
        <w:rPr>
          <w:rFonts w:ascii="仿宋_GB2312" w:hAnsi="仿宋_GB2312" w:eastAsia="仿宋_GB2312"/>
          <w:kern w:val="0"/>
          <w:sz w:val="32"/>
          <w:szCs w:val="32"/>
        </w:rPr>
      </w:pP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六、一般公共预算财政拨款基本支出决算表</w:t>
      </w:r>
    </w:p>
    <w:p w14:paraId="0BB5861B">
      <w:pPr>
        <w:widowControl/>
        <w:spacing w:line="660" w:lineRule="exact"/>
        <w:ind w:firstLine="640"/>
        <w:jc w:val="left"/>
        <w:rPr>
          <w:rFonts w:ascii="仿宋_GB2312" w:hAnsi="仿宋_GB2312" w:eastAsia="仿宋_GB2312"/>
          <w:kern w:val="0"/>
          <w:sz w:val="32"/>
          <w:szCs w:val="32"/>
        </w:rPr>
      </w:pP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七、一般公共预算财政拨款“三公”经费支出决算</w:t>
      </w:r>
    </w:p>
    <w:p w14:paraId="3EBCC716">
      <w:pPr>
        <w:widowControl/>
        <w:spacing w:line="660" w:lineRule="exact"/>
        <w:ind w:firstLine="640"/>
        <w:jc w:val="left"/>
        <w:rPr>
          <w:rFonts w:ascii="仿宋_GB2312" w:hAnsi="仿宋_GB2312" w:eastAsia="仿宋_GB2312"/>
          <w:kern w:val="0"/>
          <w:sz w:val="32"/>
          <w:szCs w:val="32"/>
        </w:rPr>
      </w:pPr>
      <w:r>
        <w:rPr>
          <w:rFonts w:hint="eastAsia" w:ascii="仿宋_GB2312" w:hAnsi="仿宋_GB2312" w:eastAsia="仿宋_GB2312" w:cs="仿宋_GB2312"/>
          <w:kern w:val="0"/>
          <w:sz w:val="32"/>
          <w:szCs w:val="32"/>
        </w:rPr>
        <w:t>表</w:t>
      </w:r>
    </w:p>
    <w:p w14:paraId="609F9D93">
      <w:pPr>
        <w:widowControl/>
        <w:spacing w:line="660" w:lineRule="exact"/>
        <w:ind w:firstLine="640"/>
        <w:jc w:val="left"/>
        <w:rPr>
          <w:rFonts w:ascii="仿宋_GB2312" w:hAnsi="仿宋_GB2312" w:eastAsia="仿宋_GB2312"/>
          <w:kern w:val="0"/>
          <w:sz w:val="32"/>
          <w:szCs w:val="32"/>
        </w:rPr>
      </w:pP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八、政府性基金预算财政拨款收入支出决算表</w:t>
      </w:r>
    </w:p>
    <w:p w14:paraId="37288AD0">
      <w:pPr>
        <w:widowControl/>
        <w:spacing w:line="660" w:lineRule="exact"/>
        <w:ind w:firstLine="640"/>
        <w:jc w:val="left"/>
        <w:rPr>
          <w:rFonts w:ascii="仿宋_GB2312" w:hAnsi="仿宋_GB2312" w:eastAsia="仿宋_GB2312"/>
          <w:kern w:val="0"/>
          <w:sz w:val="32"/>
          <w:szCs w:val="32"/>
        </w:rPr>
      </w:pP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九、国有资产占用情况表</w:t>
      </w:r>
    </w:p>
    <w:p w14:paraId="2558502F">
      <w:pPr>
        <w:widowControl/>
        <w:spacing w:line="660" w:lineRule="exact"/>
        <w:jc w:val="left"/>
        <w:rPr>
          <w:rFonts w:ascii="仿宋_GB2312" w:hAnsi="仿宋_GB2312" w:eastAsia="仿宋_GB2312"/>
          <w:sz w:val="32"/>
          <w:szCs w:val="32"/>
        </w:rPr>
      </w:pPr>
      <w:r>
        <w:rPr>
          <w:rFonts w:ascii="仿宋_GB2312" w:hAnsi="仿宋_GB2312" w:eastAsia="仿宋_GB2312" w:cs="仿宋_GB2312"/>
          <w:kern w:val="0"/>
          <w:sz w:val="32"/>
          <w:szCs w:val="32"/>
        </w:rPr>
        <w:t xml:space="preserve">    </w:t>
      </w:r>
      <w:r>
        <w:rPr>
          <w:rFonts w:hint="eastAsia" w:ascii="黑体" w:hAnsi="黑体" w:eastAsia="黑体" w:cs="黑体"/>
          <w:sz w:val="32"/>
          <w:szCs w:val="32"/>
        </w:rPr>
        <w:t>第三部分</w:t>
      </w:r>
      <w:r>
        <w:rPr>
          <w:rFonts w:ascii="黑体" w:hAnsi="黑体" w:eastAsia="黑体" w:cs="黑体"/>
          <w:sz w:val="32"/>
          <w:szCs w:val="32"/>
        </w:rPr>
        <w:t xml:space="preserve">  </w:t>
      </w:r>
      <w:r>
        <w:rPr>
          <w:rFonts w:hint="eastAsia" w:ascii="黑体" w:hAnsi="黑体" w:eastAsia="黑体" w:cs="黑体"/>
          <w:sz w:val="32"/>
          <w:szCs w:val="32"/>
          <w:lang w:eastAsia="zh-CN"/>
        </w:rPr>
        <w:t>交通运输局</w:t>
      </w:r>
      <w:r>
        <w:rPr>
          <w:rFonts w:ascii="黑体" w:hAnsi="黑体" w:eastAsia="黑体" w:cs="黑体"/>
          <w:sz w:val="32"/>
          <w:szCs w:val="32"/>
        </w:rPr>
        <w:t>201</w:t>
      </w:r>
      <w:r>
        <w:rPr>
          <w:rFonts w:hint="eastAsia" w:ascii="黑体" w:hAnsi="黑体" w:eastAsia="黑体" w:cs="黑体"/>
          <w:sz w:val="32"/>
          <w:szCs w:val="32"/>
          <w:lang w:val="en-US" w:eastAsia="zh-CN"/>
        </w:rPr>
        <w:t>9</w:t>
      </w:r>
      <w:r>
        <w:rPr>
          <w:rFonts w:hint="eastAsia" w:ascii="黑体" w:hAnsi="黑体" w:eastAsia="黑体" w:cs="黑体"/>
          <w:sz w:val="32"/>
          <w:szCs w:val="32"/>
        </w:rPr>
        <w:t>年度部门决算情况说明</w:t>
      </w:r>
    </w:p>
    <w:p w14:paraId="2D1C00FC">
      <w:pPr>
        <w:widowControl/>
        <w:spacing w:line="660" w:lineRule="exact"/>
        <w:ind w:firstLine="1280" w:firstLineChars="400"/>
        <w:jc w:val="left"/>
        <w:rPr>
          <w:rFonts w:ascii="仿宋_GB2312" w:hAnsi="仿宋_GB2312" w:eastAsia="仿宋_GB2312"/>
          <w:sz w:val="32"/>
          <w:szCs w:val="32"/>
        </w:rPr>
      </w:pPr>
      <w:r>
        <w:rPr>
          <w:rFonts w:hint="eastAsia" w:ascii="仿宋_GB2312" w:hAnsi="仿宋_GB2312" w:eastAsia="仿宋_GB2312" w:cs="仿宋_GB2312"/>
          <w:sz w:val="32"/>
          <w:szCs w:val="32"/>
        </w:rPr>
        <w:t>一、收入决算情况说明</w:t>
      </w:r>
    </w:p>
    <w:p w14:paraId="26B6491F">
      <w:pPr>
        <w:widowControl/>
        <w:spacing w:line="660" w:lineRule="exact"/>
        <w:ind w:firstLine="1280" w:firstLineChars="400"/>
        <w:jc w:val="left"/>
        <w:rPr>
          <w:rFonts w:ascii="仿宋_GB2312" w:hAnsi="仿宋_GB2312" w:eastAsia="仿宋_GB2312"/>
          <w:sz w:val="32"/>
          <w:szCs w:val="32"/>
        </w:rPr>
      </w:pPr>
      <w:r>
        <w:rPr>
          <w:rFonts w:hint="eastAsia" w:ascii="仿宋_GB2312" w:hAnsi="仿宋_GB2312" w:eastAsia="仿宋_GB2312" w:cs="仿宋_GB2312"/>
          <w:sz w:val="32"/>
          <w:szCs w:val="32"/>
        </w:rPr>
        <w:t>二、支出决算情况说明</w:t>
      </w:r>
    </w:p>
    <w:p w14:paraId="14B28819">
      <w:pPr>
        <w:widowControl/>
        <w:spacing w:line="660" w:lineRule="exact"/>
        <w:ind w:firstLine="1280" w:firstLineChars="400"/>
        <w:jc w:val="left"/>
        <w:rPr>
          <w:rFonts w:ascii="仿宋_GB2312" w:hAnsi="仿宋_GB2312" w:eastAsia="仿宋_GB2312"/>
          <w:sz w:val="32"/>
          <w:szCs w:val="32"/>
        </w:rPr>
      </w:pPr>
      <w:r>
        <w:rPr>
          <w:rFonts w:hint="eastAsia" w:ascii="仿宋_GB2312" w:hAnsi="仿宋_GB2312" w:eastAsia="仿宋_GB2312" w:cs="仿宋_GB2312"/>
          <w:sz w:val="32"/>
          <w:szCs w:val="32"/>
        </w:rPr>
        <w:t>三、财政拨款支出决算情况说明</w:t>
      </w:r>
    </w:p>
    <w:p w14:paraId="4B6BF4C0">
      <w:pPr>
        <w:widowControl/>
        <w:spacing w:line="660" w:lineRule="exact"/>
        <w:ind w:firstLine="1280" w:firstLineChars="400"/>
        <w:jc w:val="left"/>
        <w:rPr>
          <w:rFonts w:ascii="仿宋_GB2312" w:hAnsi="仿宋_GB2312" w:eastAsia="仿宋_GB2312"/>
          <w:sz w:val="32"/>
          <w:szCs w:val="32"/>
        </w:rPr>
      </w:pPr>
      <w:r>
        <w:rPr>
          <w:rFonts w:hint="eastAsia" w:ascii="仿宋_GB2312" w:hAnsi="仿宋_GB2312" w:eastAsia="仿宋_GB2312" w:cs="仿宋_GB2312"/>
          <w:sz w:val="32"/>
          <w:szCs w:val="32"/>
        </w:rPr>
        <w:t>四、一般公共预算财政拨款基本支出决算情况说明</w:t>
      </w:r>
    </w:p>
    <w:p w14:paraId="4E6FBE8D">
      <w:pPr>
        <w:widowControl/>
        <w:spacing w:line="660" w:lineRule="exact"/>
        <w:ind w:firstLine="1280" w:firstLineChars="400"/>
        <w:jc w:val="left"/>
        <w:rPr>
          <w:rFonts w:ascii="仿宋_GB2312" w:hAnsi="仿宋_GB2312" w:eastAsia="仿宋_GB2312"/>
          <w:sz w:val="32"/>
          <w:szCs w:val="32"/>
        </w:rPr>
      </w:pPr>
      <w:r>
        <w:rPr>
          <w:rFonts w:hint="eastAsia" w:ascii="仿宋_GB2312" w:hAnsi="仿宋_GB2312" w:eastAsia="仿宋_GB2312" w:cs="仿宋_GB2312"/>
          <w:sz w:val="32"/>
          <w:szCs w:val="32"/>
        </w:rPr>
        <w:t>五、一般公共预算财政拨款“三公”经费支出决算</w:t>
      </w:r>
    </w:p>
    <w:p w14:paraId="18E54BD8">
      <w:pPr>
        <w:widowControl/>
        <w:spacing w:line="660" w:lineRule="exact"/>
        <w:jc w:val="left"/>
        <w:rPr>
          <w:rFonts w:ascii="仿宋_GB2312" w:hAnsi="仿宋_GB2312" w:eastAsia="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情况说明</w:t>
      </w:r>
    </w:p>
    <w:p w14:paraId="2E5930F7">
      <w:pPr>
        <w:widowControl/>
        <w:spacing w:line="660" w:lineRule="exact"/>
        <w:ind w:firstLine="1280" w:firstLineChars="400"/>
        <w:jc w:val="left"/>
        <w:rPr>
          <w:rFonts w:ascii="仿宋_GB2312" w:hAnsi="仿宋_GB2312" w:eastAsia="仿宋_GB2312"/>
          <w:sz w:val="32"/>
          <w:szCs w:val="32"/>
        </w:rPr>
      </w:pPr>
      <w:r>
        <w:rPr>
          <w:rFonts w:hint="eastAsia" w:ascii="仿宋_GB2312" w:hAnsi="仿宋_GB2312" w:eastAsia="仿宋_GB2312" w:cs="仿宋_GB2312"/>
          <w:sz w:val="32"/>
          <w:szCs w:val="32"/>
        </w:rPr>
        <w:t>六、机关运行经费支出情况说明</w:t>
      </w:r>
    </w:p>
    <w:p w14:paraId="34506259">
      <w:pPr>
        <w:widowControl/>
        <w:spacing w:line="660" w:lineRule="exact"/>
        <w:ind w:firstLine="640"/>
        <w:jc w:val="left"/>
        <w:rPr>
          <w:rFonts w:ascii="仿宋_GB2312" w:hAnsi="仿宋_GB2312" w:eastAsia="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七、政府采购支出情况说明</w:t>
      </w:r>
    </w:p>
    <w:p w14:paraId="2B632260">
      <w:pPr>
        <w:widowControl/>
        <w:spacing w:line="660" w:lineRule="exact"/>
        <w:ind w:firstLine="640"/>
        <w:jc w:val="left"/>
        <w:rPr>
          <w:rFonts w:ascii="仿宋_GB2312" w:hAnsi="仿宋_GB2312" w:eastAsia="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八、预算绩效情况说明</w:t>
      </w:r>
    </w:p>
    <w:p w14:paraId="3C52FC06">
      <w:pPr>
        <w:widowControl/>
        <w:spacing w:line="660" w:lineRule="exact"/>
        <w:ind w:firstLine="640"/>
        <w:jc w:val="left"/>
        <w:rPr>
          <w:rFonts w:ascii="黑体" w:hAnsi="黑体" w:eastAsia="黑体"/>
          <w:sz w:val="32"/>
          <w:szCs w:val="32"/>
        </w:rPr>
      </w:pPr>
      <w:r>
        <w:rPr>
          <w:rFonts w:hint="eastAsia" w:ascii="黑体" w:hAnsi="黑体" w:eastAsia="黑体" w:cs="黑体"/>
          <w:sz w:val="32"/>
          <w:szCs w:val="32"/>
        </w:rPr>
        <w:t>第四部分</w:t>
      </w:r>
      <w:r>
        <w:rPr>
          <w:rFonts w:ascii="黑体" w:hAnsi="黑体" w:eastAsia="黑体" w:cs="黑体"/>
          <w:sz w:val="32"/>
          <w:szCs w:val="32"/>
        </w:rPr>
        <w:t xml:space="preserve">  </w:t>
      </w:r>
      <w:r>
        <w:rPr>
          <w:rFonts w:hint="eastAsia" w:ascii="黑体" w:hAnsi="黑体" w:eastAsia="黑体" w:cs="黑体"/>
          <w:sz w:val="32"/>
          <w:szCs w:val="32"/>
        </w:rPr>
        <w:t>名词解释</w:t>
      </w:r>
    </w:p>
    <w:p w14:paraId="18CC188B">
      <w:pPr>
        <w:ind w:firstLine="630"/>
        <w:jc w:val="center"/>
        <w:rPr>
          <w:rFonts w:ascii="仿宋_GB2312" w:hAnsi="仿宋_GB2312" w:eastAsia="仿宋_GB2312"/>
          <w:b/>
          <w:bCs/>
          <w:sz w:val="36"/>
          <w:szCs w:val="36"/>
        </w:rPr>
      </w:pPr>
    </w:p>
    <w:p w14:paraId="0DBE8066">
      <w:pPr>
        <w:ind w:firstLine="630"/>
        <w:jc w:val="center"/>
        <w:rPr>
          <w:rFonts w:ascii="仿宋_GB2312" w:hAnsi="仿宋_GB2312" w:eastAsia="仿宋_GB2312"/>
          <w:b/>
          <w:bCs/>
          <w:sz w:val="36"/>
          <w:szCs w:val="36"/>
        </w:rPr>
      </w:pPr>
    </w:p>
    <w:p w14:paraId="41A61A89">
      <w:pPr>
        <w:ind w:firstLine="630"/>
        <w:jc w:val="center"/>
        <w:rPr>
          <w:rFonts w:ascii="仿宋_GB2312" w:hAnsi="仿宋_GB2312" w:eastAsia="仿宋_GB2312"/>
          <w:b/>
          <w:bCs/>
          <w:sz w:val="36"/>
          <w:szCs w:val="36"/>
        </w:rPr>
      </w:pPr>
    </w:p>
    <w:p w14:paraId="483946D9">
      <w:pPr>
        <w:ind w:firstLine="630"/>
        <w:jc w:val="center"/>
        <w:rPr>
          <w:rFonts w:ascii="仿宋_GB2312" w:hAnsi="仿宋_GB2312" w:eastAsia="仿宋_GB2312"/>
          <w:b/>
          <w:bCs/>
          <w:sz w:val="36"/>
          <w:szCs w:val="36"/>
        </w:rPr>
      </w:pPr>
    </w:p>
    <w:p w14:paraId="27D7579C">
      <w:pPr>
        <w:ind w:firstLine="630"/>
        <w:jc w:val="center"/>
        <w:rPr>
          <w:rFonts w:ascii="仿宋_GB2312" w:hAnsi="仿宋_GB2312" w:eastAsia="仿宋_GB2312"/>
          <w:b/>
          <w:bCs/>
          <w:sz w:val="36"/>
          <w:szCs w:val="36"/>
        </w:rPr>
      </w:pPr>
    </w:p>
    <w:p w14:paraId="3F504C52">
      <w:pPr>
        <w:ind w:firstLine="630"/>
        <w:jc w:val="center"/>
        <w:rPr>
          <w:rFonts w:ascii="仿宋_GB2312" w:hAnsi="仿宋_GB2312" w:eastAsia="仿宋_GB2312"/>
          <w:b/>
          <w:bCs/>
          <w:sz w:val="36"/>
          <w:szCs w:val="36"/>
        </w:rPr>
      </w:pPr>
    </w:p>
    <w:p w14:paraId="381D787B">
      <w:pPr>
        <w:ind w:firstLine="630"/>
        <w:jc w:val="center"/>
        <w:rPr>
          <w:rFonts w:ascii="仿宋_GB2312" w:hAnsi="仿宋_GB2312" w:eastAsia="仿宋_GB2312"/>
          <w:b/>
          <w:bCs/>
          <w:sz w:val="36"/>
          <w:szCs w:val="36"/>
        </w:rPr>
      </w:pPr>
    </w:p>
    <w:p w14:paraId="6C747A68">
      <w:pPr>
        <w:ind w:firstLine="630"/>
        <w:jc w:val="center"/>
        <w:rPr>
          <w:rFonts w:ascii="仿宋_GB2312" w:hAnsi="仿宋_GB2312" w:eastAsia="仿宋_GB2312"/>
          <w:b/>
          <w:bCs/>
          <w:sz w:val="36"/>
          <w:szCs w:val="36"/>
        </w:rPr>
      </w:pPr>
    </w:p>
    <w:p w14:paraId="31D1E60F">
      <w:pPr>
        <w:ind w:firstLine="630"/>
        <w:jc w:val="center"/>
        <w:rPr>
          <w:rFonts w:ascii="仿宋_GB2312" w:hAnsi="仿宋_GB2312" w:eastAsia="仿宋_GB2312"/>
          <w:b/>
          <w:bCs/>
          <w:sz w:val="36"/>
          <w:szCs w:val="36"/>
        </w:rPr>
      </w:pPr>
    </w:p>
    <w:p w14:paraId="55A2BD89">
      <w:pPr>
        <w:ind w:firstLine="630"/>
        <w:jc w:val="center"/>
        <w:rPr>
          <w:rFonts w:ascii="仿宋_GB2312" w:hAnsi="仿宋_GB2312" w:eastAsia="仿宋_GB2312"/>
          <w:b/>
          <w:bCs/>
          <w:sz w:val="36"/>
          <w:szCs w:val="36"/>
        </w:rPr>
      </w:pPr>
    </w:p>
    <w:p w14:paraId="5EE1CCF2">
      <w:pPr>
        <w:ind w:firstLine="630"/>
        <w:jc w:val="center"/>
        <w:rPr>
          <w:rFonts w:ascii="仿宋_GB2312" w:hAnsi="仿宋_GB2312" w:eastAsia="仿宋_GB2312"/>
          <w:b/>
          <w:bCs/>
          <w:sz w:val="36"/>
          <w:szCs w:val="36"/>
        </w:rPr>
      </w:pPr>
    </w:p>
    <w:p w14:paraId="497AD6CB">
      <w:pPr>
        <w:widowControl/>
        <w:numPr>
          <w:ilvl w:val="0"/>
          <w:numId w:val="1"/>
        </w:numPr>
        <w:spacing w:line="560" w:lineRule="exact"/>
        <w:ind w:firstLine="640"/>
        <w:jc w:val="center"/>
        <w:rPr>
          <w:rFonts w:hint="eastAsia" w:ascii="黑体" w:hAnsi="黑体" w:eastAsia="黑体" w:cs="黑体"/>
          <w:sz w:val="32"/>
          <w:szCs w:val="32"/>
        </w:rPr>
      </w:pPr>
      <w:r>
        <w:rPr>
          <w:rFonts w:ascii="黑体" w:hAnsi="黑体" w:eastAsia="黑体" w:cs="黑体"/>
          <w:sz w:val="32"/>
          <w:szCs w:val="32"/>
        </w:rPr>
        <w:t xml:space="preserve"> </w:t>
      </w:r>
      <w:r>
        <w:rPr>
          <w:rFonts w:hint="eastAsia" w:ascii="黑体" w:hAnsi="黑体" w:eastAsia="黑体" w:cs="黑体"/>
          <w:sz w:val="32"/>
          <w:szCs w:val="32"/>
          <w:lang w:eastAsia="zh-CN"/>
        </w:rPr>
        <w:t>浮梁县交通运输局</w:t>
      </w:r>
      <w:r>
        <w:rPr>
          <w:rFonts w:hint="eastAsia" w:ascii="黑体" w:hAnsi="黑体" w:eastAsia="黑体" w:cs="黑体"/>
          <w:sz w:val="32"/>
          <w:szCs w:val="32"/>
        </w:rPr>
        <w:t>概况</w:t>
      </w:r>
    </w:p>
    <w:p w14:paraId="227CEFB6">
      <w:pPr>
        <w:widowControl/>
        <w:numPr>
          <w:ilvl w:val="0"/>
          <w:numId w:val="0"/>
        </w:numPr>
        <w:spacing w:line="560" w:lineRule="exact"/>
        <w:jc w:val="both"/>
        <w:rPr>
          <w:rFonts w:hint="eastAsia" w:ascii="黑体" w:hAnsi="黑体" w:eastAsia="黑体" w:cs="黑体"/>
          <w:sz w:val="32"/>
          <w:szCs w:val="32"/>
        </w:rPr>
      </w:pPr>
    </w:p>
    <w:p w14:paraId="0105FF47">
      <w:pPr>
        <w:spacing w:line="580" w:lineRule="exact"/>
        <w:ind w:firstLine="629"/>
        <w:jc w:val="left"/>
        <w:rPr>
          <w:rFonts w:ascii="黑体" w:hAnsi="黑体" w:eastAsia="黑体"/>
          <w:sz w:val="30"/>
          <w:szCs w:val="30"/>
        </w:rPr>
      </w:pPr>
      <w:r>
        <w:rPr>
          <w:rFonts w:hint="eastAsia" w:ascii="黑体" w:hAnsi="黑体" w:eastAsia="黑体" w:cs="黑体"/>
          <w:sz w:val="30"/>
          <w:szCs w:val="30"/>
        </w:rPr>
        <w:t>一、</w:t>
      </w:r>
      <w:r>
        <w:rPr>
          <w:rFonts w:hint="eastAsia" w:ascii="黑体" w:hAnsi="黑体" w:eastAsia="黑体" w:cs="黑体"/>
          <w:sz w:val="30"/>
          <w:szCs w:val="30"/>
          <w:lang w:eastAsia="zh-CN"/>
        </w:rPr>
        <w:t>交通运输局</w:t>
      </w:r>
      <w:r>
        <w:rPr>
          <w:rFonts w:hint="eastAsia" w:ascii="黑体" w:hAnsi="黑体" w:eastAsia="黑体" w:cs="黑体"/>
          <w:sz w:val="30"/>
          <w:szCs w:val="30"/>
        </w:rPr>
        <w:t>主要职能</w:t>
      </w:r>
    </w:p>
    <w:p w14:paraId="0CCC478D">
      <w:pPr>
        <w:ind w:firstLineChars="200"/>
        <w:rPr>
          <w:rFonts w:ascii="仿宋_GB2312" w:hAnsi="Calibri" w:eastAsia="仿宋_GB2312"/>
          <w:sz w:val="30"/>
          <w:szCs w:val="30"/>
        </w:rPr>
      </w:pPr>
      <w:r>
        <w:rPr>
          <w:rFonts w:hint="eastAsia" w:ascii="仿宋_GB2312" w:hAnsi="Calibri" w:eastAsia="仿宋_GB2312"/>
          <w:sz w:val="30"/>
          <w:szCs w:val="30"/>
        </w:rPr>
        <w:t>一、贯彻执行国家关于交通行业的发展战略、方针政策和法律法规，拟定全县县乡公路和水路交通行业发展战略和政策规章并监督实施。</w:t>
      </w:r>
    </w:p>
    <w:p w14:paraId="7E243EDA">
      <w:pPr>
        <w:ind w:firstLineChars="200"/>
        <w:rPr>
          <w:rFonts w:ascii="仿宋_GB2312" w:hAnsi="Calibri" w:eastAsia="仿宋_GB2312"/>
          <w:sz w:val="30"/>
          <w:szCs w:val="30"/>
        </w:rPr>
      </w:pPr>
      <w:r>
        <w:rPr>
          <w:rFonts w:hint="eastAsia" w:ascii="仿宋_GB2312" w:hAnsi="Calibri" w:eastAsia="仿宋_GB2312"/>
          <w:sz w:val="30"/>
          <w:szCs w:val="30"/>
        </w:rPr>
        <w:t>二、编制全县公路和水路运输交通行业的发展规划、中长期计划并组织实施。</w:t>
      </w:r>
    </w:p>
    <w:p w14:paraId="76B29097">
      <w:pPr>
        <w:ind w:firstLineChars="200"/>
        <w:rPr>
          <w:rFonts w:ascii="仿宋_GB2312" w:hAnsi="Calibri" w:eastAsia="仿宋_GB2312"/>
          <w:sz w:val="30"/>
          <w:szCs w:val="30"/>
        </w:rPr>
      </w:pPr>
      <w:r>
        <w:rPr>
          <w:rFonts w:hint="eastAsia" w:ascii="仿宋_GB2312" w:hAnsi="Calibri" w:eastAsia="仿宋_GB2312"/>
          <w:sz w:val="30"/>
          <w:szCs w:val="30"/>
        </w:rPr>
        <w:t>三、负责全县城乡道路客运（出租车行业管理）和水路旅客运输、货物运输、</w:t>
      </w:r>
      <w:r>
        <w:rPr>
          <w:rFonts w:hint="eastAsia" w:ascii="仿宋_GB2312" w:hAnsi="Calibri" w:eastAsia="仿宋_GB2312"/>
          <w:sz w:val="30"/>
          <w:szCs w:val="30"/>
          <w:lang w:eastAsia="zh-CN"/>
        </w:rPr>
        <w:t>装载</w:t>
      </w:r>
      <w:r>
        <w:rPr>
          <w:rFonts w:hint="eastAsia" w:ascii="仿宋_GB2312" w:hAnsi="Calibri" w:eastAsia="仿宋_GB2312"/>
          <w:sz w:val="30"/>
          <w:szCs w:val="30"/>
        </w:rPr>
        <w:t>搬运、汽车维修市场、运输服务、汽车综合性能检测站、汽车</w:t>
      </w:r>
      <w:r>
        <w:rPr>
          <w:rFonts w:hint="eastAsia" w:ascii="仿宋_GB2312" w:hAnsi="Calibri" w:eastAsia="仿宋_GB2312"/>
          <w:sz w:val="30"/>
          <w:szCs w:val="30"/>
          <w:lang w:eastAsia="zh-CN"/>
        </w:rPr>
        <w:t>驾驶</w:t>
      </w:r>
      <w:r>
        <w:rPr>
          <w:rFonts w:hint="eastAsia" w:ascii="仿宋_GB2312" w:hAnsi="Calibri" w:eastAsia="仿宋_GB2312"/>
          <w:sz w:val="30"/>
          <w:szCs w:val="30"/>
        </w:rPr>
        <w:t>学校和驾驶员培训的行业管理，调控重点物资运输和紧急客货的运输，负责交通战备工作，对路政和运政进行管理，承担道路、水路运输市场监督责任。</w:t>
      </w:r>
    </w:p>
    <w:p w14:paraId="2E50EB39">
      <w:pPr>
        <w:ind w:firstLineChars="200"/>
        <w:rPr>
          <w:rFonts w:ascii="仿宋_GB2312" w:hAnsi="Calibri" w:eastAsia="仿宋_GB2312"/>
          <w:sz w:val="30"/>
          <w:szCs w:val="30"/>
        </w:rPr>
      </w:pPr>
      <w:r>
        <w:rPr>
          <w:rFonts w:hint="eastAsia" w:ascii="仿宋_GB2312" w:hAnsi="Calibri" w:eastAsia="仿宋_GB2312"/>
          <w:sz w:val="30"/>
          <w:szCs w:val="30"/>
        </w:rPr>
        <w:t>四、负责全县县乡公路和交通基础设施的建设、维护管理、组织交通基础设施建设资金的筹集使用和管理，对公路建设工程进行质量检查和监督。</w:t>
      </w:r>
    </w:p>
    <w:p w14:paraId="0BDF2D37">
      <w:pPr>
        <w:ind w:firstLineChars="200"/>
        <w:rPr>
          <w:rFonts w:ascii="仿宋_GB2312" w:hAnsi="仿宋_GB2312" w:eastAsia="仿宋_GB2312"/>
          <w:sz w:val="30"/>
          <w:szCs w:val="30"/>
        </w:rPr>
      </w:pPr>
      <w:r>
        <w:rPr>
          <w:rFonts w:hint="eastAsia" w:ascii="仿宋_GB2312" w:hAnsi="Calibri" w:eastAsia="仿宋_GB2312"/>
          <w:sz w:val="30"/>
          <w:szCs w:val="30"/>
        </w:rPr>
        <w:t>五、负责全县渡口设施建设、养护管理，渡运安全和监督，承担水上交通安全监督责任。</w:t>
      </w:r>
    </w:p>
    <w:p w14:paraId="551B25B4">
      <w:pPr>
        <w:spacing w:line="580" w:lineRule="exact"/>
        <w:ind w:firstLine="629"/>
        <w:jc w:val="left"/>
        <w:rPr>
          <w:rFonts w:ascii="黑体" w:hAnsi="黑体" w:eastAsia="黑体"/>
          <w:sz w:val="30"/>
          <w:szCs w:val="30"/>
        </w:rPr>
      </w:pPr>
      <w:r>
        <w:rPr>
          <w:rFonts w:hint="eastAsia" w:ascii="黑体" w:hAnsi="黑体" w:eastAsia="黑体" w:cs="黑体"/>
          <w:sz w:val="30"/>
          <w:szCs w:val="30"/>
        </w:rPr>
        <w:t>二、部门基本情况</w:t>
      </w:r>
    </w:p>
    <w:p w14:paraId="730FC795">
      <w:pPr>
        <w:spacing w:line="580" w:lineRule="exact"/>
        <w:ind w:firstLine="629"/>
        <w:jc w:val="left"/>
        <w:rPr>
          <w:rFonts w:ascii="仿宋_GB2312" w:hAnsi="仿宋_GB2312" w:eastAsia="仿宋_GB2312"/>
          <w:sz w:val="30"/>
          <w:szCs w:val="30"/>
        </w:rPr>
      </w:pPr>
      <w:r>
        <w:rPr>
          <w:rFonts w:hint="eastAsia" w:ascii="仿宋_GB2312" w:hAnsi="仿宋_GB2312" w:eastAsia="仿宋_GB2312" w:cs="仿宋_GB2312"/>
          <w:sz w:val="30"/>
          <w:szCs w:val="30"/>
        </w:rPr>
        <w:t>纳入本套部门决算汇编范围的单位共</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个，包括：</w:t>
      </w:r>
      <w:r>
        <w:rPr>
          <w:rFonts w:hint="eastAsia" w:ascii="仿宋_GB2312" w:hAnsi="仿宋_GB2312" w:eastAsia="仿宋_GB2312" w:cs="仿宋_GB2312"/>
          <w:sz w:val="30"/>
          <w:szCs w:val="30"/>
          <w:lang w:eastAsia="zh-CN"/>
        </w:rPr>
        <w:t>浮梁县交通运输局机关、浮梁县公路管理站、浮梁县公路运输管理所、浮梁县交通工程质量监督管理站、浮梁县航运渡口管理站</w:t>
      </w:r>
      <w:r>
        <w:rPr>
          <w:rFonts w:hint="eastAsia" w:ascii="仿宋_GB2312" w:hAnsi="仿宋_GB2312" w:eastAsia="仿宋_GB2312" w:cs="仿宋_GB2312"/>
          <w:sz w:val="30"/>
          <w:szCs w:val="30"/>
        </w:rPr>
        <w:t>。</w:t>
      </w:r>
    </w:p>
    <w:p w14:paraId="1D2FC05B">
      <w:pPr>
        <w:spacing w:line="580" w:lineRule="exact"/>
        <w:ind w:firstLine="629"/>
        <w:jc w:val="left"/>
        <w:rPr>
          <w:rFonts w:ascii="仿宋_GB2312" w:hAnsi="仿宋_GB2312" w:eastAsia="仿宋_GB2312"/>
          <w:sz w:val="30"/>
          <w:szCs w:val="30"/>
        </w:rPr>
      </w:pPr>
      <w:r>
        <w:rPr>
          <w:rFonts w:hint="eastAsia" w:ascii="仿宋_GB2312" w:hAnsi="仿宋_GB2312" w:eastAsia="仿宋_GB2312" w:cs="仿宋_GB2312"/>
          <w:sz w:val="30"/>
          <w:szCs w:val="30"/>
        </w:rPr>
        <w:t>本部门</w:t>
      </w:r>
      <w:r>
        <w:rPr>
          <w:rFonts w:ascii="仿宋_GB2312" w:hAnsi="仿宋_GB2312" w:eastAsia="仿宋_GB2312" w:cs="仿宋_GB2312"/>
          <w:sz w:val="30"/>
          <w:szCs w:val="30"/>
        </w:rPr>
        <w:t>201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年年末编制人数</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lang w:val="en-US" w:eastAsia="zh-CN"/>
        </w:rPr>
        <w:t>47</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rPr>
        <w:t>人，其中行政编制</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人，事业编制</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lang w:val="en-US" w:eastAsia="zh-CN"/>
        </w:rPr>
        <w:t>39</w:t>
      </w:r>
      <w:r>
        <w:rPr>
          <w:rFonts w:hint="eastAsia" w:ascii="仿宋_GB2312" w:hAnsi="仿宋_GB2312" w:eastAsia="仿宋_GB2312" w:cs="仿宋_GB2312"/>
          <w:sz w:val="30"/>
          <w:szCs w:val="30"/>
        </w:rPr>
        <w:t>人；年末实有人数</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lang w:val="en-US" w:eastAsia="zh-CN"/>
        </w:rPr>
        <w:t>85</w:t>
      </w:r>
      <w:r>
        <w:rPr>
          <w:rFonts w:hint="eastAsia" w:ascii="仿宋_GB2312" w:hAnsi="仿宋_GB2312" w:eastAsia="仿宋_GB2312" w:cs="仿宋_GB2312"/>
          <w:sz w:val="30"/>
          <w:szCs w:val="30"/>
        </w:rPr>
        <w:t>人，其中在职人员</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lang w:val="en-US" w:eastAsia="zh-CN"/>
        </w:rPr>
        <w:t>85</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rPr>
        <w:t>人，离休人员</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rPr>
        <w:t>人，退休人员</w:t>
      </w:r>
      <w:r>
        <w:rPr>
          <w:rFonts w:hint="eastAsia" w:ascii="仿宋_GB2312" w:hAnsi="仿宋_GB2312" w:eastAsia="仿宋_GB2312" w:cs="仿宋_GB2312"/>
          <w:sz w:val="30"/>
          <w:szCs w:val="30"/>
          <w:lang w:val="en-US" w:eastAsia="zh-CN"/>
        </w:rPr>
        <w:t>24</w:t>
      </w:r>
      <w:r>
        <w:rPr>
          <w:rFonts w:hint="eastAsia" w:ascii="仿宋_GB2312" w:hAnsi="仿宋_GB2312" w:eastAsia="仿宋_GB2312" w:cs="仿宋_GB2312"/>
          <w:sz w:val="30"/>
          <w:szCs w:val="30"/>
        </w:rPr>
        <w:t>人；年末学生人数</w:t>
      </w:r>
      <w:r>
        <w:rPr>
          <w:rFonts w:ascii="仿宋_GB2312" w:hAnsi="仿宋_GB2312" w:eastAsia="仿宋_GB2312" w:cs="仿宋_GB2312"/>
          <w:sz w:val="30"/>
          <w:szCs w:val="30"/>
        </w:rPr>
        <w:t xml:space="preserve"> </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人。</w:t>
      </w:r>
    </w:p>
    <w:p w14:paraId="692905EF">
      <w:pPr>
        <w:spacing w:line="240" w:lineRule="exact"/>
        <w:ind w:firstLine="629"/>
        <w:jc w:val="left"/>
        <w:rPr>
          <w:rFonts w:ascii="仿宋_GB2312" w:hAnsi="仿宋_GB2312" w:eastAsia="仿宋_GB2312"/>
          <w:sz w:val="30"/>
          <w:szCs w:val="30"/>
        </w:rPr>
      </w:pPr>
    </w:p>
    <w:p w14:paraId="44F2D68B">
      <w:pPr>
        <w:widowControl/>
        <w:spacing w:line="560" w:lineRule="exact"/>
        <w:ind w:firstLine="640"/>
        <w:jc w:val="center"/>
        <w:rPr>
          <w:rFonts w:ascii="黑体" w:hAnsi="黑体" w:eastAsia="黑体"/>
          <w:sz w:val="32"/>
          <w:szCs w:val="32"/>
        </w:rPr>
      </w:pPr>
      <w:r>
        <w:rPr>
          <w:rFonts w:hint="eastAsia" w:ascii="黑体" w:hAnsi="黑体" w:eastAsia="黑体" w:cs="黑体"/>
          <w:sz w:val="32"/>
          <w:szCs w:val="32"/>
        </w:rPr>
        <w:t>第二部分</w:t>
      </w:r>
      <w:r>
        <w:rPr>
          <w:rFonts w:ascii="黑体" w:hAnsi="黑体" w:eastAsia="黑体" w:cs="黑体"/>
          <w:sz w:val="32"/>
          <w:szCs w:val="32"/>
        </w:rPr>
        <w:t xml:space="preserve">  201</w:t>
      </w:r>
      <w:r>
        <w:rPr>
          <w:rFonts w:hint="eastAsia" w:ascii="黑体" w:hAnsi="黑体" w:eastAsia="黑体" w:cs="黑体"/>
          <w:sz w:val="32"/>
          <w:szCs w:val="32"/>
          <w:lang w:val="en-US" w:eastAsia="zh-CN"/>
        </w:rPr>
        <w:t>9</w:t>
      </w:r>
      <w:r>
        <w:rPr>
          <w:rFonts w:hint="eastAsia" w:ascii="黑体" w:hAnsi="黑体" w:eastAsia="黑体" w:cs="黑体"/>
          <w:sz w:val="32"/>
          <w:szCs w:val="32"/>
        </w:rPr>
        <w:t>年度部门决算表</w:t>
      </w:r>
    </w:p>
    <w:p w14:paraId="2093DF19">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6487795" cy="6015355"/>
            <wp:effectExtent l="0" t="0" r="8255" b="444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6487795" cy="6015355"/>
                    </a:xfrm>
                    <a:prstGeom prst="rect">
                      <a:avLst/>
                    </a:prstGeom>
                    <a:noFill/>
                    <a:ln w="9525">
                      <a:noFill/>
                    </a:ln>
                  </pic:spPr>
                </pic:pic>
              </a:graphicData>
            </a:graphic>
          </wp:inline>
        </w:drawing>
      </w:r>
    </w:p>
    <w:p w14:paraId="771E6613">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336030" cy="3350260"/>
            <wp:effectExtent l="0" t="0" r="7620" b="254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6336030" cy="3350260"/>
                    </a:xfrm>
                    <a:prstGeom prst="rect">
                      <a:avLst/>
                    </a:prstGeom>
                    <a:noFill/>
                    <a:ln w="9525">
                      <a:noFill/>
                    </a:ln>
                  </pic:spPr>
                </pic:pic>
              </a:graphicData>
            </a:graphic>
          </wp:inline>
        </w:drawing>
      </w:r>
    </w:p>
    <w:p w14:paraId="7A78AE71">
      <w:pPr>
        <w:keepNext w:val="0"/>
        <w:keepLines w:val="0"/>
        <w:widowControl/>
        <w:suppressLineNumbers w:val="0"/>
        <w:jc w:val="left"/>
        <w:rPr>
          <w:rFonts w:ascii="宋体" w:hAnsi="宋体" w:eastAsia="宋体" w:cs="宋体"/>
          <w:kern w:val="0"/>
          <w:sz w:val="24"/>
          <w:szCs w:val="24"/>
          <w:lang w:val="en-US" w:eastAsia="zh-CN" w:bidi="ar"/>
        </w:rPr>
      </w:pPr>
    </w:p>
    <w:p w14:paraId="65A8A3E2">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553200" cy="4486275"/>
            <wp:effectExtent l="0" t="0" r="0" b="952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7"/>
                    <a:stretch>
                      <a:fillRect/>
                    </a:stretch>
                  </pic:blipFill>
                  <pic:spPr>
                    <a:xfrm>
                      <a:off x="0" y="0"/>
                      <a:ext cx="6553200" cy="4486275"/>
                    </a:xfrm>
                    <a:prstGeom prst="rect">
                      <a:avLst/>
                    </a:prstGeom>
                    <a:noFill/>
                    <a:ln w="9525">
                      <a:noFill/>
                    </a:ln>
                  </pic:spPr>
                </pic:pic>
              </a:graphicData>
            </a:graphic>
          </wp:inline>
        </w:drawing>
      </w:r>
    </w:p>
    <w:p w14:paraId="7366C0D8">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163310" cy="5669915"/>
            <wp:effectExtent l="0" t="0" r="8890" b="6985"/>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8"/>
                    <a:stretch>
                      <a:fillRect/>
                    </a:stretch>
                  </pic:blipFill>
                  <pic:spPr>
                    <a:xfrm>
                      <a:off x="0" y="0"/>
                      <a:ext cx="6163310" cy="5669915"/>
                    </a:xfrm>
                    <a:prstGeom prst="rect">
                      <a:avLst/>
                    </a:prstGeom>
                    <a:noFill/>
                    <a:ln w="9525">
                      <a:noFill/>
                    </a:ln>
                  </pic:spPr>
                </pic:pic>
              </a:graphicData>
            </a:graphic>
          </wp:inline>
        </w:drawing>
      </w:r>
    </w:p>
    <w:p w14:paraId="6BCF891C">
      <w:pPr>
        <w:keepNext w:val="0"/>
        <w:keepLines w:val="0"/>
        <w:widowControl/>
        <w:suppressLineNumbers w:val="0"/>
        <w:jc w:val="left"/>
        <w:rPr>
          <w:rFonts w:hint="eastAsia" w:ascii="仿宋_GB2312" w:hAnsi="仿宋_GB2312" w:eastAsia="仿宋_GB2312" w:cs="仿宋_GB2312"/>
          <w:sz w:val="30"/>
          <w:szCs w:val="30"/>
          <w:lang w:eastAsia="zh-CN"/>
        </w:rPr>
      </w:pPr>
      <w:r>
        <w:rPr>
          <w:rFonts w:ascii="宋体" w:hAnsi="宋体" w:eastAsia="宋体" w:cs="宋体"/>
          <w:kern w:val="0"/>
          <w:sz w:val="24"/>
          <w:szCs w:val="24"/>
          <w:lang w:val="en-US" w:eastAsia="zh-CN" w:bidi="ar"/>
        </w:rPr>
        <w:drawing>
          <wp:inline distT="0" distB="0" distL="114300" distR="114300">
            <wp:extent cx="6482080" cy="3820160"/>
            <wp:effectExtent l="0" t="0" r="13970" b="8890"/>
            <wp:docPr id="5"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IMG_256"/>
                    <pic:cNvPicPr>
                      <a:picLocks noChangeAspect="1"/>
                    </pic:cNvPicPr>
                  </pic:nvPicPr>
                  <pic:blipFill>
                    <a:blip r:embed="rId9"/>
                    <a:stretch>
                      <a:fillRect/>
                    </a:stretch>
                  </pic:blipFill>
                  <pic:spPr>
                    <a:xfrm>
                      <a:off x="0" y="0"/>
                      <a:ext cx="6482080" cy="3820160"/>
                    </a:xfrm>
                    <a:prstGeom prst="rect">
                      <a:avLst/>
                    </a:prstGeom>
                    <a:noFill/>
                    <a:ln w="9525">
                      <a:noFill/>
                    </a:ln>
                  </pic:spPr>
                </pic:pic>
              </a:graphicData>
            </a:graphic>
          </wp:inline>
        </w:drawing>
      </w:r>
    </w:p>
    <w:p w14:paraId="358ADAF6">
      <w:pPr>
        <w:widowControl/>
        <w:spacing w:line="240" w:lineRule="auto"/>
        <w:ind w:firstLine="640"/>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drawing>
          <wp:inline distT="0" distB="0" distL="114300" distR="114300">
            <wp:extent cx="5248275" cy="7572375"/>
            <wp:effectExtent l="0" t="0" r="9525" b="9525"/>
            <wp:docPr id="13" name="图片 1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1"/>
                    <pic:cNvPicPr>
                      <a:picLocks noChangeAspect="1"/>
                    </pic:cNvPicPr>
                  </pic:nvPicPr>
                  <pic:blipFill>
                    <a:blip r:embed="rId10"/>
                    <a:stretch>
                      <a:fillRect/>
                    </a:stretch>
                  </pic:blipFill>
                  <pic:spPr>
                    <a:xfrm>
                      <a:off x="0" y="0"/>
                      <a:ext cx="5248275" cy="7572375"/>
                    </a:xfrm>
                    <a:prstGeom prst="rect">
                      <a:avLst/>
                    </a:prstGeom>
                  </pic:spPr>
                </pic:pic>
              </a:graphicData>
            </a:graphic>
          </wp:inline>
        </w:drawing>
      </w:r>
    </w:p>
    <w:p w14:paraId="7D246E84">
      <w:pPr>
        <w:widowControl/>
        <w:spacing w:line="240" w:lineRule="auto"/>
        <w:ind w:firstLine="640"/>
        <w:jc w:val="center"/>
        <w:rPr>
          <w:rFonts w:hint="eastAsia" w:ascii="黑体" w:hAnsi="黑体" w:eastAsia="黑体" w:cs="黑体"/>
          <w:sz w:val="32"/>
          <w:szCs w:val="32"/>
          <w:lang w:eastAsia="zh-CN"/>
        </w:rPr>
      </w:pPr>
    </w:p>
    <w:p w14:paraId="770CC52C">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943600" cy="5534025"/>
            <wp:effectExtent l="0" t="0" r="0" b="9525"/>
            <wp:docPr id="14"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descr="IMG_256"/>
                    <pic:cNvPicPr>
                      <a:picLocks noChangeAspect="1"/>
                    </pic:cNvPicPr>
                  </pic:nvPicPr>
                  <pic:blipFill>
                    <a:blip r:embed="rId11"/>
                    <a:stretch>
                      <a:fillRect/>
                    </a:stretch>
                  </pic:blipFill>
                  <pic:spPr>
                    <a:xfrm>
                      <a:off x="0" y="0"/>
                      <a:ext cx="5943600" cy="5534025"/>
                    </a:xfrm>
                    <a:prstGeom prst="rect">
                      <a:avLst/>
                    </a:prstGeom>
                    <a:noFill/>
                    <a:ln w="9525">
                      <a:noFill/>
                    </a:ln>
                  </pic:spPr>
                </pic:pic>
              </a:graphicData>
            </a:graphic>
          </wp:inline>
        </w:drawing>
      </w:r>
    </w:p>
    <w:p w14:paraId="1DCCDDC5">
      <w:pPr>
        <w:widowControl/>
        <w:spacing w:line="240" w:lineRule="auto"/>
        <w:ind w:firstLine="640"/>
        <w:jc w:val="center"/>
        <w:rPr>
          <w:rFonts w:hint="eastAsia" w:ascii="黑体" w:hAnsi="黑体" w:eastAsia="黑体" w:cs="黑体"/>
          <w:sz w:val="32"/>
          <w:szCs w:val="32"/>
          <w:lang w:eastAsia="zh-CN"/>
        </w:rPr>
      </w:pPr>
    </w:p>
    <w:p w14:paraId="457DF51E">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011545" cy="2769235"/>
            <wp:effectExtent l="0" t="0" r="8255" b="12065"/>
            <wp:docPr id="15"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descr="IMG_256"/>
                    <pic:cNvPicPr>
                      <a:picLocks noChangeAspect="1"/>
                    </pic:cNvPicPr>
                  </pic:nvPicPr>
                  <pic:blipFill>
                    <a:blip r:embed="rId12"/>
                    <a:stretch>
                      <a:fillRect/>
                    </a:stretch>
                  </pic:blipFill>
                  <pic:spPr>
                    <a:xfrm>
                      <a:off x="0" y="0"/>
                      <a:ext cx="6011545" cy="2769235"/>
                    </a:xfrm>
                    <a:prstGeom prst="rect">
                      <a:avLst/>
                    </a:prstGeom>
                    <a:noFill/>
                    <a:ln w="9525">
                      <a:noFill/>
                    </a:ln>
                  </pic:spPr>
                </pic:pic>
              </a:graphicData>
            </a:graphic>
          </wp:inline>
        </w:drawing>
      </w:r>
    </w:p>
    <w:p w14:paraId="4DB4BEF2">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067935" cy="3200400"/>
            <wp:effectExtent l="0" t="0" r="18415" b="0"/>
            <wp:docPr id="16"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descr="IMG_256"/>
                    <pic:cNvPicPr>
                      <a:picLocks noChangeAspect="1"/>
                    </pic:cNvPicPr>
                  </pic:nvPicPr>
                  <pic:blipFill>
                    <a:blip r:embed="rId13"/>
                    <a:stretch>
                      <a:fillRect/>
                    </a:stretch>
                  </pic:blipFill>
                  <pic:spPr>
                    <a:xfrm>
                      <a:off x="0" y="0"/>
                      <a:ext cx="5067935" cy="3200400"/>
                    </a:xfrm>
                    <a:prstGeom prst="rect">
                      <a:avLst/>
                    </a:prstGeom>
                    <a:noFill/>
                    <a:ln w="9525">
                      <a:noFill/>
                    </a:ln>
                  </pic:spPr>
                </pic:pic>
              </a:graphicData>
            </a:graphic>
          </wp:inline>
        </w:drawing>
      </w:r>
    </w:p>
    <w:p w14:paraId="731A5EB0">
      <w:pPr>
        <w:widowControl/>
        <w:spacing w:line="240" w:lineRule="auto"/>
        <w:ind w:firstLine="640"/>
        <w:jc w:val="center"/>
        <w:rPr>
          <w:rFonts w:hint="eastAsia" w:ascii="黑体" w:hAnsi="黑体" w:eastAsia="黑体" w:cs="黑体"/>
          <w:sz w:val="32"/>
          <w:szCs w:val="32"/>
          <w:lang w:eastAsia="zh-CN"/>
        </w:rPr>
      </w:pPr>
    </w:p>
    <w:p w14:paraId="1C74CB3E">
      <w:pPr>
        <w:widowControl/>
        <w:spacing w:line="240" w:lineRule="auto"/>
        <w:ind w:firstLine="640"/>
        <w:jc w:val="center"/>
        <w:rPr>
          <w:rFonts w:hint="eastAsia" w:ascii="黑体" w:hAnsi="黑体" w:eastAsia="黑体" w:cs="黑体"/>
          <w:sz w:val="32"/>
          <w:szCs w:val="32"/>
          <w:lang w:eastAsia="zh-CN"/>
        </w:rPr>
      </w:pPr>
    </w:p>
    <w:p w14:paraId="62D8C0F8">
      <w:pPr>
        <w:widowControl/>
        <w:spacing w:line="240" w:lineRule="auto"/>
        <w:ind w:firstLine="640"/>
        <w:jc w:val="center"/>
        <w:rPr>
          <w:rFonts w:hint="eastAsia" w:ascii="黑体" w:hAnsi="黑体" w:eastAsia="黑体" w:cs="黑体"/>
          <w:sz w:val="32"/>
          <w:szCs w:val="32"/>
          <w:lang w:eastAsia="zh-CN"/>
        </w:rPr>
      </w:pPr>
    </w:p>
    <w:p w14:paraId="75D3B18F">
      <w:pPr>
        <w:widowControl/>
        <w:spacing w:line="560" w:lineRule="exact"/>
        <w:ind w:firstLine="640"/>
        <w:jc w:val="center"/>
        <w:rPr>
          <w:rFonts w:ascii="黑体" w:hAnsi="黑体" w:eastAsia="黑体"/>
          <w:sz w:val="32"/>
          <w:szCs w:val="32"/>
        </w:rPr>
      </w:pPr>
      <w:r>
        <w:rPr>
          <w:rFonts w:hint="eastAsia" w:ascii="黑体" w:hAnsi="黑体" w:eastAsia="黑体" w:cs="黑体"/>
          <w:sz w:val="32"/>
          <w:szCs w:val="32"/>
        </w:rPr>
        <w:t>第三部分</w:t>
      </w:r>
      <w:r>
        <w:rPr>
          <w:rFonts w:ascii="黑体" w:hAnsi="黑体" w:eastAsia="黑体" w:cs="黑体"/>
          <w:sz w:val="32"/>
          <w:szCs w:val="32"/>
        </w:rPr>
        <w:t xml:space="preserve">  201</w:t>
      </w:r>
      <w:r>
        <w:rPr>
          <w:rFonts w:hint="eastAsia" w:ascii="黑体" w:hAnsi="黑体" w:eastAsia="黑体" w:cs="黑体"/>
          <w:sz w:val="32"/>
          <w:szCs w:val="32"/>
          <w:lang w:val="en-US" w:eastAsia="zh-CN"/>
        </w:rPr>
        <w:t>9</w:t>
      </w:r>
      <w:r>
        <w:rPr>
          <w:rFonts w:hint="eastAsia" w:ascii="黑体" w:hAnsi="黑体" w:eastAsia="黑体" w:cs="黑体"/>
          <w:sz w:val="32"/>
          <w:szCs w:val="32"/>
        </w:rPr>
        <w:t>年度部门决算情况说明</w:t>
      </w:r>
    </w:p>
    <w:p w14:paraId="4E6B49C5">
      <w:pPr>
        <w:widowControl/>
        <w:spacing w:line="240" w:lineRule="exact"/>
        <w:jc w:val="center"/>
        <w:rPr>
          <w:rFonts w:ascii="黑体" w:hAnsi="黑体" w:eastAsia="黑体"/>
          <w:b/>
          <w:bCs/>
          <w:sz w:val="32"/>
          <w:szCs w:val="32"/>
        </w:rPr>
      </w:pPr>
    </w:p>
    <w:p w14:paraId="3C1FAB99">
      <w:pPr>
        <w:widowControl/>
        <w:spacing w:line="600" w:lineRule="exact"/>
        <w:ind w:firstLine="640" w:firstLineChars="200"/>
        <w:rPr>
          <w:rFonts w:ascii="黑体" w:hAnsi="黑体" w:eastAsia="黑体"/>
          <w:sz w:val="32"/>
          <w:szCs w:val="32"/>
        </w:rPr>
      </w:pPr>
      <w:r>
        <w:rPr>
          <w:rFonts w:hint="eastAsia" w:ascii="黑体" w:hAnsi="黑体" w:eastAsia="黑体" w:cs="黑体"/>
          <w:sz w:val="32"/>
          <w:szCs w:val="32"/>
        </w:rPr>
        <w:t>一、收入决算情况说明</w:t>
      </w:r>
    </w:p>
    <w:p w14:paraId="53897361">
      <w:pPr>
        <w:pStyle w:val="7"/>
        <w:spacing w:line="560" w:lineRule="exact"/>
        <w:ind w:firstLine="601"/>
        <w:rPr>
          <w:rFonts w:ascii="仿宋_GB2312" w:hAnsi="仿宋_GB2312" w:eastAsia="仿宋_GB2312"/>
          <w:sz w:val="32"/>
          <w:szCs w:val="32"/>
        </w:rPr>
      </w:pPr>
      <w:r>
        <w:rPr>
          <w:rFonts w:hint="eastAsia" w:ascii="仿宋_GB2312" w:hAnsi="仿宋_GB2312" w:eastAsia="仿宋_GB2312" w:cs="仿宋_GB2312"/>
          <w:sz w:val="32"/>
          <w:szCs w:val="32"/>
        </w:rPr>
        <w:t>本部门</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年度收入总计</w:t>
      </w:r>
      <w:r>
        <w:rPr>
          <w:rFonts w:hint="eastAsia" w:ascii="仿宋_GB2312" w:hAnsi="仿宋_GB2312" w:eastAsia="仿宋_GB2312" w:cs="仿宋_GB2312"/>
          <w:sz w:val="32"/>
          <w:szCs w:val="32"/>
          <w:lang w:val="en-US" w:eastAsia="zh-CN"/>
        </w:rPr>
        <w:t>18431.19</w:t>
      </w:r>
      <w:r>
        <w:rPr>
          <w:rFonts w:hint="eastAsia" w:ascii="仿宋_GB2312" w:hAnsi="仿宋_GB2312" w:eastAsia="仿宋_GB2312" w:cs="仿宋_GB2312"/>
          <w:sz w:val="32"/>
          <w:szCs w:val="32"/>
        </w:rPr>
        <w:t>万元，其中年初结转和结余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万元，较</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年增加</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sz w:val="32"/>
          <w:szCs w:val="32"/>
        </w:rPr>
        <w:t>增长</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；本年收入合计</w:t>
      </w:r>
      <w:r>
        <w:rPr>
          <w:rFonts w:hint="eastAsia" w:ascii="仿宋_GB2312" w:hAnsi="仿宋_GB2312" w:eastAsia="仿宋_GB2312" w:cs="仿宋_GB2312"/>
          <w:sz w:val="32"/>
          <w:szCs w:val="32"/>
          <w:lang w:val="en-US" w:eastAsia="zh-CN"/>
        </w:rPr>
        <w:t>18431.19</w:t>
      </w:r>
      <w:r>
        <w:rPr>
          <w:rFonts w:hint="eastAsia" w:ascii="仿宋_GB2312" w:hAnsi="仿宋_GB2312" w:eastAsia="仿宋_GB2312" w:cs="仿宋_GB2312"/>
          <w:sz w:val="32"/>
          <w:szCs w:val="32"/>
        </w:rPr>
        <w:t>万元，较</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年增加</w:t>
      </w:r>
      <w:r>
        <w:rPr>
          <w:rFonts w:hint="eastAsia" w:ascii="仿宋_GB2312" w:hAnsi="仿宋_GB2312" w:eastAsia="仿宋_GB2312" w:cs="仿宋_GB2312"/>
          <w:sz w:val="32"/>
          <w:szCs w:val="32"/>
          <w:lang w:val="en-US" w:eastAsia="zh-CN"/>
        </w:rPr>
        <w:t>16622.93</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919.28</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新政府会计制度实施，所有涉及交通建设的资金都拨付给我局本级部门，由交通局本级拨付给相关交通建设管理部门及各乡镇部门</w:t>
      </w:r>
      <w:r>
        <w:rPr>
          <w:rFonts w:hint="eastAsia" w:ascii="仿宋_GB2312" w:hAnsi="仿宋_GB2312" w:eastAsia="仿宋_GB2312" w:cs="仿宋_GB2312"/>
          <w:sz w:val="32"/>
          <w:szCs w:val="32"/>
        </w:rPr>
        <w:t>。</w:t>
      </w:r>
    </w:p>
    <w:p w14:paraId="6E0B9C00">
      <w:pPr>
        <w:pStyle w:val="7"/>
        <w:spacing w:line="560" w:lineRule="exact"/>
        <w:ind w:firstLine="601"/>
        <w:rPr>
          <w:rFonts w:ascii="仿宋_GB2312" w:hAnsi="仿宋_GB2312" w:eastAsia="仿宋_GB2312" w:cs="仿宋_GB2312"/>
          <w:sz w:val="32"/>
          <w:szCs w:val="32"/>
        </w:rPr>
      </w:pPr>
      <w:r>
        <w:rPr>
          <w:rFonts w:hint="eastAsia" w:ascii="仿宋_GB2312" w:hAnsi="仿宋_GB2312" w:eastAsia="仿宋_GB2312" w:cs="仿宋_GB2312"/>
          <w:sz w:val="32"/>
          <w:szCs w:val="32"/>
        </w:rPr>
        <w:t>本年收入的具体构成为：财政拨款收入</w:t>
      </w:r>
      <w:r>
        <w:rPr>
          <w:rFonts w:hint="eastAsia" w:ascii="仿宋_GB2312" w:hAnsi="仿宋_GB2312" w:eastAsia="仿宋_GB2312" w:cs="仿宋_GB2312"/>
          <w:sz w:val="32"/>
          <w:szCs w:val="32"/>
          <w:lang w:val="en-US" w:eastAsia="zh-CN"/>
        </w:rPr>
        <w:t>3652.56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eastAsia="zh-CN"/>
        </w:rPr>
        <w:t>总收入的</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19.82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政府性基金拨款收入为</w:t>
      </w:r>
      <w:r>
        <w:rPr>
          <w:rFonts w:hint="eastAsia" w:ascii="仿宋_GB2312" w:hAnsi="仿宋_GB2312" w:eastAsia="仿宋_GB2312" w:cs="仿宋_GB2312"/>
          <w:sz w:val="32"/>
          <w:szCs w:val="32"/>
          <w:lang w:val="en-US" w:eastAsia="zh-CN"/>
        </w:rPr>
        <w:t>8101.18万元，占总收入43.95%。</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eastAsia="zh-CN"/>
        </w:rPr>
        <w:t>总收入的</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6677.45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eastAsia="zh-CN"/>
        </w:rPr>
        <w:t>总收入的</w:t>
      </w:r>
      <w:r>
        <w:rPr>
          <w:rFonts w:hint="eastAsia" w:ascii="仿宋_GB2312" w:hAnsi="仿宋_GB2312" w:eastAsia="仿宋_GB2312" w:cs="仿宋_GB2312"/>
          <w:sz w:val="32"/>
          <w:szCs w:val="32"/>
          <w:lang w:val="en-US" w:eastAsia="zh-CN"/>
        </w:rPr>
        <w:t>36.23</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 xml:space="preserve">  </w:t>
      </w:r>
    </w:p>
    <w:p w14:paraId="6AABF43F">
      <w:pPr>
        <w:ind w:firstLine="630"/>
        <w:jc w:val="left"/>
        <w:rPr>
          <w:rFonts w:ascii="黑体" w:hAnsi="黑体" w:eastAsia="黑体"/>
          <w:sz w:val="32"/>
          <w:szCs w:val="32"/>
        </w:rPr>
      </w:pPr>
      <w:r>
        <w:rPr>
          <w:rFonts w:hint="eastAsia" w:ascii="黑体" w:hAnsi="黑体" w:eastAsia="黑体" w:cs="黑体"/>
          <w:sz w:val="32"/>
          <w:szCs w:val="32"/>
        </w:rPr>
        <w:t>二、支出决算情况说明</w:t>
      </w:r>
    </w:p>
    <w:p w14:paraId="0809CBF6">
      <w:pPr>
        <w:pStyle w:val="7"/>
        <w:spacing w:line="560" w:lineRule="exact"/>
        <w:ind w:firstLine="601"/>
        <w:rPr>
          <w:rFonts w:hint="eastAsia" w:ascii="仿宋_GB2312" w:hAnsi="仿宋_GB2312" w:eastAsia="仿宋_GB2312"/>
          <w:sz w:val="32"/>
          <w:szCs w:val="32"/>
          <w:lang w:eastAsia="zh-CN"/>
        </w:rPr>
      </w:pPr>
      <w:r>
        <w:rPr>
          <w:rFonts w:hint="eastAsia" w:ascii="仿宋_GB2312" w:hAnsi="仿宋_GB2312" w:eastAsia="仿宋_GB2312" w:cs="仿宋_GB2312"/>
          <w:sz w:val="32"/>
          <w:szCs w:val="32"/>
        </w:rPr>
        <w:t>本部门</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年度支出总计</w:t>
      </w:r>
      <w:r>
        <w:rPr>
          <w:rFonts w:hint="eastAsia" w:ascii="仿宋_GB2312" w:hAnsi="仿宋_GB2312" w:eastAsia="仿宋_GB2312" w:cs="仿宋_GB2312"/>
          <w:sz w:val="32"/>
          <w:szCs w:val="32"/>
          <w:lang w:val="en-US" w:eastAsia="zh-CN"/>
        </w:rPr>
        <w:t>18431.19</w:t>
      </w:r>
      <w:r>
        <w:rPr>
          <w:rFonts w:hint="eastAsia" w:ascii="仿宋_GB2312" w:hAnsi="仿宋_GB2312" w:eastAsia="仿宋_GB2312" w:cs="仿宋_GB2312"/>
          <w:sz w:val="32"/>
          <w:szCs w:val="32"/>
        </w:rPr>
        <w:t>万元，其中</w:t>
      </w:r>
      <w:r>
        <w:rPr>
          <w:rFonts w:hint="eastAsia" w:ascii="仿宋_GB2312" w:hAnsi="仿宋_GB2312" w:eastAsia="仿宋_GB2312" w:cs="仿宋_GB2312"/>
          <w:sz w:val="32"/>
          <w:szCs w:val="32"/>
          <w:lang w:eastAsia="zh-CN"/>
        </w:rPr>
        <w:t>年初结转和结余</w:t>
      </w:r>
      <w:r>
        <w:rPr>
          <w:rFonts w:hint="eastAsia" w:ascii="仿宋_GB2312" w:hAnsi="仿宋_GB2312" w:eastAsia="仿宋_GB2312" w:cs="仿宋_GB2312"/>
          <w:sz w:val="32"/>
          <w:szCs w:val="32"/>
          <w:lang w:val="en-US" w:eastAsia="zh-CN"/>
        </w:rPr>
        <w:t>0万元，较2018年增加（减少）0万元，增长（下降）0%；本年收入合计18431.19</w:t>
      </w:r>
      <w:r>
        <w:rPr>
          <w:rFonts w:hint="eastAsia" w:ascii="仿宋_GB2312" w:hAnsi="仿宋_GB2312" w:eastAsia="仿宋_GB2312" w:cs="仿宋_GB2312"/>
          <w:sz w:val="32"/>
          <w:szCs w:val="32"/>
        </w:rPr>
        <w:t>万元，较</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年增加</w:t>
      </w:r>
      <w:r>
        <w:rPr>
          <w:rFonts w:hint="eastAsia" w:ascii="仿宋_GB2312" w:hAnsi="仿宋_GB2312" w:eastAsia="仿宋_GB2312" w:cs="仿宋_GB2312"/>
          <w:sz w:val="32"/>
          <w:szCs w:val="32"/>
          <w:lang w:val="en-US" w:eastAsia="zh-CN"/>
        </w:rPr>
        <w:t>16622.93</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919.28</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val="en-US" w:eastAsia="zh-CN"/>
        </w:rPr>
        <w:t>2019年度政府会计制度开始实施，涉及交通建设的资金都拨付给了我局本级，再由我局本级拨付给各项目管理部门及全县相关乡、镇，因此本年度涉及的相关资金支出较多。</w:t>
      </w:r>
    </w:p>
    <w:p w14:paraId="261BDCD8">
      <w:pPr>
        <w:pStyle w:val="7"/>
        <w:spacing w:line="560" w:lineRule="exact"/>
        <w:ind w:firstLine="601"/>
        <w:rPr>
          <w:rFonts w:ascii="仿宋_GB2312" w:hAnsi="仿宋_GB2312" w:eastAsia="仿宋_GB2312"/>
          <w:b w:val="0"/>
          <w:bCs w:val="0"/>
          <w:sz w:val="32"/>
          <w:szCs w:val="32"/>
        </w:rPr>
      </w:pPr>
      <w:r>
        <w:rPr>
          <w:rFonts w:hint="eastAsia" w:ascii="仿宋_GB2312" w:hAnsi="仿宋_GB2312" w:eastAsia="仿宋_GB2312" w:cs="仿宋_GB2312"/>
          <w:sz w:val="32"/>
          <w:szCs w:val="32"/>
        </w:rPr>
        <w:t>本年支出的具体构成为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基本支出</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799.65</w:t>
      </w:r>
      <w:r>
        <w:rPr>
          <w:rFonts w:hint="eastAsia" w:ascii="仿宋_GB2312" w:hAnsi="仿宋_GB2312" w:eastAsia="仿宋_GB2312" w:cs="仿宋_GB2312"/>
          <w:sz w:val="32"/>
          <w:szCs w:val="32"/>
        </w:rPr>
        <w:t>万元，占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4.3</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17631.54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95.7</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；其他支出（对附属单位补助支出、上缴上级支出）</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万元，占</w:t>
      </w:r>
      <w:r>
        <w:rPr>
          <w:rFonts w:hint="eastAsia" w:ascii="仿宋_GB2312" w:hAnsi="仿宋_GB2312" w:eastAsia="仿宋_GB2312" w:cs="仿宋_GB2312"/>
          <w:b w:val="0"/>
          <w:bCs w:val="0"/>
          <w:sz w:val="32"/>
          <w:szCs w:val="32"/>
          <w:lang w:val="en-US" w:eastAsia="zh-CN"/>
        </w:rPr>
        <w:t>0</w:t>
      </w:r>
      <w:r>
        <w:rPr>
          <w:rFonts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rPr>
        <w:t>。</w:t>
      </w:r>
    </w:p>
    <w:p w14:paraId="1655D8E6">
      <w:pPr>
        <w:ind w:firstLine="630"/>
        <w:jc w:val="left"/>
        <w:rPr>
          <w:rFonts w:ascii="黑体" w:hAnsi="黑体" w:eastAsia="黑体"/>
          <w:sz w:val="32"/>
          <w:szCs w:val="32"/>
        </w:rPr>
      </w:pPr>
      <w:r>
        <w:rPr>
          <w:rFonts w:hint="eastAsia" w:ascii="黑体" w:hAnsi="黑体" w:eastAsia="黑体" w:cs="黑体"/>
          <w:sz w:val="32"/>
          <w:szCs w:val="32"/>
        </w:rPr>
        <w:t>三、财政拨款支出决算情况说明</w:t>
      </w:r>
    </w:p>
    <w:p w14:paraId="247D4A5F">
      <w:pPr>
        <w:pStyle w:val="7"/>
        <w:spacing w:line="560" w:lineRule="exact"/>
        <w:ind w:firstLine="601"/>
        <w:rPr>
          <w:rFonts w:ascii="仿宋_GB2312" w:hAnsi="仿宋_GB2312" w:eastAsia="仿宋_GB2312"/>
          <w:sz w:val="32"/>
          <w:szCs w:val="32"/>
        </w:rPr>
      </w:pPr>
      <w:r>
        <w:rPr>
          <w:rFonts w:hint="eastAsia" w:ascii="仿宋_GB2312" w:hAnsi="仿宋_GB2312" w:eastAsia="仿宋_GB2312" w:cs="仿宋_GB2312"/>
          <w:sz w:val="32"/>
          <w:szCs w:val="32"/>
        </w:rPr>
        <w:t>本部门</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度财政拨款本年支出年初预算数为</w:t>
      </w:r>
      <w:r>
        <w:rPr>
          <w:rFonts w:hint="eastAsia" w:ascii="仿宋_GB2312" w:hAnsi="仿宋_GB2312" w:eastAsia="仿宋_GB2312" w:cs="仿宋_GB2312"/>
          <w:sz w:val="32"/>
          <w:szCs w:val="32"/>
          <w:lang w:val="en-US" w:eastAsia="zh-CN"/>
        </w:rPr>
        <w:t>563.23</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eastAsia="zh-CN"/>
        </w:rPr>
        <w:t>元</w:t>
      </w:r>
      <w:r>
        <w:rPr>
          <w:rFonts w:hint="eastAsia" w:ascii="仿宋_GB2312" w:hAnsi="仿宋_GB2312" w:eastAsia="仿宋_GB2312" w:cs="仿宋_GB2312"/>
          <w:sz w:val="32"/>
          <w:szCs w:val="32"/>
        </w:rPr>
        <w:t>，决算数为</w:t>
      </w:r>
      <w:r>
        <w:rPr>
          <w:rFonts w:hint="eastAsia" w:ascii="仿宋_GB2312" w:hAnsi="仿宋_GB2312" w:eastAsia="仿宋_GB2312" w:cs="仿宋_GB2312"/>
          <w:sz w:val="32"/>
          <w:szCs w:val="32"/>
          <w:lang w:val="en-US" w:eastAsia="zh-CN"/>
        </w:rPr>
        <w:t>11753.74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2086.8</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。其中：</w:t>
      </w:r>
    </w:p>
    <w:p w14:paraId="124AE426">
      <w:pPr>
        <w:pStyle w:val="7"/>
        <w:numPr>
          <w:ilvl w:val="0"/>
          <w:numId w:val="2"/>
        </w:numPr>
        <w:spacing w:line="560" w:lineRule="exact"/>
        <w:ind w:firstLine="60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一般公共</w:t>
      </w:r>
      <w:r>
        <w:rPr>
          <w:rFonts w:hint="eastAsia" w:ascii="仿宋_GB2312" w:hAnsi="仿宋_GB2312" w:eastAsia="仿宋_GB2312" w:cs="仿宋_GB2312"/>
          <w:sz w:val="32"/>
          <w:szCs w:val="32"/>
          <w:lang w:eastAsia="zh-CN"/>
        </w:rPr>
        <w:t>预算财政拨款</w:t>
      </w:r>
      <w:r>
        <w:rPr>
          <w:rFonts w:hint="eastAsia" w:ascii="仿宋_GB2312" w:hAnsi="仿宋_GB2312" w:eastAsia="仿宋_GB2312" w:cs="仿宋_GB2312"/>
          <w:sz w:val="32"/>
          <w:szCs w:val="32"/>
        </w:rPr>
        <w:t>支出年初预算数为</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万元，决算数为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万元，完成年初预算</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无</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p>
    <w:p w14:paraId="735273A1">
      <w:pPr>
        <w:pStyle w:val="7"/>
        <w:numPr>
          <w:ilvl w:val="0"/>
          <w:numId w:val="2"/>
        </w:numPr>
        <w:spacing w:line="560" w:lineRule="exact"/>
        <w:ind w:firstLine="601"/>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公共安全支出年初预算数为</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万元，决算数为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万元，完成年初预算的</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无</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eastAsia="zh-CN"/>
        </w:rPr>
        <w:t>。</w:t>
      </w:r>
    </w:p>
    <w:p w14:paraId="479A7964">
      <w:pPr>
        <w:ind w:firstLine="630"/>
        <w:jc w:val="left"/>
        <w:rPr>
          <w:rFonts w:hint="eastAsia" w:ascii="仿宋" w:hAnsi="仿宋" w:eastAsia="仿宋"/>
          <w:sz w:val="30"/>
          <w:szCs w:val="30"/>
          <w:lang w:val="en-US" w:eastAsia="zh-CN"/>
        </w:rPr>
      </w:pPr>
      <w:r>
        <w:rPr>
          <w:rFonts w:hint="eastAsia" w:ascii="仿宋_GB2312" w:hAnsi="仿宋_GB2312" w:eastAsia="仿宋_GB2312" w:cs="仿宋_GB2312"/>
          <w:sz w:val="32"/>
          <w:szCs w:val="32"/>
          <w:lang w:eastAsia="zh-CN"/>
        </w:rPr>
        <w:t>（三）</w:t>
      </w:r>
      <w:r>
        <w:rPr>
          <w:rFonts w:hint="eastAsia" w:ascii="仿宋" w:hAnsi="仿宋" w:eastAsia="仿宋"/>
          <w:sz w:val="30"/>
          <w:szCs w:val="30"/>
          <w:lang w:eastAsia="zh-CN"/>
        </w:rPr>
        <w:t>交通运输支出年初预算数为</w:t>
      </w:r>
      <w:r>
        <w:rPr>
          <w:rFonts w:hint="eastAsia" w:ascii="仿宋" w:hAnsi="仿宋" w:eastAsia="仿宋"/>
          <w:sz w:val="30"/>
          <w:szCs w:val="30"/>
          <w:lang w:val="en-US" w:eastAsia="zh-CN"/>
        </w:rPr>
        <w:t>563.23万元，决算数为3638.04万元，完成年初预算的645.9%。</w:t>
      </w:r>
    </w:p>
    <w:p w14:paraId="016573C1">
      <w:pPr>
        <w:ind w:firstLine="630"/>
        <w:jc w:val="left"/>
        <w:rPr>
          <w:rFonts w:hint="eastAsia" w:ascii="仿宋" w:hAnsi="仿宋" w:eastAsia="仿宋"/>
          <w:sz w:val="30"/>
          <w:szCs w:val="30"/>
          <w:lang w:val="en-US" w:eastAsia="zh-CN"/>
        </w:rPr>
      </w:pPr>
      <w:r>
        <w:rPr>
          <w:rFonts w:hint="eastAsia" w:ascii="仿宋" w:hAnsi="仿宋" w:eastAsia="仿宋"/>
          <w:sz w:val="30"/>
          <w:szCs w:val="30"/>
          <w:lang w:val="en-US" w:eastAsia="zh-CN"/>
        </w:rPr>
        <w:t>（四）农林水事务支出年初预算数为0万元，决算数为14.52万元，用于乡镇渡工燃油补助及渡工工资。</w:t>
      </w:r>
    </w:p>
    <w:p w14:paraId="3FF46FC7">
      <w:pPr>
        <w:ind w:firstLine="630"/>
        <w:jc w:val="left"/>
        <w:rPr>
          <w:rFonts w:ascii="仿宋_GB2312" w:hAnsi="仿宋_GB2312" w:eastAsia="仿宋_GB2312"/>
          <w:sz w:val="32"/>
          <w:szCs w:val="32"/>
        </w:rPr>
      </w:pPr>
      <w:r>
        <w:rPr>
          <w:rFonts w:hint="eastAsia" w:ascii="仿宋" w:hAnsi="仿宋" w:eastAsia="仿宋"/>
          <w:sz w:val="30"/>
          <w:szCs w:val="30"/>
          <w:lang w:val="en-US" w:eastAsia="zh-CN"/>
        </w:rPr>
        <w:t>（五）城乡社区支出年初预算数为0万元，决算数为8101.18万元，用于交通基础设施建设资金及拨付给各乡镇的交通基础设施建设、维修资金。</w:t>
      </w:r>
    </w:p>
    <w:p w14:paraId="7B02FE40">
      <w:pPr>
        <w:ind w:firstLine="630"/>
        <w:jc w:val="left"/>
        <w:rPr>
          <w:rFonts w:ascii="黑体" w:hAnsi="黑体" w:eastAsia="黑体"/>
          <w:sz w:val="32"/>
          <w:szCs w:val="32"/>
        </w:rPr>
      </w:pPr>
      <w:r>
        <w:rPr>
          <w:rFonts w:hint="eastAsia" w:ascii="黑体" w:hAnsi="黑体" w:eastAsia="黑体" w:cs="黑体"/>
          <w:sz w:val="32"/>
          <w:szCs w:val="32"/>
        </w:rPr>
        <w:t>四、一般公共预算财政拨款基本支出决算情况说明</w:t>
      </w:r>
    </w:p>
    <w:p w14:paraId="5D90AEBB">
      <w:pPr>
        <w:pStyle w:val="7"/>
        <w:spacing w:line="560" w:lineRule="exact"/>
        <w:ind w:firstLine="601"/>
        <w:rPr>
          <w:rFonts w:ascii="仿宋_GB2312" w:hAnsi="仿宋_GB2312" w:eastAsia="仿宋_GB2312"/>
          <w:sz w:val="32"/>
          <w:szCs w:val="32"/>
        </w:rPr>
      </w:pPr>
      <w:r>
        <w:rPr>
          <w:rFonts w:hint="eastAsia" w:ascii="仿宋_GB2312" w:hAnsi="仿宋_GB2312" w:eastAsia="仿宋_GB2312" w:cs="仿宋_GB2312"/>
          <w:sz w:val="32"/>
          <w:szCs w:val="32"/>
        </w:rPr>
        <w:t>本部门</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年度一般公共预算财政拨款基本支出</w:t>
      </w:r>
      <w:r>
        <w:rPr>
          <w:rFonts w:hint="eastAsia" w:ascii="仿宋_GB2312" w:hAnsi="仿宋_GB2312" w:eastAsia="仿宋_GB2312" w:cs="仿宋_GB2312"/>
          <w:sz w:val="32"/>
          <w:szCs w:val="32"/>
          <w:lang w:val="en-US" w:eastAsia="zh-CN"/>
        </w:rPr>
        <w:t>799.65</w:t>
      </w:r>
      <w:r>
        <w:rPr>
          <w:rFonts w:hint="eastAsia" w:ascii="仿宋_GB2312" w:hAnsi="仿宋_GB2312" w:eastAsia="仿宋_GB2312" w:cs="仿宋_GB2312"/>
          <w:sz w:val="32"/>
          <w:szCs w:val="32"/>
        </w:rPr>
        <w:t>万元，其中：</w:t>
      </w:r>
    </w:p>
    <w:p w14:paraId="53966AE3">
      <w:pPr>
        <w:pStyle w:val="7"/>
        <w:numPr>
          <w:ilvl w:val="0"/>
          <w:numId w:val="3"/>
        </w:numPr>
        <w:spacing w:line="560" w:lineRule="exact"/>
        <w:ind w:firstLine="601"/>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工资福利支出</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590.75</w:t>
      </w:r>
      <w:r>
        <w:rPr>
          <w:rFonts w:hint="eastAsia" w:ascii="仿宋_GB2312" w:hAnsi="仿宋_GB2312" w:eastAsia="仿宋_GB2312" w:cs="仿宋_GB2312"/>
          <w:sz w:val="32"/>
          <w:szCs w:val="32"/>
        </w:rPr>
        <w:t>万元，较</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年增加</w:t>
      </w:r>
      <w:r>
        <w:rPr>
          <w:rFonts w:hint="eastAsia" w:ascii="仿宋_GB2312" w:hAnsi="仿宋_GB2312" w:eastAsia="仿宋_GB2312" w:cs="仿宋_GB2312"/>
          <w:sz w:val="32"/>
          <w:szCs w:val="32"/>
          <w:lang w:val="en-US" w:eastAsia="zh-CN"/>
        </w:rPr>
        <w:t>56.29</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10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职工工资年度调资，本年度招考多名事业编制人员。</w:t>
      </w:r>
    </w:p>
    <w:p w14:paraId="3F924CC5">
      <w:pPr>
        <w:pStyle w:val="7"/>
        <w:numPr>
          <w:ilvl w:val="0"/>
          <w:numId w:val="0"/>
        </w:numPr>
        <w:spacing w:line="560" w:lineRule="exact"/>
        <w:ind w:firstLine="640" w:firstLineChars="200"/>
        <w:rPr>
          <w:rFonts w:hint="eastAsia" w:ascii="仿宋_GB2312" w:hAnsi="仿宋_GB2312" w:eastAsia="仿宋_GB2312"/>
          <w:sz w:val="32"/>
          <w:szCs w:val="32"/>
          <w:lang w:eastAsia="zh-CN"/>
        </w:rPr>
      </w:pPr>
      <w:r>
        <w:rPr>
          <w:rFonts w:hint="eastAsia" w:ascii="仿宋_GB2312" w:hAnsi="仿宋_GB2312" w:eastAsia="仿宋_GB2312" w:cs="仿宋_GB2312"/>
          <w:sz w:val="32"/>
          <w:szCs w:val="32"/>
        </w:rPr>
        <w:t>（二）商品和服务支出</w:t>
      </w:r>
      <w:r>
        <w:rPr>
          <w:rFonts w:hint="eastAsia" w:ascii="仿宋_GB2312" w:hAnsi="仿宋_GB2312" w:eastAsia="仿宋_GB2312" w:cs="仿宋_GB2312"/>
          <w:sz w:val="32"/>
          <w:szCs w:val="32"/>
          <w:lang w:val="en-US" w:eastAsia="zh-CN"/>
        </w:rPr>
        <w:t>139.6</w:t>
      </w:r>
      <w:r>
        <w:rPr>
          <w:rFonts w:hint="eastAsia" w:ascii="仿宋_GB2312" w:hAnsi="仿宋_GB2312" w:eastAsia="仿宋_GB2312" w:cs="仿宋_GB2312"/>
          <w:sz w:val="32"/>
          <w:szCs w:val="32"/>
        </w:rPr>
        <w:t>万元，较</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年减少</w:t>
      </w:r>
      <w:r>
        <w:rPr>
          <w:rFonts w:hint="eastAsia" w:ascii="仿宋_GB2312" w:hAnsi="仿宋_GB2312" w:eastAsia="仿宋_GB2312" w:cs="仿宋_GB2312"/>
          <w:sz w:val="32"/>
          <w:szCs w:val="32"/>
          <w:lang w:val="en-US" w:eastAsia="zh-CN"/>
        </w:rPr>
        <w:t>11.36</w:t>
      </w:r>
      <w:r>
        <w:rPr>
          <w:rFonts w:hint="eastAsia" w:ascii="仿宋_GB2312" w:hAnsi="仿宋_GB2312" w:eastAsia="仿宋_GB2312" w:cs="仿宋_GB2312"/>
          <w:sz w:val="32"/>
          <w:szCs w:val="32"/>
        </w:rPr>
        <w:t>万元，下降</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lang w:val="en-US" w:eastAsia="zh-CN"/>
        </w:rPr>
        <w:t>7.5</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加强单位内部控制管理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健全内部管理机制。</w:t>
      </w:r>
    </w:p>
    <w:p w14:paraId="3F779F2F">
      <w:pPr>
        <w:pStyle w:val="7"/>
        <w:numPr>
          <w:ilvl w:val="0"/>
          <w:numId w:val="0"/>
        </w:numPr>
        <w:spacing w:line="560" w:lineRule="exact"/>
        <w:ind w:firstLine="640" w:firstLineChars="200"/>
        <w:rPr>
          <w:rFonts w:hint="eastAsia" w:ascii="仿宋_GB2312" w:hAnsi="仿宋_GB2312" w:eastAsia="仿宋_GB2312"/>
          <w:sz w:val="32"/>
          <w:szCs w:val="32"/>
          <w:lang w:eastAsia="zh-CN"/>
        </w:rPr>
      </w:pPr>
      <w:r>
        <w:rPr>
          <w:rFonts w:hint="eastAsia" w:ascii="仿宋_GB2312" w:hAnsi="仿宋_GB2312" w:eastAsia="仿宋_GB2312" w:cs="仿宋_GB2312"/>
          <w:sz w:val="32"/>
          <w:szCs w:val="32"/>
        </w:rPr>
        <w:t>（三）对个人和家庭补助支出</w:t>
      </w:r>
      <w:r>
        <w:rPr>
          <w:rFonts w:hint="eastAsia" w:ascii="仿宋_GB2312" w:hAnsi="仿宋_GB2312" w:eastAsia="仿宋_GB2312" w:cs="仿宋_GB2312"/>
          <w:sz w:val="32"/>
          <w:szCs w:val="32"/>
          <w:lang w:val="en-US" w:eastAsia="zh-CN"/>
        </w:rPr>
        <w:t>4.47</w:t>
      </w:r>
      <w:r>
        <w:rPr>
          <w:rFonts w:hint="eastAsia" w:ascii="仿宋_GB2312" w:hAnsi="仿宋_GB2312" w:eastAsia="仿宋_GB2312" w:cs="仿宋_GB2312"/>
          <w:sz w:val="32"/>
          <w:szCs w:val="32"/>
        </w:rPr>
        <w:t>万元，较</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38.13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下降了</w:t>
      </w:r>
      <w:r>
        <w:rPr>
          <w:rFonts w:hint="eastAsia" w:ascii="仿宋_GB2312" w:hAnsi="仿宋_GB2312" w:eastAsia="仿宋_GB2312" w:cs="仿宋_GB2312"/>
          <w:sz w:val="32"/>
          <w:szCs w:val="32"/>
          <w:lang w:val="en-US" w:eastAsia="zh-CN"/>
        </w:rPr>
        <w:t>89.5</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加强单位内部控制管理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健全内部管理机制。</w:t>
      </w:r>
    </w:p>
    <w:p w14:paraId="1294D6A2">
      <w:pPr>
        <w:pStyle w:val="7"/>
        <w:spacing w:line="560" w:lineRule="exact"/>
        <w:ind w:firstLine="601"/>
        <w:rPr>
          <w:rFonts w:ascii="仿宋_GB2312" w:hAnsi="仿宋_GB2312" w:eastAsia="仿宋_GB2312"/>
          <w:sz w:val="32"/>
          <w:szCs w:val="32"/>
        </w:rPr>
      </w:pPr>
      <w:r>
        <w:rPr>
          <w:rFonts w:hint="eastAsia" w:ascii="仿宋_GB2312" w:hAnsi="仿宋_GB2312" w:eastAsia="仿宋_GB2312" w:cs="仿宋_GB2312"/>
          <w:sz w:val="32"/>
          <w:szCs w:val="32"/>
        </w:rPr>
        <w:t>（四）其他资本性支出</w:t>
      </w:r>
      <w:r>
        <w:rPr>
          <w:rFonts w:hint="eastAsia" w:ascii="仿宋_GB2312" w:hAnsi="仿宋_GB2312" w:eastAsia="仿宋_GB2312" w:cs="仿宋_GB2312"/>
          <w:sz w:val="32"/>
          <w:szCs w:val="32"/>
          <w:lang w:val="en-US" w:eastAsia="zh-CN"/>
        </w:rPr>
        <w:t>64.83</w:t>
      </w:r>
      <w:r>
        <w:rPr>
          <w:rFonts w:hint="eastAsia" w:ascii="仿宋_GB2312" w:hAnsi="仿宋_GB2312" w:eastAsia="仿宋_GB2312" w:cs="仿宋_GB2312"/>
          <w:sz w:val="32"/>
          <w:szCs w:val="32"/>
        </w:rPr>
        <w:t>万元，较</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年增加</w:t>
      </w:r>
      <w:r>
        <w:rPr>
          <w:rFonts w:hint="eastAsia" w:ascii="仿宋_GB2312" w:hAnsi="仿宋_GB2312" w:eastAsia="仿宋_GB2312" w:cs="仿宋_GB2312"/>
          <w:sz w:val="32"/>
          <w:szCs w:val="32"/>
          <w:lang w:val="en-US" w:eastAsia="zh-CN"/>
        </w:rPr>
        <w:t>56.86</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713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本年度对老旧职工食堂及卫生</w:t>
      </w:r>
      <w:r>
        <w:rPr>
          <w:rFonts w:hint="eastAsia" w:ascii="仿宋_GB2312" w:hAnsi="仿宋_GB2312" w:eastAsia="仿宋_GB2312" w:cs="仿宋_GB2312"/>
          <w:b w:val="0"/>
          <w:bCs w:val="0"/>
          <w:sz w:val="32"/>
          <w:szCs w:val="32"/>
          <w:lang w:eastAsia="zh-CN"/>
        </w:rPr>
        <w:t>间进行了维修</w:t>
      </w:r>
      <w:r>
        <w:rPr>
          <w:rFonts w:hint="eastAsia" w:ascii="仿宋_GB2312" w:hAnsi="仿宋_GB2312" w:eastAsia="仿宋_GB2312" w:cs="仿宋_GB2312"/>
          <w:b w:val="0"/>
          <w:bCs w:val="0"/>
          <w:sz w:val="32"/>
          <w:szCs w:val="32"/>
        </w:rPr>
        <w:t>。</w:t>
      </w:r>
    </w:p>
    <w:p w14:paraId="1EC48B14">
      <w:pPr>
        <w:pStyle w:val="7"/>
        <w:spacing w:line="560" w:lineRule="exact"/>
        <w:ind w:firstLine="601"/>
        <w:rPr>
          <w:rFonts w:ascii="黑体" w:hAnsi="黑体" w:eastAsia="黑体"/>
          <w:kern w:val="2"/>
          <w:sz w:val="32"/>
          <w:szCs w:val="32"/>
        </w:rPr>
      </w:pPr>
      <w:r>
        <w:rPr>
          <w:rFonts w:hint="eastAsia" w:ascii="黑体" w:hAnsi="黑体" w:eastAsia="黑体" w:cs="黑体"/>
          <w:kern w:val="2"/>
          <w:sz w:val="32"/>
          <w:szCs w:val="32"/>
        </w:rPr>
        <w:t>五、一般公共预算财政拨款“三公”经费支出决算情况说明</w:t>
      </w:r>
    </w:p>
    <w:p w14:paraId="048879FF">
      <w:pPr>
        <w:pStyle w:val="7"/>
        <w:spacing w:line="560" w:lineRule="exact"/>
        <w:ind w:firstLine="601"/>
        <w:rPr>
          <w:rFonts w:ascii="仿宋_GB2312" w:hAnsi="仿宋_GB2312" w:eastAsia="仿宋_GB2312"/>
          <w:sz w:val="32"/>
          <w:szCs w:val="32"/>
        </w:rPr>
      </w:pPr>
      <w:r>
        <w:rPr>
          <w:rFonts w:hint="eastAsia" w:ascii="仿宋_GB2312" w:hAnsi="仿宋_GB2312" w:eastAsia="仿宋_GB2312" w:cs="仿宋_GB2312"/>
          <w:sz w:val="32"/>
          <w:szCs w:val="32"/>
        </w:rPr>
        <w:t>本部门</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年度一般公共预算财政拨款“三公”经费支出年初预算数为</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42.5</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lang w:val="en-US" w:eastAsia="zh-CN"/>
        </w:rPr>
        <w:t>24.75</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58.23</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，决算数较</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增加了</w:t>
      </w:r>
      <w:r>
        <w:rPr>
          <w:rFonts w:hint="eastAsia" w:ascii="仿宋_GB2312" w:hAnsi="仿宋_GB2312" w:eastAsia="仿宋_GB2312" w:cs="仿宋_GB2312"/>
          <w:sz w:val="32"/>
          <w:szCs w:val="32"/>
          <w:lang w:val="en-US" w:eastAsia="zh-CN"/>
        </w:rPr>
        <w:t>15.02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增长了</w:t>
      </w:r>
      <w:r>
        <w:rPr>
          <w:rFonts w:hint="eastAsia" w:ascii="仿宋_GB2312" w:hAnsi="仿宋_GB2312" w:eastAsia="仿宋_GB2312" w:cs="仿宋_GB2312"/>
          <w:sz w:val="32"/>
          <w:szCs w:val="32"/>
          <w:lang w:val="en-US" w:eastAsia="zh-CN"/>
        </w:rPr>
        <w:t>154</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，其中：</w:t>
      </w:r>
    </w:p>
    <w:p w14:paraId="25282B46">
      <w:pPr>
        <w:pStyle w:val="7"/>
        <w:spacing w:line="560" w:lineRule="exact"/>
        <w:ind w:firstLine="601"/>
        <w:rPr>
          <w:rFonts w:hint="eastAsia" w:ascii="仿宋_GB2312" w:hAnsi="仿宋_GB2312" w:eastAsia="仿宋_GB2312"/>
          <w:sz w:val="32"/>
          <w:szCs w:val="32"/>
          <w:lang w:eastAsia="zh-CN"/>
        </w:rPr>
      </w:pPr>
      <w:r>
        <w:rPr>
          <w:rFonts w:hint="eastAsia" w:ascii="仿宋_GB2312" w:hAnsi="仿宋_GB2312" w:eastAsia="仿宋_GB2312" w:cs="仿宋_GB2312"/>
          <w:sz w:val="32"/>
          <w:szCs w:val="32"/>
        </w:rPr>
        <w:t>（一）因公出国（境）支出年初预算数为</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万元，决算数为</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万元，完成预算的</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，决算数较</w:t>
      </w:r>
      <w:r>
        <w:rPr>
          <w:rFonts w:ascii="仿宋_GB2312" w:hAnsi="仿宋_GB2312" w:eastAsia="仿宋_GB2312" w:cs="仿宋_GB2312"/>
          <w:sz w:val="32"/>
          <w:szCs w:val="32"/>
        </w:rPr>
        <w:t>2016</w:t>
      </w:r>
      <w:r>
        <w:rPr>
          <w:rFonts w:hint="eastAsia" w:ascii="仿宋_GB2312" w:hAnsi="仿宋_GB2312" w:eastAsia="仿宋_GB2312" w:cs="仿宋_GB2312"/>
          <w:sz w:val="32"/>
          <w:szCs w:val="32"/>
        </w:rPr>
        <w:t>年增加（减少）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万元，增长（下降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无</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eastAsia="zh-CN"/>
        </w:rPr>
        <w:t>。</w:t>
      </w:r>
    </w:p>
    <w:p w14:paraId="32524C61">
      <w:pPr>
        <w:pStyle w:val="7"/>
        <w:spacing w:line="560" w:lineRule="exact"/>
        <w:ind w:firstLine="601"/>
        <w:rPr>
          <w:rFonts w:hint="eastAsia" w:ascii="仿宋_GB2312" w:hAnsi="仿宋_GB2312" w:eastAsia="仿宋_GB2312"/>
          <w:sz w:val="32"/>
          <w:szCs w:val="32"/>
          <w:lang w:eastAsia="zh-CN"/>
        </w:rPr>
      </w:pPr>
      <w:r>
        <w:rPr>
          <w:rFonts w:hint="eastAsia" w:ascii="仿宋_GB2312" w:hAnsi="仿宋_GB2312" w:eastAsia="仿宋_GB2312" w:cs="仿宋_GB2312"/>
          <w:sz w:val="32"/>
          <w:szCs w:val="32"/>
        </w:rPr>
        <w:t>（二）公务接待费支出年初预算数为</w:t>
      </w:r>
      <w:r>
        <w:rPr>
          <w:rFonts w:hint="eastAsia" w:ascii="仿宋_GB2312" w:hAnsi="仿宋_GB2312" w:eastAsia="仿宋_GB2312" w:cs="仿宋_GB2312"/>
          <w:sz w:val="32"/>
          <w:szCs w:val="32"/>
          <w:lang w:val="en-US" w:eastAsia="zh-CN"/>
        </w:rPr>
        <w:t>22.5</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万元，决算数为</w:t>
      </w:r>
      <w:r>
        <w:rPr>
          <w:rFonts w:hint="eastAsia" w:ascii="仿宋_GB2312" w:hAnsi="仿宋_GB2312" w:eastAsia="仿宋_GB2312" w:cs="仿宋_GB2312"/>
          <w:sz w:val="32"/>
          <w:szCs w:val="32"/>
          <w:lang w:val="en-US" w:eastAsia="zh-CN"/>
        </w:rPr>
        <w:t>10.42</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46.3</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，决算数较</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4.78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lang w:val="en-US" w:eastAsia="zh-CN"/>
        </w:rPr>
        <w:t>84.75</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涉及交通建设的项目较多，相关部门也多，因此本年度的公务接待与上年度的公务接待相比有所增加。</w:t>
      </w:r>
    </w:p>
    <w:p w14:paraId="1537AB82">
      <w:pPr>
        <w:pStyle w:val="7"/>
        <w:spacing w:line="560" w:lineRule="exact"/>
        <w:ind w:firstLine="601"/>
        <w:rPr>
          <w:rFonts w:ascii="仿宋_GB2312" w:hAnsi="仿宋_GB2312" w:eastAsia="仿宋_GB2312"/>
          <w:sz w:val="32"/>
          <w:szCs w:val="32"/>
        </w:rPr>
      </w:pPr>
      <w:r>
        <w:rPr>
          <w:rFonts w:hint="eastAsia" w:ascii="仿宋_GB2312" w:hAnsi="仿宋_GB2312" w:eastAsia="仿宋_GB2312" w:cs="仿宋_GB2312"/>
          <w:sz w:val="32"/>
          <w:szCs w:val="32"/>
        </w:rPr>
        <w:t>（三）公务用车购置及运行维护费支出</w:t>
      </w:r>
      <w:r>
        <w:rPr>
          <w:rFonts w:hint="eastAsia" w:ascii="仿宋_GB2312" w:hAnsi="仿宋_GB2312" w:eastAsia="仿宋_GB2312" w:cs="仿宋_GB2312"/>
          <w:sz w:val="32"/>
          <w:szCs w:val="32"/>
          <w:lang w:val="en-US" w:eastAsia="zh-CN"/>
        </w:rPr>
        <w:t>14.32</w:t>
      </w:r>
      <w:r>
        <w:rPr>
          <w:rFonts w:hint="eastAsia" w:ascii="仿宋_GB2312" w:hAnsi="仿宋_GB2312" w:eastAsia="仿宋_GB2312" w:cs="仿宋_GB2312"/>
          <w:sz w:val="32"/>
          <w:szCs w:val="32"/>
        </w:rPr>
        <w:t>万元，其中公务用车购置年初预算数为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万元，决算数为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，决算数较</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年增加（减少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万元，增长（下降）</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2019年</w:t>
      </w:r>
      <w:r>
        <w:rPr>
          <w:rFonts w:hint="eastAsia" w:ascii="仿宋_GB2312" w:hAnsi="仿宋_GB2312" w:eastAsia="仿宋_GB2312" w:cs="仿宋_GB2312"/>
          <w:sz w:val="32"/>
          <w:szCs w:val="32"/>
        </w:rPr>
        <w:t>公务用车运行维护费支出年初预算数为</w:t>
      </w:r>
      <w:r>
        <w:rPr>
          <w:rFonts w:hint="eastAsia" w:ascii="仿宋_GB2312" w:hAnsi="仿宋_GB2312" w:eastAsia="仿宋_GB2312" w:cs="仿宋_GB2312"/>
          <w:sz w:val="32"/>
          <w:szCs w:val="32"/>
          <w:lang w:val="en-US" w:eastAsia="zh-CN"/>
        </w:rPr>
        <w:t>20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万元，决算数为</w:t>
      </w:r>
      <w:r>
        <w:rPr>
          <w:rFonts w:hint="eastAsia" w:ascii="仿宋_GB2312" w:hAnsi="仿宋_GB2312" w:eastAsia="仿宋_GB2312" w:cs="仿宋_GB2312"/>
          <w:sz w:val="32"/>
          <w:szCs w:val="32"/>
          <w:lang w:val="en-US" w:eastAsia="zh-CN"/>
        </w:rPr>
        <w:t>14.32</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71.6</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，决算数较</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增加了</w:t>
      </w:r>
      <w:r>
        <w:rPr>
          <w:rFonts w:hint="eastAsia" w:ascii="仿宋_GB2312" w:hAnsi="仿宋_GB2312" w:eastAsia="仿宋_GB2312" w:cs="仿宋_GB2312"/>
          <w:sz w:val="32"/>
          <w:szCs w:val="32"/>
          <w:lang w:val="en-US" w:eastAsia="zh-CN"/>
        </w:rPr>
        <w:t>10.23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增长</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250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本年度我县涉及的交通建设项目较多，辖区新建的交通基础设施也较多，因此本年度的交通运行费用与上年度相比有所增加。</w:t>
      </w:r>
    </w:p>
    <w:p w14:paraId="63FDC9D4">
      <w:pPr>
        <w:pStyle w:val="7"/>
        <w:spacing w:line="560" w:lineRule="exact"/>
        <w:ind w:firstLine="601"/>
        <w:rPr>
          <w:rFonts w:ascii="黑体" w:hAnsi="黑体" w:eastAsia="黑体"/>
          <w:kern w:val="2"/>
          <w:sz w:val="32"/>
          <w:szCs w:val="32"/>
        </w:rPr>
      </w:pPr>
      <w:r>
        <w:rPr>
          <w:rFonts w:hint="eastAsia" w:ascii="黑体" w:hAnsi="黑体" w:eastAsia="黑体" w:cs="黑体"/>
          <w:kern w:val="2"/>
          <w:sz w:val="32"/>
          <w:szCs w:val="32"/>
        </w:rPr>
        <w:t>六、机关运行经费支出情况说明</w:t>
      </w:r>
    </w:p>
    <w:p w14:paraId="3467249C">
      <w:pPr>
        <w:pStyle w:val="7"/>
        <w:spacing w:line="560" w:lineRule="exact"/>
        <w:ind w:firstLine="601"/>
        <w:rPr>
          <w:rFonts w:ascii="仿宋_GB2312" w:hAnsi="仿宋_GB2312" w:eastAsia="仿宋_GB2312" w:cs="仿宋_GB2312"/>
          <w:sz w:val="32"/>
          <w:szCs w:val="32"/>
        </w:rPr>
      </w:pPr>
      <w:r>
        <w:rPr>
          <w:rFonts w:hint="eastAsia" w:ascii="仿宋_GB2312" w:hAnsi="仿宋_GB2312" w:eastAsia="仿宋_GB2312" w:cs="仿宋_GB2312"/>
          <w:sz w:val="32"/>
          <w:szCs w:val="32"/>
        </w:rPr>
        <w:t>本部门</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年度机关运行经费支出</w:t>
      </w:r>
      <w:r>
        <w:rPr>
          <w:rFonts w:hint="eastAsia" w:ascii="仿宋_GB2312" w:hAnsi="仿宋_GB2312" w:eastAsia="仿宋_GB2312" w:cs="仿宋_GB2312"/>
          <w:sz w:val="32"/>
          <w:szCs w:val="32"/>
          <w:lang w:val="en-US" w:eastAsia="zh-CN"/>
        </w:rPr>
        <w:t>204.43</w:t>
      </w:r>
      <w:r>
        <w:rPr>
          <w:rFonts w:hint="eastAsia" w:ascii="仿宋_GB2312" w:hAnsi="仿宋_GB2312" w:eastAsia="仿宋_GB2312" w:cs="仿宋_GB2312"/>
          <w:sz w:val="32"/>
          <w:szCs w:val="32"/>
        </w:rPr>
        <w:t>万元（与部门决算中行政单位和参照公务员法管理事业单位一般公共预算财政拨款基本支出中公用经费保持一致），较</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增加了</w:t>
      </w:r>
      <w:r>
        <w:rPr>
          <w:rFonts w:hint="eastAsia" w:ascii="仿宋_GB2312" w:hAnsi="仿宋_GB2312" w:eastAsia="仿宋_GB2312" w:cs="仿宋_GB2312"/>
          <w:sz w:val="32"/>
          <w:szCs w:val="32"/>
          <w:lang w:val="en-US" w:eastAsia="zh-CN"/>
        </w:rPr>
        <w:t>45.5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lang w:val="en-US" w:eastAsia="zh-CN"/>
        </w:rPr>
        <w:t>28.62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：单位职工增多</w:t>
      </w:r>
      <w:r>
        <w:rPr>
          <w:rFonts w:hint="eastAsia" w:ascii="仿宋" w:hAnsi="仿宋" w:eastAsia="仿宋"/>
          <w:sz w:val="30"/>
          <w:szCs w:val="30"/>
        </w:rPr>
        <w:t>，</w:t>
      </w:r>
      <w:r>
        <w:rPr>
          <w:rFonts w:hint="eastAsia" w:ascii="仿宋" w:hAnsi="仿宋" w:eastAsia="仿宋"/>
          <w:sz w:val="30"/>
          <w:szCs w:val="30"/>
          <w:lang w:eastAsia="zh-CN"/>
        </w:rPr>
        <w:t>人们生活水平的不断提高，物价的提高。使得我单位的机关运行费用有所增长。</w:t>
      </w:r>
      <w:r>
        <w:rPr>
          <w:rFonts w:ascii="仿宋_GB2312" w:hAnsi="仿宋_GB2312" w:eastAsia="仿宋_GB2312" w:cs="仿宋_GB2312"/>
          <w:sz w:val="32"/>
          <w:szCs w:val="32"/>
        </w:rPr>
        <w:t xml:space="preserve"> </w:t>
      </w:r>
    </w:p>
    <w:p w14:paraId="7DE8547A">
      <w:pPr>
        <w:pStyle w:val="7"/>
        <w:spacing w:line="560" w:lineRule="exact"/>
        <w:ind w:firstLine="601"/>
        <w:rPr>
          <w:rFonts w:ascii="黑体" w:hAnsi="黑体" w:eastAsia="黑体"/>
          <w:kern w:val="2"/>
          <w:sz w:val="32"/>
          <w:szCs w:val="32"/>
        </w:rPr>
      </w:pPr>
      <w:r>
        <w:rPr>
          <w:rFonts w:hint="eastAsia" w:ascii="黑体" w:hAnsi="黑体" w:eastAsia="黑体" w:cs="黑体"/>
          <w:kern w:val="2"/>
          <w:sz w:val="32"/>
          <w:szCs w:val="32"/>
        </w:rPr>
        <w:t>七、政府采购支出情况说明</w:t>
      </w:r>
    </w:p>
    <w:p w14:paraId="2E967048">
      <w:pPr>
        <w:pStyle w:val="7"/>
        <w:spacing w:line="600" w:lineRule="exact"/>
        <w:ind w:firstLine="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年度政府采购支出总额</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万元、政府采购工程支出</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万元、政府采购服务支出</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万元。授予中小企业合同金额</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，其中：授予小微企业合同金额</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。（市级部门公开的政府采购金额的计算口径为：本部门纳入</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年部门预算范围的各项政府采购支出金额之和，并做好与</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年度政府采购信息统计报表中“政府采购资金情况表”有关数据的衔接。）</w:t>
      </w:r>
    </w:p>
    <w:p w14:paraId="1DBE3381">
      <w:pPr>
        <w:ind w:firstLine="630"/>
        <w:jc w:val="left"/>
        <w:rPr>
          <w:rFonts w:hint="eastAsia" w:ascii="黑体" w:hAnsi="黑体" w:eastAsia="黑体"/>
          <w:sz w:val="30"/>
          <w:szCs w:val="30"/>
        </w:rPr>
      </w:pPr>
      <w:r>
        <w:rPr>
          <w:rFonts w:hint="eastAsia" w:ascii="黑体" w:hAnsi="黑体" w:eastAsia="黑体"/>
          <w:sz w:val="30"/>
          <w:szCs w:val="30"/>
        </w:rPr>
        <w:t>八、国有资产占用情况说明。</w:t>
      </w:r>
    </w:p>
    <w:p w14:paraId="7F4BCD5E">
      <w:pPr>
        <w:ind w:firstLine="630"/>
        <w:jc w:val="left"/>
        <w:rPr>
          <w:rFonts w:hint="eastAsia" w:ascii="仿宋" w:hAnsi="仿宋" w:eastAsia="仿宋"/>
          <w:kern w:val="0"/>
          <w:sz w:val="30"/>
          <w:szCs w:val="30"/>
        </w:rPr>
      </w:pPr>
      <w:r>
        <w:rPr>
          <w:rFonts w:hint="eastAsia" w:ascii="仿宋" w:hAnsi="仿宋" w:eastAsia="仿宋"/>
          <w:kern w:val="0"/>
          <w:sz w:val="30"/>
          <w:szCs w:val="30"/>
          <w:lang w:eastAsia="zh-CN"/>
        </w:rPr>
        <w:t>截至2019年12</w:t>
      </w:r>
      <w:r>
        <w:rPr>
          <w:rFonts w:hint="eastAsia" w:ascii="仿宋" w:hAnsi="仿宋" w:eastAsia="仿宋"/>
          <w:kern w:val="0"/>
          <w:sz w:val="30"/>
          <w:szCs w:val="30"/>
        </w:rPr>
        <w:t>月31日，本部门共有车辆</w:t>
      </w:r>
      <w:r>
        <w:rPr>
          <w:rFonts w:hint="eastAsia" w:ascii="仿宋" w:hAnsi="仿宋" w:eastAsia="仿宋"/>
          <w:kern w:val="0"/>
          <w:sz w:val="30"/>
          <w:szCs w:val="30"/>
          <w:lang w:val="en-US" w:eastAsia="zh-CN"/>
        </w:rPr>
        <w:t>0</w:t>
      </w:r>
      <w:r>
        <w:rPr>
          <w:rFonts w:hint="eastAsia" w:ascii="仿宋" w:hAnsi="仿宋" w:eastAsia="仿宋"/>
          <w:kern w:val="0"/>
          <w:sz w:val="30"/>
          <w:szCs w:val="30"/>
        </w:rPr>
        <w:t>辆，其中，副部（省）级及以上领导用车</w:t>
      </w:r>
      <w:r>
        <w:rPr>
          <w:rFonts w:hint="eastAsia" w:ascii="仿宋" w:hAnsi="仿宋" w:eastAsia="仿宋"/>
          <w:kern w:val="0"/>
          <w:sz w:val="30"/>
          <w:szCs w:val="30"/>
          <w:lang w:val="en-US" w:eastAsia="zh-CN"/>
        </w:rPr>
        <w:t>0</w:t>
      </w:r>
      <w:r>
        <w:rPr>
          <w:rFonts w:hint="eastAsia" w:ascii="仿宋" w:hAnsi="仿宋" w:eastAsia="仿宋"/>
          <w:kern w:val="0"/>
          <w:sz w:val="30"/>
          <w:szCs w:val="30"/>
        </w:rPr>
        <w:t>辆、主要领导干部用车</w:t>
      </w:r>
      <w:r>
        <w:rPr>
          <w:rFonts w:hint="eastAsia" w:ascii="仿宋" w:hAnsi="仿宋" w:eastAsia="仿宋"/>
          <w:kern w:val="0"/>
          <w:sz w:val="30"/>
          <w:szCs w:val="30"/>
          <w:lang w:val="en-US" w:eastAsia="zh-CN"/>
        </w:rPr>
        <w:t>0</w:t>
      </w:r>
      <w:r>
        <w:rPr>
          <w:rFonts w:hint="eastAsia" w:ascii="仿宋" w:hAnsi="仿宋" w:eastAsia="仿宋"/>
          <w:kern w:val="0"/>
          <w:sz w:val="30"/>
          <w:szCs w:val="30"/>
        </w:rPr>
        <w:t>辆、机要通信用车</w:t>
      </w:r>
      <w:r>
        <w:rPr>
          <w:rFonts w:hint="eastAsia" w:ascii="仿宋" w:hAnsi="仿宋" w:eastAsia="仿宋"/>
          <w:kern w:val="0"/>
          <w:sz w:val="30"/>
          <w:szCs w:val="30"/>
          <w:lang w:val="en-US" w:eastAsia="zh-CN"/>
        </w:rPr>
        <w:t>0</w:t>
      </w:r>
      <w:r>
        <w:rPr>
          <w:rFonts w:hint="eastAsia" w:ascii="仿宋" w:hAnsi="仿宋" w:eastAsia="仿宋"/>
          <w:kern w:val="0"/>
          <w:sz w:val="30"/>
          <w:szCs w:val="30"/>
        </w:rPr>
        <w:t>辆、应急保障用车</w:t>
      </w:r>
      <w:r>
        <w:rPr>
          <w:rFonts w:hint="eastAsia" w:ascii="仿宋" w:hAnsi="仿宋" w:eastAsia="仿宋"/>
          <w:kern w:val="0"/>
          <w:sz w:val="30"/>
          <w:szCs w:val="30"/>
          <w:lang w:val="en-US" w:eastAsia="zh-CN"/>
        </w:rPr>
        <w:t>0</w:t>
      </w:r>
      <w:r>
        <w:rPr>
          <w:rFonts w:hint="eastAsia" w:ascii="仿宋" w:hAnsi="仿宋" w:eastAsia="仿宋"/>
          <w:kern w:val="0"/>
          <w:sz w:val="30"/>
          <w:szCs w:val="30"/>
        </w:rPr>
        <w:t>辆、执法执勤用车</w:t>
      </w:r>
      <w:r>
        <w:rPr>
          <w:rFonts w:hint="eastAsia" w:ascii="仿宋" w:hAnsi="仿宋" w:eastAsia="仿宋"/>
          <w:kern w:val="0"/>
          <w:sz w:val="30"/>
          <w:szCs w:val="30"/>
          <w:lang w:val="en-US" w:eastAsia="zh-CN"/>
        </w:rPr>
        <w:t>0</w:t>
      </w:r>
      <w:r>
        <w:rPr>
          <w:rFonts w:hint="eastAsia" w:ascii="仿宋" w:hAnsi="仿宋" w:eastAsia="仿宋"/>
          <w:kern w:val="0"/>
          <w:sz w:val="30"/>
          <w:szCs w:val="30"/>
        </w:rPr>
        <w:t>辆、特种专业技术用车</w:t>
      </w:r>
      <w:r>
        <w:rPr>
          <w:rFonts w:hint="eastAsia" w:ascii="仿宋" w:hAnsi="仿宋" w:eastAsia="仿宋"/>
          <w:kern w:val="0"/>
          <w:sz w:val="30"/>
          <w:szCs w:val="30"/>
          <w:lang w:val="en-US" w:eastAsia="zh-CN"/>
        </w:rPr>
        <w:t>0</w:t>
      </w:r>
      <w:r>
        <w:rPr>
          <w:rFonts w:hint="eastAsia" w:ascii="仿宋" w:hAnsi="仿宋" w:eastAsia="仿宋"/>
          <w:kern w:val="0"/>
          <w:sz w:val="30"/>
          <w:szCs w:val="30"/>
        </w:rPr>
        <w:t>辆、其他用车</w:t>
      </w:r>
      <w:r>
        <w:rPr>
          <w:rFonts w:hint="eastAsia" w:ascii="仿宋" w:hAnsi="仿宋" w:eastAsia="仿宋"/>
          <w:kern w:val="0"/>
          <w:sz w:val="30"/>
          <w:szCs w:val="30"/>
          <w:lang w:val="en-US" w:eastAsia="zh-CN"/>
        </w:rPr>
        <w:t>0</w:t>
      </w:r>
      <w:r>
        <w:rPr>
          <w:rFonts w:hint="eastAsia" w:ascii="仿宋" w:hAnsi="仿宋" w:eastAsia="仿宋"/>
          <w:kern w:val="0"/>
          <w:sz w:val="30"/>
          <w:szCs w:val="30"/>
        </w:rPr>
        <w:t>辆，其他用车主要</w:t>
      </w:r>
      <w:r>
        <w:rPr>
          <w:rFonts w:hint="eastAsia" w:ascii="仿宋" w:hAnsi="仿宋" w:eastAsia="仿宋"/>
          <w:kern w:val="0"/>
          <w:sz w:val="30"/>
          <w:szCs w:val="30"/>
          <w:lang w:eastAsia="zh-CN"/>
        </w:rPr>
        <w:t>是老旧资产，已无相关车辆手续的老旧车辆，待报废处理（下属单位）</w:t>
      </w:r>
      <w:r>
        <w:rPr>
          <w:rFonts w:hint="eastAsia" w:ascii="仿宋" w:hAnsi="仿宋" w:eastAsia="仿宋"/>
          <w:kern w:val="0"/>
          <w:sz w:val="30"/>
          <w:szCs w:val="30"/>
        </w:rPr>
        <w:t>；单位价值50万元以上通用设备</w:t>
      </w:r>
      <w:r>
        <w:rPr>
          <w:rFonts w:hint="eastAsia" w:ascii="仿宋" w:hAnsi="仿宋" w:eastAsia="仿宋"/>
          <w:kern w:val="0"/>
          <w:sz w:val="30"/>
          <w:szCs w:val="30"/>
          <w:lang w:val="en-US" w:eastAsia="zh-CN"/>
        </w:rPr>
        <w:t>0</w:t>
      </w:r>
      <w:r>
        <w:rPr>
          <w:rFonts w:hint="eastAsia" w:ascii="仿宋" w:hAnsi="仿宋" w:eastAsia="仿宋"/>
          <w:kern w:val="0"/>
          <w:sz w:val="30"/>
          <w:szCs w:val="30"/>
        </w:rPr>
        <w:t>台（套）；单位价值100万元以上专用设备</w:t>
      </w:r>
      <w:r>
        <w:rPr>
          <w:rFonts w:hint="eastAsia" w:ascii="仿宋" w:hAnsi="仿宋" w:eastAsia="仿宋"/>
          <w:kern w:val="0"/>
          <w:sz w:val="30"/>
          <w:szCs w:val="30"/>
          <w:lang w:val="en-US" w:eastAsia="zh-CN"/>
        </w:rPr>
        <w:t>0</w:t>
      </w:r>
      <w:r>
        <w:rPr>
          <w:rFonts w:hint="eastAsia" w:ascii="仿宋" w:hAnsi="仿宋" w:eastAsia="仿宋"/>
          <w:kern w:val="0"/>
          <w:sz w:val="30"/>
          <w:szCs w:val="30"/>
        </w:rPr>
        <w:t>台（套）。</w:t>
      </w:r>
    </w:p>
    <w:p w14:paraId="25C3FC9D">
      <w:pPr>
        <w:pStyle w:val="7"/>
        <w:spacing w:line="600" w:lineRule="exact"/>
        <w:ind w:firstLine="600"/>
        <w:rPr>
          <w:rFonts w:hint="eastAsia" w:ascii="仿宋_GB2312" w:hAnsi="仿宋_GB2312" w:eastAsia="仿宋_GB2312" w:cs="仿宋_GB2312"/>
          <w:sz w:val="32"/>
          <w:szCs w:val="32"/>
        </w:rPr>
      </w:pPr>
    </w:p>
    <w:p w14:paraId="60CBCA32">
      <w:pPr>
        <w:numPr>
          <w:ilvl w:val="0"/>
          <w:numId w:val="4"/>
        </w:numPr>
        <w:spacing w:line="600" w:lineRule="exact"/>
        <w:ind w:firstLine="630"/>
        <w:jc w:val="left"/>
        <w:rPr>
          <w:rFonts w:hint="eastAsia" w:ascii="黑体" w:hAnsi="黑体" w:eastAsia="黑体" w:cs="黑体"/>
          <w:sz w:val="32"/>
          <w:szCs w:val="32"/>
        </w:rPr>
      </w:pPr>
      <w:r>
        <w:rPr>
          <w:rFonts w:hint="eastAsia" w:ascii="黑体" w:hAnsi="黑体" w:eastAsia="黑体" w:cs="黑体"/>
          <w:sz w:val="32"/>
          <w:szCs w:val="32"/>
        </w:rPr>
        <w:t>预算绩效情况说明</w:t>
      </w:r>
    </w:p>
    <w:p w14:paraId="183334B5">
      <w:pPr>
        <w:numPr>
          <w:ilvl w:val="0"/>
          <w:numId w:val="5"/>
        </w:numPr>
        <w:autoSpaceDE w:val="0"/>
        <w:autoSpaceDN w:val="0"/>
        <w:adjustRightInd w:val="0"/>
        <w:spacing w:line="360" w:lineRule="auto"/>
        <w:jc w:val="left"/>
        <w:rPr>
          <w:rFonts w:hint="eastAsia" w:ascii="仿宋" w:hAnsi="仿宋" w:eastAsia="仿宋" w:cs="仿宋_GB2312"/>
          <w:kern w:val="0"/>
          <w:sz w:val="30"/>
          <w:szCs w:val="30"/>
        </w:rPr>
      </w:pPr>
      <w:r>
        <w:rPr>
          <w:rFonts w:hint="eastAsia" w:ascii="仿宋" w:hAnsi="仿宋" w:eastAsia="仿宋" w:cs="仿宋_GB2312"/>
          <w:kern w:val="0"/>
          <w:sz w:val="30"/>
          <w:szCs w:val="30"/>
        </w:rPr>
        <w:t>绩效管理工作开展情况。</w:t>
      </w:r>
    </w:p>
    <w:p w14:paraId="4B6790E0">
      <w:pPr>
        <w:numPr>
          <w:ilvl w:val="0"/>
          <w:numId w:val="0"/>
        </w:numPr>
        <w:autoSpaceDE w:val="0"/>
        <w:autoSpaceDN w:val="0"/>
        <w:adjustRightInd w:val="0"/>
        <w:spacing w:line="360" w:lineRule="auto"/>
        <w:jc w:val="left"/>
        <w:rPr>
          <w:rFonts w:hint="default" w:ascii="仿宋" w:hAnsi="仿宋" w:eastAsia="仿宋" w:cs="仿宋_GB2312"/>
          <w:kern w:val="0"/>
          <w:sz w:val="30"/>
          <w:szCs w:val="30"/>
          <w:lang w:val="en-US" w:eastAsia="zh-CN"/>
        </w:rPr>
      </w:pPr>
      <w:r>
        <w:rPr>
          <w:rFonts w:hint="eastAsia" w:ascii="仿宋" w:hAnsi="仿宋" w:eastAsia="仿宋" w:cs="仿宋_GB2312"/>
          <w:kern w:val="0"/>
          <w:sz w:val="30"/>
          <w:szCs w:val="30"/>
          <w:lang w:val="en-US" w:eastAsia="zh-CN"/>
        </w:rPr>
        <w:t xml:space="preserve">      本部门暂未开展绩效管理工作。</w:t>
      </w:r>
    </w:p>
    <w:p w14:paraId="294CF06F">
      <w:pPr>
        <w:autoSpaceDE w:val="0"/>
        <w:autoSpaceDN w:val="0"/>
        <w:adjustRightInd w:val="0"/>
        <w:spacing w:line="360" w:lineRule="auto"/>
        <w:jc w:val="left"/>
        <w:rPr>
          <w:rFonts w:hint="eastAsia" w:ascii="仿宋" w:hAnsi="仿宋" w:eastAsia="仿宋" w:cs="仿宋_GB2312"/>
          <w:kern w:val="0"/>
          <w:sz w:val="30"/>
          <w:szCs w:val="30"/>
        </w:rPr>
      </w:pPr>
      <w:r>
        <w:rPr>
          <w:rFonts w:hint="eastAsia" w:ascii="仿宋" w:hAnsi="仿宋" w:eastAsia="仿宋" w:cs="仿宋_GB2312"/>
          <w:kern w:val="0"/>
          <w:sz w:val="30"/>
          <w:szCs w:val="30"/>
        </w:rPr>
        <w:t>（二）部门决算中项目绩效自评结果（选择1至2个项目）。</w:t>
      </w:r>
    </w:p>
    <w:p w14:paraId="71372760">
      <w:pPr>
        <w:autoSpaceDE w:val="0"/>
        <w:autoSpaceDN w:val="0"/>
        <w:adjustRightInd w:val="0"/>
        <w:spacing w:line="360" w:lineRule="auto"/>
        <w:ind w:firstLine="600"/>
        <w:jc w:val="left"/>
        <w:rPr>
          <w:rFonts w:hint="eastAsia" w:ascii="仿宋" w:hAnsi="仿宋" w:eastAsia="仿宋" w:cs="仿宋"/>
          <w:b w:val="0"/>
          <w:bCs w:val="0"/>
          <w:kern w:val="0"/>
          <w:sz w:val="32"/>
          <w:szCs w:val="32"/>
          <w:lang w:val="en-US" w:eastAsia="zh-CN"/>
        </w:rPr>
      </w:pPr>
      <w:r>
        <w:rPr>
          <w:rFonts w:hint="eastAsia" w:ascii="仿宋" w:hAnsi="仿宋" w:eastAsia="仿宋" w:cs="仿宋"/>
          <w:b w:val="0"/>
          <w:bCs w:val="0"/>
          <w:kern w:val="0"/>
          <w:sz w:val="32"/>
          <w:szCs w:val="32"/>
          <w:lang w:val="en-US" w:eastAsia="zh-CN"/>
        </w:rPr>
        <w:t xml:space="preserve"> 本部门未开展决算中项目绩效自评工作。</w:t>
      </w:r>
    </w:p>
    <w:p w14:paraId="031B51AA">
      <w:pPr>
        <w:widowControl/>
        <w:spacing w:line="600" w:lineRule="exact"/>
        <w:ind w:firstLine="640"/>
        <w:jc w:val="center"/>
        <w:rPr>
          <w:rFonts w:hint="eastAsia" w:ascii="黑体" w:hAnsi="黑体" w:eastAsia="黑体" w:cs="黑体"/>
          <w:b/>
          <w:bCs/>
          <w:sz w:val="32"/>
          <w:szCs w:val="32"/>
        </w:rPr>
      </w:pPr>
      <w:r>
        <w:rPr>
          <w:rFonts w:ascii="仿宋_GB2312" w:hAnsi="仿宋_GB2312" w:eastAsia="仿宋_GB2312" w:cs="仿宋_GB2312"/>
          <w:b/>
          <w:bCs/>
          <w:kern w:val="0"/>
          <w:sz w:val="32"/>
          <w:szCs w:val="32"/>
        </w:rPr>
        <w:t xml:space="preserve">   </w:t>
      </w:r>
      <w:r>
        <w:rPr>
          <w:rFonts w:hint="eastAsia" w:ascii="黑体" w:hAnsi="黑体" w:eastAsia="黑体" w:cs="黑体"/>
          <w:b/>
          <w:bCs/>
          <w:sz w:val="32"/>
          <w:szCs w:val="32"/>
        </w:rPr>
        <w:t>第四部分</w:t>
      </w:r>
      <w:r>
        <w:rPr>
          <w:rFonts w:ascii="黑体" w:hAnsi="黑体" w:eastAsia="黑体" w:cs="黑体"/>
          <w:b/>
          <w:bCs/>
          <w:sz w:val="32"/>
          <w:szCs w:val="32"/>
        </w:rPr>
        <w:t xml:space="preserve">  </w:t>
      </w:r>
      <w:r>
        <w:rPr>
          <w:rFonts w:hint="eastAsia" w:ascii="黑体" w:hAnsi="黑体" w:eastAsia="黑体" w:cs="黑体"/>
          <w:b/>
          <w:bCs/>
          <w:sz w:val="32"/>
          <w:szCs w:val="32"/>
        </w:rPr>
        <w:t>名词解释</w:t>
      </w:r>
    </w:p>
    <w:p w14:paraId="5C0A3165">
      <w:pPr>
        <w:widowControl/>
        <w:spacing w:line="600" w:lineRule="exact"/>
        <w:ind w:firstLine="640"/>
        <w:jc w:val="center"/>
        <w:rPr>
          <w:rFonts w:hint="eastAsia" w:ascii="仿宋" w:hAnsi="仿宋" w:eastAsia="仿宋" w:cs="仿宋"/>
          <w:sz w:val="10"/>
          <w:szCs w:val="10"/>
        </w:rPr>
      </w:pPr>
    </w:p>
    <w:p w14:paraId="34F68708">
      <w:pPr>
        <w:widowControl/>
        <w:shd w:val="clear" w:color="auto" w:fill="FFFFFF"/>
        <w:spacing w:line="400" w:lineRule="exact"/>
        <w:ind w:firstLine="640" w:firstLineChars="20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对部门决算中涉及的收入科目、支出功能分类科目（明细到项级），结合部门实际，参照《201</w:t>
      </w:r>
      <w:r>
        <w:rPr>
          <w:rFonts w:hint="eastAsia" w:ascii="仿宋" w:hAnsi="仿宋" w:eastAsia="仿宋" w:cs="仿宋"/>
          <w:color w:val="333333"/>
          <w:kern w:val="0"/>
          <w:sz w:val="32"/>
          <w:szCs w:val="32"/>
          <w:lang w:val="en-US" w:eastAsia="zh-CN"/>
        </w:rPr>
        <w:t>9</w:t>
      </w:r>
      <w:r>
        <w:rPr>
          <w:rFonts w:hint="eastAsia" w:ascii="仿宋" w:hAnsi="仿宋" w:eastAsia="仿宋" w:cs="仿宋"/>
          <w:color w:val="333333"/>
          <w:kern w:val="0"/>
          <w:sz w:val="32"/>
          <w:szCs w:val="32"/>
        </w:rPr>
        <w:t>年政府收支分类科目》的规范说明进行解释。</w:t>
      </w:r>
    </w:p>
    <w:p w14:paraId="4450EC5A">
      <w:pPr>
        <w:widowControl/>
        <w:shd w:val="clear" w:color="auto" w:fill="FFFFFF"/>
        <w:spacing w:line="400" w:lineRule="exact"/>
        <w:ind w:firstLine="640" w:firstLineChars="20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（一）财政拨款：指市级财政当年拨付的资金。</w:t>
      </w:r>
    </w:p>
    <w:p w14:paraId="49D6D213">
      <w:pPr>
        <w:widowControl/>
        <w:shd w:val="clear" w:color="auto" w:fill="FFFFFF"/>
        <w:spacing w:line="400" w:lineRule="exact"/>
        <w:ind w:firstLine="640" w:firstLineChars="20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（二）事业收入：指事业单位开展专业业务活动及辅助活动取得的收入。</w:t>
      </w:r>
    </w:p>
    <w:p w14:paraId="320FDBB2">
      <w:pPr>
        <w:widowControl/>
        <w:shd w:val="clear" w:color="auto" w:fill="FFFFFF"/>
        <w:spacing w:line="400" w:lineRule="exact"/>
        <w:ind w:firstLine="640" w:firstLineChars="20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（三）行政运行：反映行政单位（包括参公单位）的基本支出。</w:t>
      </w:r>
    </w:p>
    <w:p w14:paraId="3D072236">
      <w:pPr>
        <w:widowControl/>
        <w:shd w:val="clear" w:color="auto" w:fill="FFFFFF"/>
        <w:spacing w:line="400" w:lineRule="exact"/>
        <w:ind w:firstLine="640" w:firstLineChars="20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（四）</w:t>
      </w:r>
      <w:bookmarkStart w:id="0" w:name="_GoBack"/>
      <w:r>
        <w:rPr>
          <w:rFonts w:hint="eastAsia" w:ascii="仿宋" w:hAnsi="仿宋" w:eastAsia="仿宋" w:cs="仿宋"/>
          <w:color w:val="333333"/>
          <w:kern w:val="0"/>
          <w:sz w:val="32"/>
          <w:szCs w:val="32"/>
          <w:lang w:eastAsia="zh-CN"/>
        </w:rPr>
        <w:t>“三公”经费</w:t>
      </w:r>
      <w:bookmarkEnd w:id="0"/>
      <w:r>
        <w:rPr>
          <w:rFonts w:hint="eastAsia" w:ascii="仿宋" w:hAnsi="仿宋" w:eastAsia="仿宋" w:cs="仿宋"/>
          <w:color w:val="333333"/>
          <w:kern w:val="0"/>
          <w:sz w:val="32"/>
          <w:szCs w:val="32"/>
        </w:rPr>
        <w:t>：反映财政拨款安排的因公出国（境）费、公务用车购置及运行费和公务接待费。其中，因公出国（境）费反映单位公务出国（境）的国际旅费、国外城市交通费、住宿费、伙食费、培训费、公杂费等支出；公务用车购置及运行费反映单位公务车辆购置支出（含车辆购置税）及租用费、燃料费、维修费、过桥过路费、保险费、安全奖励费用等支出；公务接待费反映单位按规定开支的各类公务接待（含外宾接待）支出。</w:t>
      </w:r>
    </w:p>
    <w:p w14:paraId="243C052A">
      <w:pPr>
        <w:widowControl/>
        <w:shd w:val="clear" w:color="auto" w:fill="FFFFFF"/>
        <w:spacing w:line="400" w:lineRule="exact"/>
        <w:ind w:firstLine="640" w:firstLineChars="20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五）机关运行经费：为保障行政单位（含参照公务员法管理的事业单位）运行用于购买货物和服务的各项资金，包括办公及印刷费、邮电费、差旅费、会议费、福利费、日常维修费、专用材料及一般购置费、办公用房水电费、办公用房取暖费、办公用房物业管理费及其他费用。</w:t>
      </w:r>
    </w:p>
    <w:p w14:paraId="599EEFAD">
      <w:pPr>
        <w:spacing w:line="560" w:lineRule="exact"/>
        <w:ind w:firstLine="630"/>
        <w:jc w:val="left"/>
        <w:rPr>
          <w:rFonts w:hint="eastAsia" w:ascii="仿宋" w:hAnsi="仿宋" w:eastAsia="仿宋" w:cs="仿宋"/>
          <w:sz w:val="30"/>
          <w:szCs w:val="30"/>
        </w:rPr>
      </w:pPr>
    </w:p>
    <w:p w14:paraId="23C1394C">
      <w:pPr>
        <w:spacing w:line="560" w:lineRule="exact"/>
        <w:rPr>
          <w:rFonts w:hint="eastAsia" w:ascii="仿宋" w:hAnsi="仿宋" w:eastAsia="仿宋" w:cs="仿宋"/>
        </w:rPr>
      </w:pPr>
    </w:p>
    <w:sectPr>
      <w:footerReference r:id="rId3" w:type="default"/>
      <w:pgSz w:w="11906" w:h="16838"/>
      <w:pgMar w:top="1440" w:right="1519" w:bottom="1440" w:left="1519"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97E131F-59BB-403E-B1A0-E804E614B40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BDBEF32-BBD0-440A-8D54-ACB38B78BC68}"/>
  </w:font>
  <w:font w:name="仿宋">
    <w:panose1 w:val="02010609060101010101"/>
    <w:charset w:val="86"/>
    <w:family w:val="auto"/>
    <w:pitch w:val="default"/>
    <w:sig w:usb0="800002BF" w:usb1="38CF7CFA" w:usb2="00000016" w:usb3="00000000" w:csb0="00040001" w:csb1="00000000"/>
    <w:embedRegular r:id="rId3" w:fontKey="{455F34E7-3913-4B59-A24B-F2D7561960A9}"/>
  </w:font>
  <w:font w:name="方正公文小标宋">
    <w:panose1 w:val="02000500000000000000"/>
    <w:charset w:val="86"/>
    <w:family w:val="auto"/>
    <w:pitch w:val="default"/>
    <w:sig w:usb0="A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embedRegular r:id="rId4" w:fontKey="{311313C2-37DE-4AB5-8F98-47DE469672A9}"/>
  </w:font>
  <w:font w:name="方正大标宋简体">
    <w:panose1 w:val="02000000000000000000"/>
    <w:charset w:val="86"/>
    <w:family w:val="auto"/>
    <w:pitch w:val="default"/>
    <w:sig w:usb0="00000001" w:usb1="080E0000" w:usb2="00000000" w:usb3="00000000" w:csb0="00040000" w:csb1="00000000"/>
    <w:embedRegular r:id="rId5" w:fontKey="{6427CACD-587F-4F97-B41F-6521A287584A}"/>
  </w:font>
  <w:font w:name="仿宋_GB2312">
    <w:altName w:val="仿宋"/>
    <w:panose1 w:val="02010609030101010101"/>
    <w:charset w:val="86"/>
    <w:family w:val="modern"/>
    <w:pitch w:val="default"/>
    <w:sig w:usb0="00000000" w:usb1="00000000" w:usb2="00000010" w:usb3="00000000" w:csb0="00040000" w:csb1="00000000"/>
    <w:embedRegular r:id="rId6" w:fontKey="{F5197850-B073-4B30-85B2-A71D4E34ED7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E6DE4">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12</w:t>
    </w:r>
    <w:r>
      <w:rPr>
        <w:rStyle w:val="6"/>
      </w:rPr>
      <w:fldChar w:fldCharType="end"/>
    </w:r>
  </w:p>
  <w:p w14:paraId="2FEC0DB0">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70615A"/>
    <w:multiLevelType w:val="singleLevel"/>
    <w:tmpl w:val="E470615A"/>
    <w:lvl w:ilvl="0" w:tentative="0">
      <w:start w:val="1"/>
      <w:numFmt w:val="chineseCounting"/>
      <w:suff w:val="nothing"/>
      <w:lvlText w:val="（%1）"/>
      <w:lvlJc w:val="left"/>
      <w:rPr>
        <w:rFonts w:hint="eastAsia"/>
      </w:rPr>
    </w:lvl>
  </w:abstractNum>
  <w:abstractNum w:abstractNumId="1">
    <w:nsid w:val="FBF7ED3A"/>
    <w:multiLevelType w:val="singleLevel"/>
    <w:tmpl w:val="FBF7ED3A"/>
    <w:lvl w:ilvl="0" w:tentative="0">
      <w:start w:val="1"/>
      <w:numFmt w:val="chineseCounting"/>
      <w:suff w:val="nothing"/>
      <w:lvlText w:val="（%1）"/>
      <w:lvlJc w:val="left"/>
      <w:rPr>
        <w:rFonts w:hint="eastAsia"/>
      </w:rPr>
    </w:lvl>
  </w:abstractNum>
  <w:abstractNum w:abstractNumId="2">
    <w:nsid w:val="22F4E4C1"/>
    <w:multiLevelType w:val="singleLevel"/>
    <w:tmpl w:val="22F4E4C1"/>
    <w:lvl w:ilvl="0" w:tentative="0">
      <w:start w:val="9"/>
      <w:numFmt w:val="chineseCounting"/>
      <w:suff w:val="nothing"/>
      <w:lvlText w:val="%1、"/>
      <w:lvlJc w:val="left"/>
      <w:rPr>
        <w:rFonts w:hint="eastAsia"/>
      </w:rPr>
    </w:lvl>
  </w:abstractNum>
  <w:abstractNum w:abstractNumId="3">
    <w:nsid w:val="4E593200"/>
    <w:multiLevelType w:val="singleLevel"/>
    <w:tmpl w:val="4E593200"/>
    <w:lvl w:ilvl="0" w:tentative="0">
      <w:start w:val="1"/>
      <w:numFmt w:val="chineseCounting"/>
      <w:suff w:val="space"/>
      <w:lvlText w:val="第%1部分"/>
      <w:lvlJc w:val="left"/>
      <w:rPr>
        <w:rFonts w:hint="eastAsia"/>
      </w:rPr>
    </w:lvl>
  </w:abstractNum>
  <w:abstractNum w:abstractNumId="4">
    <w:nsid w:val="6FB9566A"/>
    <w:multiLevelType w:val="singleLevel"/>
    <w:tmpl w:val="6FB9566A"/>
    <w:lvl w:ilvl="0" w:tentative="0">
      <w:start w:val="1"/>
      <w:numFmt w:val="chineseCounting"/>
      <w:suff w:val="nothing"/>
      <w:lvlText w:val="（%1）"/>
      <w:lvlJc w:val="left"/>
      <w:rPr>
        <w:rFonts w:hint="eastAsia"/>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9DD"/>
    <w:rsid w:val="002C526D"/>
    <w:rsid w:val="00487D11"/>
    <w:rsid w:val="00562B10"/>
    <w:rsid w:val="00951DC7"/>
    <w:rsid w:val="00A6101F"/>
    <w:rsid w:val="00C6247D"/>
    <w:rsid w:val="00D3707B"/>
    <w:rsid w:val="00DE7B48"/>
    <w:rsid w:val="00F369DD"/>
    <w:rsid w:val="00F5165F"/>
    <w:rsid w:val="00F76C24"/>
    <w:rsid w:val="013B3EC4"/>
    <w:rsid w:val="044024ED"/>
    <w:rsid w:val="0531377F"/>
    <w:rsid w:val="0DA31DD1"/>
    <w:rsid w:val="0E13271D"/>
    <w:rsid w:val="1631013A"/>
    <w:rsid w:val="1DBB0E35"/>
    <w:rsid w:val="31B44405"/>
    <w:rsid w:val="33AB1D4A"/>
    <w:rsid w:val="3AA93ED6"/>
    <w:rsid w:val="44E0240C"/>
    <w:rsid w:val="47637E85"/>
    <w:rsid w:val="492A0983"/>
    <w:rsid w:val="494D2B64"/>
    <w:rsid w:val="4BD733D2"/>
    <w:rsid w:val="4C861288"/>
    <w:rsid w:val="4CB0115F"/>
    <w:rsid w:val="4F817559"/>
    <w:rsid w:val="4F9D7318"/>
    <w:rsid w:val="57661723"/>
    <w:rsid w:val="5F8F7046"/>
    <w:rsid w:val="60430078"/>
    <w:rsid w:val="6C6F0E55"/>
    <w:rsid w:val="6E2266E5"/>
    <w:rsid w:val="79456191"/>
    <w:rsid w:val="7A530A56"/>
    <w:rsid w:val="7C8004D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99"/>
  </w:style>
  <w:style w:type="paragraph" w:customStyle="1" w:styleId="7">
    <w:name w:val="p0"/>
    <w:basedOn w:val="1"/>
    <w:qFormat/>
    <w:uiPriority w:val="99"/>
    <w:pPr>
      <w:widowControl/>
    </w:pPr>
    <w:rPr>
      <w:kern w:val="0"/>
    </w:rPr>
  </w:style>
  <w:style w:type="character" w:customStyle="1" w:styleId="8">
    <w:name w:val="Footer Char"/>
    <w:basedOn w:val="5"/>
    <w:link w:val="2"/>
    <w:semiHidden/>
    <w:qFormat/>
    <w:locked/>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微软中国</Company>
  <Pages>15</Pages>
  <Words>235</Words>
  <Characters>244</Characters>
  <Lines>0</Lines>
  <Paragraphs>0</Paragraphs>
  <TotalTime>32</TotalTime>
  <ScaleCrop>false</ScaleCrop>
  <LinksUpToDate>false</LinksUpToDate>
  <CharactersWithSpaces>294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2018-09-21T08:10:00Z</dcterms:created>
  <dc:creator>qingshuiban</dc:creator>
  <cp:lastModifiedBy>宁</cp:lastModifiedBy>
  <cp:lastPrinted>2020-10-13T02:11:00Z</cp:lastPrinted>
  <dcterms:modified xsi:type="dcterms:W3CDTF">2026-10-09T11:43:17Z</dcterms:modified>
  <dc:title>附件1：</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eyJoZGlkIjoiNWQ1M2Q0YmNlYjg4MTM2NTYxNWNiYzhjYmM5M2M1MTciLCJ1c2VySWQiOiIyNTczODA2MDAifQ==</vt:lpwstr>
  </property>
  <property fmtid="{D5CDD505-2E9C-101B-9397-08002B2CF9AE}" pid="4" name="ICV">
    <vt:lpwstr>AD064999FBEC4D398ED3632BFF4DCE3C_12</vt:lpwstr>
  </property>
</Properties>
</file>