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7" w:line="219" w:lineRule="auto"/>
        <w:jc w:val="center"/>
        <w:rPr>
          <w:rFonts w:ascii="宋体" w:hAnsi="宋体" w:eastAsia="宋体" w:cs="宋体"/>
          <w:spacing w:val="-1"/>
          <w:sz w:val="44"/>
          <w:szCs w:val="44"/>
        </w:rPr>
      </w:pPr>
      <w:r>
        <w:rPr>
          <w:rFonts w:hint="eastAsia" w:ascii="宋体" w:hAnsi="宋体" w:cs="宋体"/>
          <w:spacing w:val="-1"/>
          <w:sz w:val="44"/>
          <w:szCs w:val="44"/>
        </w:rPr>
        <w:t>浮梁县“</w:t>
      </w:r>
      <w:r>
        <w:rPr>
          <w:rFonts w:ascii="宋体" w:hAnsi="宋体" w:eastAsia="宋体" w:cs="宋体"/>
          <w:spacing w:val="-1"/>
          <w:sz w:val="44"/>
          <w:szCs w:val="44"/>
        </w:rPr>
        <w:t>十四五</w:t>
      </w:r>
      <w:r>
        <w:rPr>
          <w:rFonts w:hint="eastAsia" w:ascii="宋体" w:hAnsi="宋体" w:cs="宋体"/>
          <w:spacing w:val="-1"/>
          <w:sz w:val="44"/>
          <w:szCs w:val="44"/>
        </w:rPr>
        <w:t>”</w:t>
      </w:r>
      <w:r>
        <w:rPr>
          <w:rFonts w:ascii="宋体" w:hAnsi="宋体" w:eastAsia="宋体" w:cs="宋体"/>
          <w:spacing w:val="-1"/>
          <w:sz w:val="44"/>
          <w:szCs w:val="44"/>
        </w:rPr>
        <w:t>教育事业发展规划</w:t>
      </w:r>
    </w:p>
    <w:p>
      <w:pPr>
        <w:spacing w:before="127" w:line="219" w:lineRule="auto"/>
        <w:jc w:val="center"/>
        <w:rPr>
          <w:rFonts w:hint="eastAsia" w:ascii="宋体" w:hAnsi="宋体" w:eastAsia="宋体" w:cs="宋体"/>
          <w:sz w:val="44"/>
          <w:szCs w:val="44"/>
          <w:lang w:eastAsia="zh-CN"/>
        </w:rPr>
      </w:pPr>
      <w:r>
        <w:rPr>
          <w:rFonts w:hint="eastAsia" w:ascii="宋体" w:hAnsi="宋体" w:eastAsia="宋体" w:cs="宋体"/>
          <w:spacing w:val="-1"/>
          <w:sz w:val="44"/>
          <w:szCs w:val="44"/>
          <w:lang w:eastAsia="zh-CN"/>
        </w:rPr>
        <w:t>（征求意见稿）</w:t>
      </w:r>
    </w:p>
    <w:p>
      <w:pPr>
        <w:adjustRightInd/>
        <w:snapToGrid/>
        <w:spacing w:line="520" w:lineRule="exact"/>
        <w:jc w:val="center"/>
        <w:rPr>
          <w:rFonts w:ascii="仿宋" w:hAnsi="仿宋" w:eastAsia="仿宋" w:cs="仿宋"/>
          <w:spacing w:val="23"/>
          <w:sz w:val="28"/>
          <w:szCs w:val="32"/>
        </w:rPr>
      </w:pPr>
      <w:bookmarkStart w:id="3" w:name="_GoBack"/>
      <w:bookmarkEnd w:id="3"/>
    </w:p>
    <w:p>
      <w:pPr>
        <w:adjustRightInd/>
        <w:snapToGrid/>
        <w:spacing w:line="520" w:lineRule="exact"/>
        <w:ind w:firstLine="732" w:firstLineChars="200"/>
        <w:jc w:val="both"/>
        <w:rPr>
          <w:rFonts w:ascii="仿宋" w:hAnsi="仿宋" w:eastAsia="仿宋" w:cs="仿宋"/>
          <w:spacing w:val="-7"/>
          <w:sz w:val="32"/>
          <w:szCs w:val="32"/>
        </w:rPr>
      </w:pPr>
      <w:r>
        <w:rPr>
          <w:rFonts w:hint="eastAsia" w:ascii="仿宋" w:hAnsi="仿宋" w:eastAsia="仿宋" w:cs="仿宋"/>
          <w:spacing w:val="23"/>
          <w:sz w:val="32"/>
          <w:szCs w:val="32"/>
        </w:rPr>
        <w:t>为</w:t>
      </w:r>
      <w:r>
        <w:rPr>
          <w:rFonts w:hint="eastAsia" w:ascii="仿宋" w:hAnsi="仿宋" w:eastAsia="仿宋" w:cs="仿宋"/>
          <w:spacing w:val="15"/>
          <w:sz w:val="32"/>
          <w:szCs w:val="32"/>
        </w:rPr>
        <w:t>深入贯彻落实党的十九大</w:t>
      </w:r>
      <w:r>
        <w:rPr>
          <w:rFonts w:hint="eastAsia" w:ascii="仿宋" w:hAnsi="仿宋" w:eastAsia="仿宋" w:cs="仿宋"/>
          <w:spacing w:val="15"/>
          <w:sz w:val="32"/>
          <w:szCs w:val="32"/>
          <w:lang w:val="en-US" w:eastAsia="zh-CN"/>
        </w:rPr>
        <w:t>和二十大</w:t>
      </w:r>
      <w:r>
        <w:rPr>
          <w:rFonts w:hint="eastAsia" w:ascii="仿宋" w:hAnsi="仿宋" w:eastAsia="仿宋" w:cs="仿宋"/>
          <w:spacing w:val="15"/>
          <w:sz w:val="32"/>
          <w:szCs w:val="32"/>
        </w:rPr>
        <w:t>全会精神，全面落实习近平总书记关于教育重要论述精神和全国教育大会精神，加快推进浮梁县教育现代化，推动教育事业高质量发展，让人民更加满意，根据《中国教育现代化2035》《江西省“十四五”教育事业发展规划》和《景德镇市国民经济和社会发展第十四个五年规划和二〇三五年远景目标纲要》</w:t>
      </w:r>
      <w:r>
        <w:rPr>
          <w:rFonts w:hint="eastAsia" w:ascii="仿宋" w:hAnsi="仿宋" w:eastAsia="仿宋" w:cs="仿宋"/>
          <w:spacing w:val="-7"/>
          <w:sz w:val="32"/>
          <w:szCs w:val="32"/>
        </w:rPr>
        <w:t>，结合我县实际，制定本规划。</w:t>
      </w:r>
    </w:p>
    <w:p>
      <w:pPr>
        <w:adjustRightInd/>
        <w:snapToGrid/>
        <w:spacing w:line="520" w:lineRule="exact"/>
        <w:ind w:firstLine="612" w:firstLineChars="200"/>
        <w:jc w:val="both"/>
        <w:rPr>
          <w:rFonts w:ascii="仿宋" w:hAnsi="仿宋" w:eastAsia="仿宋" w:cs="仿宋"/>
          <w:sz w:val="32"/>
          <w:szCs w:val="32"/>
        </w:rPr>
      </w:pPr>
      <w:r>
        <w:rPr>
          <w:rFonts w:hint="eastAsia" w:ascii="仿宋" w:hAnsi="仿宋" w:eastAsia="仿宋" w:cs="仿宋"/>
          <w:spacing w:val="-7"/>
          <w:sz w:val="32"/>
          <w:szCs w:val="32"/>
        </w:rPr>
        <w:t>一、</w:t>
      </w:r>
      <w:r>
        <w:rPr>
          <w:rFonts w:hint="eastAsia" w:ascii="仿宋" w:hAnsi="仿宋" w:eastAsia="仿宋" w:cs="仿宋"/>
          <w:spacing w:val="-21"/>
          <w:sz w:val="32"/>
          <w:szCs w:val="32"/>
        </w:rPr>
        <w:t>发展基础</w:t>
      </w:r>
    </w:p>
    <w:p>
      <w:pPr>
        <w:adjustRightInd/>
        <w:snapToGrid/>
        <w:spacing w:line="520" w:lineRule="exact"/>
        <w:ind w:firstLine="636" w:firstLineChars="200"/>
        <w:jc w:val="both"/>
        <w:rPr>
          <w:rFonts w:ascii="仿宋" w:hAnsi="仿宋" w:eastAsia="仿宋" w:cs="仿宋"/>
          <w:sz w:val="32"/>
          <w:szCs w:val="32"/>
        </w:rPr>
      </w:pPr>
      <w:r>
        <w:rPr>
          <w:rFonts w:hint="eastAsia" w:ascii="仿宋" w:hAnsi="仿宋" w:eastAsia="仿宋" w:cs="仿宋"/>
          <w:spacing w:val="-1"/>
          <w:sz w:val="32"/>
          <w:szCs w:val="32"/>
        </w:rPr>
        <w:t>(一)发展</w:t>
      </w:r>
      <w:r>
        <w:rPr>
          <w:rFonts w:hint="eastAsia" w:ascii="仿宋" w:hAnsi="仿宋" w:eastAsia="仿宋" w:cs="仿宋"/>
          <w:sz w:val="32"/>
          <w:szCs w:val="32"/>
        </w:rPr>
        <w:t>成就</w:t>
      </w:r>
    </w:p>
    <w:p>
      <w:pPr>
        <w:adjustRightInd/>
        <w:snapToGrid/>
        <w:spacing w:line="520" w:lineRule="exact"/>
        <w:ind w:firstLine="584" w:firstLineChars="200"/>
        <w:jc w:val="both"/>
        <w:rPr>
          <w:rFonts w:ascii="仿宋" w:hAnsi="仿宋" w:eastAsia="仿宋" w:cs="仿宋"/>
          <w:spacing w:val="-9"/>
          <w:sz w:val="32"/>
          <w:szCs w:val="32"/>
        </w:rPr>
      </w:pPr>
      <w:r>
        <w:rPr>
          <w:rFonts w:hint="eastAsia" w:ascii="仿宋" w:hAnsi="仿宋" w:eastAsia="仿宋" w:cs="仿宋"/>
          <w:spacing w:val="-14"/>
          <w:sz w:val="32"/>
          <w:szCs w:val="32"/>
        </w:rPr>
        <w:t>“</w:t>
      </w:r>
      <w:r>
        <w:rPr>
          <w:rFonts w:hint="eastAsia" w:ascii="仿宋" w:hAnsi="仿宋" w:eastAsia="仿宋" w:cs="仿宋"/>
          <w:spacing w:val="-8"/>
          <w:sz w:val="32"/>
          <w:szCs w:val="32"/>
        </w:rPr>
        <w:t>十三五”时期，在以习近平同志为核心的党中央坚强领导下，</w:t>
      </w:r>
      <w:r>
        <w:rPr>
          <w:rFonts w:hint="eastAsia" w:ascii="仿宋" w:hAnsi="仿宋" w:eastAsia="仿宋" w:cs="仿宋"/>
          <w:sz w:val="32"/>
          <w:szCs w:val="32"/>
        </w:rPr>
        <w:t xml:space="preserve"> </w:t>
      </w:r>
      <w:r>
        <w:rPr>
          <w:rFonts w:hint="eastAsia" w:ascii="仿宋" w:hAnsi="仿宋" w:eastAsia="仿宋" w:cs="仿宋"/>
          <w:spacing w:val="-14"/>
          <w:sz w:val="32"/>
          <w:szCs w:val="32"/>
        </w:rPr>
        <w:t>县</w:t>
      </w:r>
      <w:r>
        <w:rPr>
          <w:rFonts w:hint="eastAsia" w:ascii="仿宋" w:hAnsi="仿宋" w:eastAsia="仿宋" w:cs="仿宋"/>
          <w:spacing w:val="-11"/>
          <w:sz w:val="32"/>
          <w:szCs w:val="32"/>
        </w:rPr>
        <w:t>委</w:t>
      </w:r>
      <w:r>
        <w:rPr>
          <w:rFonts w:hint="eastAsia" w:ascii="仿宋" w:hAnsi="仿宋" w:eastAsia="仿宋" w:cs="仿宋"/>
          <w:spacing w:val="-7"/>
          <w:sz w:val="32"/>
          <w:szCs w:val="32"/>
        </w:rPr>
        <w:t>、县政府团结带领全县人民，以习近平新时代中国特色社会主</w:t>
      </w:r>
      <w:r>
        <w:rPr>
          <w:rFonts w:hint="eastAsia" w:ascii="仿宋" w:hAnsi="仿宋" w:eastAsia="仿宋" w:cs="仿宋"/>
          <w:sz w:val="32"/>
          <w:szCs w:val="32"/>
        </w:rPr>
        <w:t xml:space="preserve"> </w:t>
      </w:r>
      <w:r>
        <w:rPr>
          <w:rFonts w:hint="eastAsia" w:ascii="仿宋" w:hAnsi="仿宋" w:eastAsia="仿宋" w:cs="仿宋"/>
          <w:spacing w:val="-11"/>
          <w:sz w:val="32"/>
          <w:szCs w:val="32"/>
        </w:rPr>
        <w:t>义</w:t>
      </w:r>
      <w:r>
        <w:rPr>
          <w:rFonts w:hint="eastAsia" w:ascii="仿宋" w:hAnsi="仿宋" w:eastAsia="仿宋" w:cs="仿宋"/>
          <w:spacing w:val="-9"/>
          <w:sz w:val="32"/>
          <w:szCs w:val="32"/>
        </w:rPr>
        <w:t>思想为指导，认真贯彻党的教育方针，深入实施教育强县战略，坚持把教育摆在加快经济社会发展的基础性、先导性和战略性地位，优先保障、优先投入、优先发展，全力推动教育事业高质量发展，各项规划指标达到预期目标，为“十四五”发展打下了坚实基础。</w:t>
      </w:r>
    </w:p>
    <w:p>
      <w:pPr>
        <w:adjustRightInd/>
        <w:snapToGrid/>
        <w:spacing w:line="520" w:lineRule="exact"/>
        <w:ind w:firstLine="700" w:firstLineChars="200"/>
        <w:jc w:val="both"/>
        <w:rPr>
          <w:rFonts w:ascii="仿宋" w:hAnsi="仿宋" w:eastAsia="仿宋" w:cs="仿宋"/>
          <w:spacing w:val="15"/>
          <w:sz w:val="32"/>
          <w:szCs w:val="32"/>
        </w:rPr>
      </w:pPr>
      <w:r>
        <w:rPr>
          <w:rFonts w:hint="eastAsia" w:ascii="仿宋" w:hAnsi="仿宋" w:eastAsia="仿宋" w:cs="仿宋"/>
          <w:spacing w:val="15"/>
          <w:sz w:val="32"/>
          <w:szCs w:val="32"/>
        </w:rPr>
        <w:t>1.各类教育协调发展。学前三年毛入园率达到90%,普惠率达89%，公办在园幼儿占比达50%，学前教育普及普惠安全优质发展得到显著提高;九年义务教育入学率100%,巩固率99.2%，三类残疾儿童少年入学率99.5%，2017年县域义务教育基本均衡发展工作通过国家评估认定。高中阶段教育在校生增加 18%,高中阶段毛入学率达到 92.6%,高中教育多样化特色化办学稳步推进;县高级职业学校被评为江西省达标中等职业学校；职业教育产教融合走深走实，职业教育创新发展高地正式启动。2018年至2020年，四所高校陆续搬入浮梁，新建了浮梁县第一幼儿园、蛟潭镇中心小学等10所中小学（幼儿园），城区义务教育学位</w:t>
      </w:r>
      <w:r>
        <w:rPr>
          <w:rFonts w:ascii="仿宋" w:hAnsi="仿宋" w:eastAsia="仿宋" w:cs="仿宋"/>
          <w:spacing w:val="15"/>
          <w:sz w:val="32"/>
          <w:szCs w:val="32"/>
        </w:rPr>
        <w:t>增加</w:t>
      </w:r>
      <w:r>
        <w:rPr>
          <w:rFonts w:hint="eastAsia" w:ascii="仿宋" w:hAnsi="仿宋" w:eastAsia="仿宋" w:cs="仿宋"/>
          <w:spacing w:val="15"/>
          <w:sz w:val="32"/>
          <w:szCs w:val="32"/>
        </w:rPr>
        <w:t>4210个，办学空间进一步扩展。</w:t>
      </w:r>
    </w:p>
    <w:p>
      <w:pPr>
        <w:adjustRightInd/>
        <w:snapToGrid/>
        <w:spacing w:line="520" w:lineRule="exact"/>
        <w:ind w:firstLine="640" w:firstLineChars="200"/>
        <w:jc w:val="both"/>
        <w:rPr>
          <w:rFonts w:ascii="仿宋" w:hAnsi="仿宋" w:eastAsia="仿宋" w:cs="仿宋"/>
          <w:spacing w:val="-7"/>
          <w:sz w:val="32"/>
          <w:szCs w:val="32"/>
        </w:rPr>
      </w:pPr>
      <w:r>
        <w:rPr>
          <w:rFonts w:hint="eastAsia" w:ascii="仿宋" w:hAnsi="仿宋" w:eastAsia="仿宋" w:cs="仿宋"/>
          <w:b w:val="0"/>
          <w:bCs w:val="0"/>
          <w:color w:val="auto"/>
          <w:sz w:val="32"/>
          <w:szCs w:val="32"/>
        </w:rPr>
        <w:t>2.立德树人全面落实。</w:t>
      </w:r>
      <w:r>
        <w:rPr>
          <w:rFonts w:hint="eastAsia" w:ascii="仿宋" w:hAnsi="仿宋" w:eastAsia="仿宋" w:cs="仿宋"/>
          <w:color w:val="auto"/>
          <w:sz w:val="32"/>
          <w:szCs w:val="32"/>
        </w:rPr>
        <w:t>坚持把立德树人融入教育事业发展各环节各领域，努力构建德智体美劳全面发展的教育体系。持续举办中小学（幼儿园）艺术节、中小学生田径运动会、暑期各种球类比赛活动。积极开展全县“茶艺进校园”、“足球进校园”等工作。</w:t>
      </w:r>
      <w:r>
        <w:rPr>
          <w:rFonts w:hint="eastAsia" w:ascii="仿宋" w:hAnsi="仿宋" w:eastAsia="仿宋" w:cs="仿宋"/>
          <w:sz w:val="32"/>
          <w:szCs w:val="32"/>
        </w:rPr>
        <w:t>按照一校一品牌，一校一特色的要求，打造富有地域特色的校园文化。</w:t>
      </w:r>
      <w:r>
        <w:rPr>
          <w:rFonts w:hint="eastAsia" w:ascii="仿宋" w:hAnsi="仿宋" w:eastAsia="仿宋" w:cs="仿宋"/>
          <w:sz w:val="32"/>
          <w:szCs w:val="32"/>
          <w:shd w:val="clear" w:color="auto" w:fill="FFFFFF"/>
        </w:rPr>
        <w:t>浮梁二小</w:t>
      </w:r>
      <w:r>
        <w:rPr>
          <w:rFonts w:hint="eastAsia" w:ascii="仿宋" w:hAnsi="仿宋" w:eastAsia="仿宋" w:cs="仿宋"/>
          <w:sz w:val="32"/>
          <w:szCs w:val="32"/>
        </w:rPr>
        <w:t>依托深厚的陶瓷文化底蕴，在校园文化的整体打造上以陶瓷青花为基调，学校大楼、校徽、宣传橱窗、校园指示牌等都装饰以青花纹饰，让孩子在潜移默化中感受本土陶瓷文化；鹅湖中学</w:t>
      </w:r>
      <w:r>
        <w:rPr>
          <w:rFonts w:hint="eastAsia" w:ascii="仿宋" w:hAnsi="仿宋" w:eastAsia="仿宋" w:cs="仿宋"/>
          <w:sz w:val="32"/>
          <w:szCs w:val="32"/>
          <w:shd w:val="clear" w:color="auto" w:fill="FFFFFF"/>
        </w:rPr>
        <w:t>开设了书法、美术、舞蹈、篮球、播音主持以及劳动实践等拓展课程，设立了教师书吧、学生阅览室、书法室；</w:t>
      </w:r>
      <w:r>
        <w:rPr>
          <w:rFonts w:hint="eastAsia" w:ascii="仿宋" w:hAnsi="仿宋" w:eastAsia="仿宋" w:cs="仿宋"/>
          <w:sz w:val="32"/>
          <w:szCs w:val="32"/>
        </w:rPr>
        <w:t>寿安中心学校开展“陶艺教学”“劳动基地教育”并利用学校少年宫开展一系列活动；峙滩学校用心打造独具特色的校史馆。2020年邀请了省语言文字专家黄谦老师及公益朗诵团队开展“诵读文化经典，打造诗意浮梁”进校园活动，举办了3场规模较大的古诗词朗诵分享会，到16所中小学进行了古诗词朗诵公益授课，成立了浮梁县古诗词教师朗诵团和40多个古诗词学生朗诵团。</w:t>
      </w:r>
    </w:p>
    <w:p>
      <w:pPr>
        <w:adjustRightInd/>
        <w:snapToGrid/>
        <w:spacing w:line="520" w:lineRule="exact"/>
        <w:ind w:firstLine="672" w:firstLineChars="200"/>
        <w:jc w:val="both"/>
        <w:rPr>
          <w:rFonts w:ascii="仿宋" w:hAnsi="仿宋" w:eastAsia="仿宋" w:cs="仿宋"/>
          <w:sz w:val="32"/>
          <w:szCs w:val="32"/>
        </w:rPr>
      </w:pPr>
      <w:r>
        <w:rPr>
          <w:rFonts w:hint="eastAsia" w:ascii="仿宋" w:hAnsi="仿宋" w:eastAsia="仿宋" w:cs="仿宋"/>
          <w:spacing w:val="8"/>
          <w:sz w:val="32"/>
          <w:szCs w:val="32"/>
        </w:rPr>
        <w:t>3.教育</w:t>
      </w:r>
      <w:r>
        <w:rPr>
          <w:rFonts w:hint="eastAsia" w:ascii="仿宋" w:hAnsi="仿宋" w:eastAsia="仿宋" w:cs="仿宋"/>
          <w:spacing w:val="5"/>
          <w:sz w:val="32"/>
          <w:szCs w:val="32"/>
        </w:rPr>
        <w:t>保</w:t>
      </w:r>
      <w:r>
        <w:rPr>
          <w:rFonts w:hint="eastAsia" w:ascii="仿宋" w:hAnsi="仿宋" w:eastAsia="仿宋" w:cs="仿宋"/>
          <w:spacing w:val="4"/>
          <w:sz w:val="32"/>
          <w:szCs w:val="32"/>
        </w:rPr>
        <w:t>障显著增强。</w:t>
      </w:r>
      <w:r>
        <w:rPr>
          <w:rFonts w:hint="eastAsia" w:ascii="仿宋" w:hAnsi="仿宋" w:eastAsia="仿宋" w:cs="仿宋"/>
          <w:spacing w:val="4"/>
          <w:sz w:val="32"/>
          <w:szCs w:val="32"/>
          <w:lang w:val="zh-CN"/>
        </w:rPr>
        <w:t>坚持教育发展“四个优先”，组建县党委教育工作领导小组，加强党对教育工作的全面领导，制定出台了一系列打基础、管长远的政策文件，</w:t>
      </w:r>
      <w:r>
        <w:rPr>
          <w:rFonts w:hint="eastAsia" w:ascii="仿宋" w:hAnsi="仿宋" w:eastAsia="仿宋" w:cs="仿宋"/>
          <w:spacing w:val="6"/>
          <w:sz w:val="32"/>
          <w:szCs w:val="32"/>
        </w:rPr>
        <w:t>大力</w:t>
      </w:r>
      <w:r>
        <w:rPr>
          <w:rFonts w:hint="eastAsia" w:ascii="仿宋" w:hAnsi="仿宋" w:eastAsia="仿宋" w:cs="仿宋"/>
          <w:spacing w:val="5"/>
          <w:sz w:val="32"/>
          <w:szCs w:val="32"/>
        </w:rPr>
        <w:t>实</w:t>
      </w:r>
      <w:r>
        <w:rPr>
          <w:rFonts w:hint="eastAsia" w:ascii="仿宋" w:hAnsi="仿宋" w:eastAsia="仿宋" w:cs="仿宋"/>
          <w:spacing w:val="3"/>
          <w:sz w:val="32"/>
          <w:szCs w:val="32"/>
        </w:rPr>
        <w:t>施教育强县战略，坚持教育优先发展战略地位不动摇。严</w:t>
      </w:r>
      <w:r>
        <w:rPr>
          <w:rFonts w:hint="eastAsia" w:ascii="仿宋" w:hAnsi="仿宋" w:eastAsia="仿宋" w:cs="仿宋"/>
          <w:spacing w:val="-14"/>
          <w:sz w:val="32"/>
          <w:szCs w:val="32"/>
        </w:rPr>
        <w:t>格落实</w:t>
      </w:r>
      <w:r>
        <w:rPr>
          <w:rFonts w:hint="eastAsia" w:ascii="仿宋" w:hAnsi="仿宋" w:eastAsia="仿宋" w:cs="仿宋"/>
          <w:spacing w:val="-7"/>
          <w:sz w:val="32"/>
          <w:szCs w:val="32"/>
        </w:rPr>
        <w:t>教育经费法定增长，持续加大财政教</w:t>
      </w:r>
      <w:r>
        <w:rPr>
          <w:rFonts w:hint="eastAsia" w:ascii="仿宋" w:hAnsi="仿宋" w:eastAsia="仿宋" w:cs="仿宋"/>
          <w:color w:val="auto"/>
          <w:spacing w:val="-7"/>
          <w:sz w:val="32"/>
          <w:szCs w:val="32"/>
        </w:rPr>
        <w:t>育投入，2019年、2020年县一般公共财政预算教育支出分别达到42631万元、46104万元，分别比上年增长19.14%、8.15%；2019年、2020年在校生均公共预算教育支出分别为10375元、11873元，分别比上年增长17.44%、14.44%。近两年新建、维修校舍78459平方米，改扩建学校70</w:t>
      </w:r>
      <w:r>
        <w:rPr>
          <w:rFonts w:hint="eastAsia" w:ascii="仿宋" w:hAnsi="仿宋" w:eastAsia="仿宋" w:cs="仿宋"/>
          <w:spacing w:val="-7"/>
          <w:sz w:val="32"/>
          <w:szCs w:val="32"/>
        </w:rPr>
        <w:t>余所。义务教育阶段超大班额全面消除，起始年级大班额问题得到根本改善。</w:t>
      </w:r>
      <w:r>
        <w:rPr>
          <w:rFonts w:hint="eastAsia" w:ascii="仿宋" w:hAnsi="仿宋" w:eastAsia="仿宋" w:cs="仿宋"/>
          <w:spacing w:val="11"/>
          <w:sz w:val="32"/>
          <w:szCs w:val="32"/>
        </w:rPr>
        <w:t>教师补充和培养力度加大，</w:t>
      </w:r>
      <w:r>
        <w:rPr>
          <w:rFonts w:hint="eastAsia" w:ascii="仿宋" w:hAnsi="仿宋" w:eastAsia="仿宋" w:cs="仿宋"/>
          <w:spacing w:val="-1"/>
          <w:sz w:val="32"/>
          <w:szCs w:val="32"/>
        </w:rPr>
        <w:t>招聘补充省招、特岗教师教</w:t>
      </w:r>
      <w:r>
        <w:rPr>
          <w:rFonts w:hint="eastAsia" w:ascii="仿宋" w:hAnsi="仿宋" w:eastAsia="仿宋" w:cs="仿宋"/>
          <w:spacing w:val="-30"/>
          <w:sz w:val="32"/>
          <w:szCs w:val="32"/>
        </w:rPr>
        <w:t>师</w:t>
      </w:r>
      <w:r>
        <w:rPr>
          <w:rFonts w:hint="eastAsia" w:ascii="仿宋" w:hAnsi="仿宋" w:eastAsia="仿宋" w:cs="仿宋"/>
          <w:color w:val="auto"/>
          <w:spacing w:val="-7"/>
          <w:sz w:val="32"/>
          <w:szCs w:val="32"/>
        </w:rPr>
        <w:t>356人（2016年招聘39人，2017年招聘98人，2018年招聘61人，2019年招聘78人，2020年招聘80人 ），合同制幼儿园教师70人(2019年招聘30人，2020年招聘40人），安置回原籍教师79人（2017年安置15人，2018年安置27人，2020年安置36人）。</w:t>
      </w:r>
      <w:r>
        <w:rPr>
          <w:rFonts w:hint="eastAsia" w:ascii="仿宋" w:hAnsi="仿宋" w:eastAsia="仿宋" w:cs="仿宋"/>
          <w:spacing w:val="-15"/>
          <w:sz w:val="32"/>
          <w:szCs w:val="32"/>
        </w:rPr>
        <w:t>培养省、市、县级中小学学科带头人42名，培养省、市、县骨干教师 405名。</w:t>
      </w:r>
    </w:p>
    <w:p>
      <w:pPr>
        <w:adjustRightInd/>
        <w:snapToGrid/>
        <w:spacing w:line="520" w:lineRule="exact"/>
        <w:ind w:firstLine="596" w:firstLineChars="200"/>
        <w:jc w:val="both"/>
        <w:rPr>
          <w:rFonts w:ascii="仿宋" w:hAnsi="仿宋" w:eastAsia="仿宋" w:cs="仿宋"/>
          <w:color w:val="auto"/>
          <w:sz w:val="28"/>
          <w:szCs w:val="28"/>
        </w:rPr>
      </w:pPr>
      <w:r>
        <w:rPr>
          <w:rFonts w:hint="eastAsia" w:ascii="仿宋" w:hAnsi="仿宋" w:eastAsia="仿宋" w:cs="仿宋"/>
          <w:color w:val="auto"/>
          <w:spacing w:val="9"/>
          <w:sz w:val="28"/>
          <w:szCs w:val="28"/>
        </w:rPr>
        <w:t>表</w:t>
      </w:r>
      <w:r>
        <w:rPr>
          <w:rFonts w:hint="eastAsia" w:ascii="仿宋" w:hAnsi="仿宋" w:eastAsia="仿宋" w:cs="仿宋"/>
          <w:color w:val="auto"/>
          <w:spacing w:val="7"/>
          <w:sz w:val="28"/>
          <w:szCs w:val="28"/>
        </w:rPr>
        <w:t>1:浮梁县教育事业发展“十三五”规划主要目标实现情况</w:t>
      </w:r>
    </w:p>
    <w:tbl>
      <w:tblPr>
        <w:tblStyle w:val="13"/>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8"/>
        <w:gridCol w:w="1528"/>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868" w:type="dxa"/>
            <w:tcBorders>
              <w:top w:val="single" w:color="000000" w:sz="2" w:space="0"/>
              <w:bottom w:val="single" w:color="000000" w:sz="2" w:space="0"/>
            </w:tcBorders>
          </w:tcPr>
          <w:p>
            <w:pPr>
              <w:adjustRightInd/>
              <w:snapToGrid/>
              <w:spacing w:line="520" w:lineRule="exact"/>
              <w:ind w:firstLine="544" w:firstLineChars="200"/>
              <w:jc w:val="both"/>
              <w:rPr>
                <w:rFonts w:ascii="仿宋" w:hAnsi="仿宋" w:eastAsia="仿宋" w:cs="仿宋"/>
                <w:color w:val="auto"/>
                <w:sz w:val="24"/>
                <w:szCs w:val="24"/>
              </w:rPr>
            </w:pPr>
            <w:r>
              <w:rPr>
                <w:rFonts w:hint="eastAsia" w:ascii="仿宋" w:hAnsi="仿宋" w:eastAsia="仿宋" w:cs="仿宋"/>
                <w:color w:val="auto"/>
                <w:spacing w:val="16"/>
                <w:sz w:val="24"/>
                <w:szCs w:val="24"/>
              </w:rPr>
              <w:t>指</w:t>
            </w:r>
            <w:r>
              <w:rPr>
                <w:rFonts w:hint="eastAsia" w:ascii="仿宋" w:hAnsi="仿宋" w:eastAsia="仿宋" w:cs="仿宋"/>
                <w:color w:val="auto"/>
                <w:spacing w:val="14"/>
                <w:sz w:val="24"/>
                <w:szCs w:val="24"/>
              </w:rPr>
              <w:t>标</w:t>
            </w:r>
          </w:p>
        </w:tc>
        <w:tc>
          <w:tcPr>
            <w:tcW w:w="1528" w:type="dxa"/>
            <w:tcBorders>
              <w:top w:val="single" w:color="000000" w:sz="2" w:space="0"/>
              <w:bottom w:val="single" w:color="000000" w:sz="2" w:space="0"/>
            </w:tcBorders>
          </w:tcPr>
          <w:p>
            <w:pPr>
              <w:adjustRightInd/>
              <w:snapToGrid/>
              <w:spacing w:line="520" w:lineRule="exact"/>
              <w:jc w:val="center"/>
              <w:rPr>
                <w:rFonts w:ascii="仿宋" w:hAnsi="仿宋" w:eastAsia="仿宋" w:cs="仿宋"/>
                <w:color w:val="auto"/>
                <w:sz w:val="24"/>
                <w:szCs w:val="24"/>
              </w:rPr>
            </w:pPr>
            <w:r>
              <w:rPr>
                <w:rFonts w:hint="eastAsia" w:ascii="仿宋" w:hAnsi="仿宋" w:eastAsia="仿宋" w:cs="仿宋"/>
                <w:color w:val="auto"/>
                <w:spacing w:val="55"/>
                <w:sz w:val="24"/>
                <w:szCs w:val="24"/>
              </w:rPr>
              <w:t>“十三五</w:t>
            </w:r>
            <w:r>
              <w:rPr>
                <w:rFonts w:hint="eastAsia" w:ascii="仿宋" w:hAnsi="仿宋" w:eastAsia="仿宋" w:cs="仿宋"/>
                <w:color w:val="auto"/>
                <w:spacing w:val="54"/>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规划目</w:t>
            </w:r>
            <w:r>
              <w:rPr>
                <w:rFonts w:hint="eastAsia" w:ascii="仿宋" w:hAnsi="仿宋" w:eastAsia="仿宋" w:cs="仿宋"/>
                <w:color w:val="auto"/>
                <w:spacing w:val="2"/>
                <w:sz w:val="24"/>
                <w:szCs w:val="24"/>
              </w:rPr>
              <w:t>标</w:t>
            </w:r>
          </w:p>
        </w:tc>
        <w:tc>
          <w:tcPr>
            <w:tcW w:w="1443" w:type="dxa"/>
            <w:tcBorders>
              <w:top w:val="single" w:color="000000" w:sz="2" w:space="0"/>
              <w:bottom w:val="single" w:color="000000" w:sz="2" w:space="0"/>
            </w:tcBorders>
          </w:tcPr>
          <w:p>
            <w:pPr>
              <w:adjustRightInd/>
              <w:snapToGrid/>
              <w:spacing w:line="520" w:lineRule="exact"/>
              <w:jc w:val="center"/>
              <w:rPr>
                <w:rFonts w:ascii="仿宋" w:hAnsi="仿宋" w:eastAsia="仿宋" w:cs="仿宋"/>
                <w:color w:val="auto"/>
                <w:sz w:val="24"/>
                <w:szCs w:val="24"/>
              </w:rPr>
            </w:pPr>
            <w:r>
              <w:rPr>
                <w:rFonts w:hint="eastAsia" w:ascii="仿宋" w:hAnsi="仿宋" w:eastAsia="仿宋" w:cs="仿宋"/>
                <w:color w:val="auto"/>
                <w:spacing w:val="-3"/>
                <w:sz w:val="24"/>
                <w:szCs w:val="24"/>
              </w:rPr>
              <w:t>2020年</w:t>
            </w:r>
          </w:p>
          <w:p>
            <w:pPr>
              <w:adjustRightInd/>
              <w:snapToGrid/>
              <w:spacing w:line="520" w:lineRule="exact"/>
              <w:jc w:val="center"/>
              <w:rPr>
                <w:rFonts w:ascii="仿宋" w:hAnsi="仿宋" w:eastAsia="仿宋" w:cs="仿宋"/>
                <w:color w:val="auto"/>
                <w:sz w:val="24"/>
                <w:szCs w:val="24"/>
              </w:rPr>
            </w:pPr>
            <w:r>
              <w:rPr>
                <w:rFonts w:hint="eastAsia" w:ascii="仿宋" w:hAnsi="仿宋" w:eastAsia="仿宋" w:cs="仿宋"/>
                <w:color w:val="auto"/>
                <w:spacing w:val="1"/>
                <w:sz w:val="24"/>
                <w:szCs w:val="24"/>
              </w:rPr>
              <w:t>实现情</w:t>
            </w:r>
            <w:r>
              <w:rPr>
                <w:rFonts w:hint="eastAsia" w:ascii="仿宋" w:hAnsi="仿宋" w:eastAsia="仿宋" w:cs="仿宋"/>
                <w:color w:val="auto"/>
                <w:sz w:val="24"/>
                <w:szCs w:val="24"/>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5868"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学前教育</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在园幼儿数(万人)</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毛入园率(%)</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普惠性幼儿园占比(%)</w:t>
            </w:r>
          </w:p>
        </w:tc>
        <w:tc>
          <w:tcPr>
            <w:tcW w:w="1528"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0.8</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85.0</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80.0</w:t>
            </w:r>
          </w:p>
        </w:tc>
        <w:tc>
          <w:tcPr>
            <w:tcW w:w="1443"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0.7647</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89.0</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5868"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九年义务教育</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在校生(万人)</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巩固率(%)</w:t>
            </w:r>
          </w:p>
        </w:tc>
        <w:tc>
          <w:tcPr>
            <w:tcW w:w="1528"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2.56</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95.0</w:t>
            </w:r>
          </w:p>
        </w:tc>
        <w:tc>
          <w:tcPr>
            <w:tcW w:w="1443"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2.58</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5868"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高中阶段教育</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在校生</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其中：中职教育</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毛入学率(%)</w:t>
            </w:r>
          </w:p>
        </w:tc>
        <w:tc>
          <w:tcPr>
            <w:tcW w:w="1528"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5000</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1500</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92.0</w:t>
            </w:r>
          </w:p>
        </w:tc>
        <w:tc>
          <w:tcPr>
            <w:tcW w:w="1443"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5339</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1138</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868"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特殊教育</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在校生(人)</w:t>
            </w:r>
          </w:p>
          <w:p>
            <w:pPr>
              <w:adjustRightInd/>
              <w:snapToGrid/>
              <w:spacing w:line="520" w:lineRule="exact"/>
              <w:ind w:firstLine="496" w:firstLineChars="200"/>
              <w:jc w:val="both"/>
              <w:rPr>
                <w:rFonts w:ascii="仿宋" w:hAnsi="仿宋" w:eastAsia="仿宋" w:cs="仿宋"/>
                <w:spacing w:val="4"/>
                <w:sz w:val="24"/>
                <w:szCs w:val="32"/>
              </w:rPr>
            </w:pPr>
            <w:r>
              <w:rPr>
                <w:rFonts w:hint="eastAsia" w:ascii="仿宋" w:hAnsi="仿宋" w:eastAsia="仿宋" w:cs="仿宋"/>
                <w:spacing w:val="4"/>
                <w:sz w:val="24"/>
                <w:szCs w:val="32"/>
              </w:rPr>
              <w:t>残疾儿童少年义务教育入学率(%)</w:t>
            </w:r>
          </w:p>
        </w:tc>
        <w:tc>
          <w:tcPr>
            <w:tcW w:w="1528" w:type="dxa"/>
            <w:tcBorders>
              <w:top w:val="single" w:color="000000" w:sz="2" w:space="0"/>
              <w:bottom w:val="single" w:color="000000" w:sz="2" w:space="0"/>
            </w:tcBorders>
          </w:tcPr>
          <w:p>
            <w:pPr>
              <w:adjustRightInd/>
              <w:snapToGrid/>
              <w:spacing w:line="520" w:lineRule="exact"/>
              <w:jc w:val="center"/>
              <w:rPr>
                <w:rFonts w:ascii="仿宋" w:hAnsi="仿宋" w:eastAsia="仿宋" w:cs="仿宋"/>
                <w:spacing w:val="4"/>
                <w:sz w:val="24"/>
                <w:szCs w:val="32"/>
              </w:rPr>
            </w:pPr>
          </w:p>
          <w:p>
            <w:pPr>
              <w:adjustRightInd/>
              <w:snapToGrid/>
              <w:spacing w:line="520" w:lineRule="exact"/>
              <w:jc w:val="center"/>
              <w:rPr>
                <w:rFonts w:ascii="仿宋" w:hAnsi="仿宋" w:eastAsia="仿宋" w:cs="仿宋"/>
                <w:spacing w:val="4"/>
                <w:sz w:val="24"/>
                <w:szCs w:val="32"/>
              </w:rPr>
            </w:pPr>
            <w:r>
              <w:rPr>
                <w:rFonts w:hint="eastAsia" w:ascii="仿宋" w:hAnsi="仿宋" w:eastAsia="仿宋" w:cs="仿宋"/>
                <w:spacing w:val="4"/>
                <w:sz w:val="24"/>
                <w:szCs w:val="32"/>
              </w:rPr>
              <w:t>180</w:t>
            </w:r>
          </w:p>
          <w:p>
            <w:pPr>
              <w:adjustRightInd/>
              <w:snapToGrid/>
              <w:spacing w:line="520" w:lineRule="exact"/>
              <w:jc w:val="center"/>
              <w:rPr>
                <w:rFonts w:ascii="仿宋" w:hAnsi="仿宋" w:eastAsia="仿宋" w:cs="仿宋"/>
                <w:spacing w:val="4"/>
                <w:sz w:val="24"/>
                <w:szCs w:val="32"/>
              </w:rPr>
            </w:pPr>
            <w:r>
              <w:rPr>
                <w:rFonts w:hint="eastAsia" w:ascii="仿宋" w:hAnsi="仿宋" w:eastAsia="仿宋" w:cs="仿宋"/>
                <w:spacing w:val="4"/>
                <w:sz w:val="24"/>
                <w:szCs w:val="32"/>
              </w:rPr>
              <w:t>95.0</w:t>
            </w:r>
          </w:p>
        </w:tc>
        <w:tc>
          <w:tcPr>
            <w:tcW w:w="1443" w:type="dxa"/>
            <w:tcBorders>
              <w:top w:val="single" w:color="000000" w:sz="2" w:space="0"/>
              <w:bottom w:val="single" w:color="000000" w:sz="2" w:space="0"/>
            </w:tcBorders>
          </w:tcPr>
          <w:p>
            <w:pPr>
              <w:adjustRightInd/>
              <w:snapToGrid/>
              <w:spacing w:line="520" w:lineRule="exact"/>
              <w:ind w:firstLine="496" w:firstLineChars="200"/>
              <w:jc w:val="center"/>
              <w:rPr>
                <w:rFonts w:ascii="仿宋" w:hAnsi="仿宋" w:eastAsia="仿宋" w:cs="仿宋"/>
                <w:spacing w:val="4"/>
                <w:sz w:val="24"/>
                <w:szCs w:val="32"/>
              </w:rPr>
            </w:pP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185</w:t>
            </w:r>
          </w:p>
          <w:p>
            <w:pPr>
              <w:adjustRightInd/>
              <w:snapToGrid/>
              <w:spacing w:line="520" w:lineRule="exact"/>
              <w:ind w:firstLine="496" w:firstLineChars="200"/>
              <w:jc w:val="center"/>
              <w:rPr>
                <w:rFonts w:ascii="仿宋" w:hAnsi="仿宋" w:eastAsia="仿宋" w:cs="仿宋"/>
                <w:spacing w:val="4"/>
                <w:sz w:val="24"/>
                <w:szCs w:val="32"/>
              </w:rPr>
            </w:pPr>
            <w:r>
              <w:rPr>
                <w:rFonts w:hint="eastAsia" w:ascii="仿宋" w:hAnsi="仿宋" w:eastAsia="仿宋" w:cs="仿宋"/>
                <w:spacing w:val="4"/>
                <w:sz w:val="24"/>
                <w:szCs w:val="32"/>
              </w:rPr>
              <w:t>99.5</w:t>
            </w:r>
          </w:p>
        </w:tc>
      </w:tr>
    </w:tbl>
    <w:p>
      <w:pPr>
        <w:adjustRightInd/>
        <w:snapToGrid/>
        <w:spacing w:line="520" w:lineRule="exact"/>
        <w:ind w:firstLine="624" w:firstLineChars="200"/>
        <w:jc w:val="both"/>
        <w:rPr>
          <w:rFonts w:ascii="仿宋" w:hAnsi="仿宋" w:eastAsia="仿宋" w:cs="仿宋"/>
          <w:spacing w:val="-2"/>
          <w:sz w:val="32"/>
          <w:szCs w:val="32"/>
        </w:rPr>
      </w:pPr>
      <w:r>
        <w:rPr>
          <w:rFonts w:hint="eastAsia" w:ascii="仿宋" w:hAnsi="仿宋" w:eastAsia="仿宋" w:cs="仿宋"/>
          <w:spacing w:val="-4"/>
          <w:sz w:val="32"/>
          <w:szCs w:val="32"/>
        </w:rPr>
        <w:t>(二)</w:t>
      </w:r>
      <w:r>
        <w:rPr>
          <w:rFonts w:hint="eastAsia" w:ascii="仿宋" w:hAnsi="仿宋" w:eastAsia="仿宋" w:cs="仿宋"/>
          <w:spacing w:val="-2"/>
          <w:sz w:val="32"/>
          <w:szCs w:val="32"/>
        </w:rPr>
        <w:t>发展形势</w:t>
      </w:r>
    </w:p>
    <w:p>
      <w:pPr>
        <w:adjustRightInd/>
        <w:snapToGrid/>
        <w:spacing w:line="520" w:lineRule="exact"/>
        <w:ind w:firstLine="632" w:firstLineChars="200"/>
        <w:jc w:val="both"/>
        <w:rPr>
          <w:rFonts w:ascii="仿宋" w:hAnsi="仿宋" w:eastAsia="仿宋" w:cs="仿宋"/>
          <w:spacing w:val="-2"/>
          <w:position w:val="4"/>
          <w:sz w:val="32"/>
          <w:szCs w:val="32"/>
        </w:rPr>
      </w:pPr>
      <w:r>
        <w:rPr>
          <w:rFonts w:hint="eastAsia" w:ascii="仿宋" w:hAnsi="仿宋" w:eastAsia="仿宋" w:cs="仿宋"/>
          <w:spacing w:val="-2"/>
          <w:position w:val="4"/>
          <w:sz w:val="32"/>
          <w:szCs w:val="32"/>
        </w:rPr>
        <w:t>“十四五”时期，是我国“两个一百年”奋斗目标承前启后的历史交汇期，是我国开启全面建设社会主义现代化强国的新征程，教育改革和发展面临的内外部环境发生深刻变化，浮梁教育将迎来发展机遇期。准确把握教育改革发展的新形势、新挑战、新需求，加快推进浮梁教育现代化，为浮梁县经济社会高质量跨越式发展作出更大贡献。</w:t>
      </w:r>
    </w:p>
    <w:p>
      <w:pPr>
        <w:adjustRightInd/>
        <w:snapToGrid/>
        <w:spacing w:line="520" w:lineRule="exact"/>
        <w:ind w:firstLine="632" w:firstLineChars="200"/>
        <w:jc w:val="both"/>
        <w:rPr>
          <w:rFonts w:ascii="仿宋" w:hAnsi="仿宋" w:eastAsia="仿宋" w:cs="仿宋"/>
          <w:spacing w:val="-2"/>
          <w:position w:val="4"/>
          <w:sz w:val="32"/>
          <w:szCs w:val="32"/>
        </w:rPr>
      </w:pPr>
      <w:r>
        <w:rPr>
          <w:rFonts w:hint="eastAsia" w:ascii="仿宋" w:hAnsi="仿宋" w:eastAsia="仿宋" w:cs="仿宋"/>
          <w:spacing w:val="-2"/>
          <w:position w:val="4"/>
          <w:sz w:val="32"/>
          <w:szCs w:val="32"/>
        </w:rPr>
        <w:t>1.与时俱进适应新形势。“十四五”时期，“两个一百年”奋斗目标交汇交融，中华民族伟大复兴战略全局和世界百年未有之大变局相互激荡，教育需要胸怀两个大局，顺应时代和实践发展要求，准确把握这一大背景、大变局、大逻辑，抢抓机遇，以更高的历史站位、更广的教育视野、更深邃的战略眼光，提前布局谋篇，加快推进教育现代化。</w:t>
      </w:r>
      <w:bookmarkStart w:id="0" w:name="_Toc57555093"/>
    </w:p>
    <w:p>
      <w:pPr>
        <w:adjustRightInd/>
        <w:snapToGrid/>
        <w:spacing w:line="520" w:lineRule="exact"/>
        <w:ind w:firstLine="632" w:firstLineChars="200"/>
        <w:jc w:val="both"/>
        <w:rPr>
          <w:rFonts w:ascii="仿宋" w:hAnsi="仿宋" w:eastAsia="仿宋" w:cs="仿宋"/>
          <w:spacing w:val="-2"/>
          <w:position w:val="4"/>
          <w:sz w:val="32"/>
          <w:szCs w:val="32"/>
        </w:rPr>
      </w:pPr>
      <w:r>
        <w:rPr>
          <w:rFonts w:hint="eastAsia" w:ascii="仿宋" w:hAnsi="仿宋" w:eastAsia="仿宋" w:cs="仿宋"/>
          <w:spacing w:val="-2"/>
          <w:position w:val="4"/>
          <w:sz w:val="32"/>
          <w:szCs w:val="32"/>
        </w:rPr>
        <w:t>2.开拓创新应对新挑战</w:t>
      </w:r>
      <w:bookmarkEnd w:id="0"/>
      <w:r>
        <w:rPr>
          <w:rFonts w:hint="eastAsia" w:ascii="仿宋" w:hAnsi="仿宋" w:eastAsia="仿宋" w:cs="仿宋"/>
          <w:spacing w:val="-2"/>
          <w:position w:val="4"/>
          <w:sz w:val="32"/>
          <w:szCs w:val="32"/>
        </w:rPr>
        <w:t>。随着新一轮科技革命和产业革命的兴起，重大科技创新正在引领社会新变革，5G、“互联网+”、人工智能等新技术的发展正在重塑教育形态，知识获取方式和传授方式、教与学的关系正在发生深刻变革，人口老龄化加速和生育政策调整等因素正在改变生源数量及结构。这些新变化、新常态对浮梁教育事业发展将产生新的影响，需要教育发挥基础性、支撑性作用，把教育同经济社会发展的目标和需求紧密结合起来，提高人才培养的质量和水平，全面提升教育服务地方经济社会发展的能力，助推产业转型升级和高质量发展。</w:t>
      </w:r>
    </w:p>
    <w:p>
      <w:pPr>
        <w:adjustRightInd/>
        <w:snapToGrid/>
        <w:spacing w:line="520" w:lineRule="exact"/>
        <w:ind w:firstLine="632" w:firstLineChars="200"/>
        <w:jc w:val="both"/>
        <w:rPr>
          <w:rFonts w:ascii="仿宋" w:hAnsi="仿宋" w:eastAsia="仿宋" w:cs="仿宋"/>
          <w:spacing w:val="-2"/>
          <w:position w:val="4"/>
          <w:sz w:val="32"/>
          <w:szCs w:val="32"/>
        </w:rPr>
      </w:pPr>
      <w:bookmarkStart w:id="1" w:name="_Toc57555094"/>
      <w:r>
        <w:rPr>
          <w:rFonts w:hint="eastAsia" w:ascii="仿宋" w:hAnsi="仿宋" w:eastAsia="仿宋" w:cs="仿宋"/>
          <w:spacing w:val="-2"/>
          <w:position w:val="4"/>
          <w:sz w:val="32"/>
          <w:szCs w:val="32"/>
        </w:rPr>
        <w:t>3.积极主动提升新</w:t>
      </w:r>
      <w:bookmarkEnd w:id="1"/>
      <w:r>
        <w:rPr>
          <w:rFonts w:hint="eastAsia" w:ascii="仿宋" w:hAnsi="仿宋" w:eastAsia="仿宋" w:cs="仿宋"/>
          <w:spacing w:val="-2"/>
          <w:position w:val="4"/>
          <w:sz w:val="32"/>
          <w:szCs w:val="32"/>
        </w:rPr>
        <w:t>需求。</w:t>
      </w:r>
      <w:r>
        <w:rPr>
          <w:rFonts w:hint="eastAsia" w:ascii="仿宋" w:hAnsi="仿宋" w:eastAsia="仿宋" w:cs="仿宋"/>
          <w:sz w:val="32"/>
          <w:szCs w:val="32"/>
        </w:rPr>
        <w:t>坚持以人民为中心，适应和服务人民群众对美好生活的新需求和更高质量教育的新期待，</w:t>
      </w:r>
      <w:r>
        <w:rPr>
          <w:rFonts w:hint="eastAsia" w:ascii="仿宋" w:hAnsi="仿宋" w:eastAsia="仿宋" w:cs="仿宋"/>
          <w:spacing w:val="-2"/>
          <w:position w:val="4"/>
          <w:sz w:val="32"/>
          <w:szCs w:val="32"/>
        </w:rPr>
        <w:t>面对学前教育普惠优质资源供给不足，义务教育发展不充分、不均衡，“城市挤、乡村弱”“大校额”“大班额”，职业教育办学条件相对薄弱，产教融合深度不够，需要教育完善要素配置和供给方式，科学规划，供给更多更公平优质的资源和服务，实现幼有优育、学有优教，需要教育供给更多更公平优质的资源和服务，创造宽松融洽的环境和氛围，持续提升人民群众对教育的满意度和获得感。</w:t>
      </w:r>
    </w:p>
    <w:p>
      <w:pPr>
        <w:adjustRightInd/>
        <w:snapToGrid/>
        <w:spacing w:line="520" w:lineRule="exact"/>
        <w:ind w:firstLine="544" w:firstLineChars="200"/>
        <w:jc w:val="both"/>
        <w:rPr>
          <w:rFonts w:ascii="仿宋" w:hAnsi="仿宋" w:eastAsia="仿宋" w:cs="仿宋"/>
          <w:sz w:val="32"/>
          <w:szCs w:val="32"/>
        </w:rPr>
      </w:pPr>
      <w:r>
        <w:rPr>
          <w:rFonts w:hint="eastAsia" w:ascii="仿宋" w:hAnsi="仿宋" w:eastAsia="仿宋" w:cs="仿宋"/>
          <w:spacing w:val="-24"/>
          <w:sz w:val="32"/>
          <w:szCs w:val="32"/>
        </w:rPr>
        <w:t>二</w:t>
      </w:r>
      <w:r>
        <w:rPr>
          <w:rFonts w:hint="eastAsia" w:ascii="仿宋" w:hAnsi="仿宋" w:eastAsia="仿宋" w:cs="仿宋"/>
          <w:spacing w:val="-19"/>
          <w:sz w:val="32"/>
          <w:szCs w:val="32"/>
        </w:rPr>
        <w:t>、总体要求</w:t>
      </w:r>
    </w:p>
    <w:p>
      <w:pPr>
        <w:adjustRightInd/>
        <w:snapToGrid/>
        <w:spacing w:line="520" w:lineRule="exact"/>
        <w:ind w:firstLine="632" w:firstLineChars="200"/>
        <w:jc w:val="both"/>
        <w:rPr>
          <w:rFonts w:ascii="仿宋" w:hAnsi="仿宋" w:eastAsia="仿宋" w:cs="仿宋"/>
          <w:spacing w:val="-2"/>
          <w:position w:val="4"/>
          <w:sz w:val="32"/>
          <w:szCs w:val="32"/>
        </w:rPr>
      </w:pPr>
      <w:r>
        <w:rPr>
          <w:rFonts w:hint="eastAsia" w:ascii="仿宋" w:hAnsi="仿宋" w:eastAsia="仿宋" w:cs="仿宋"/>
          <w:spacing w:val="-2"/>
          <w:position w:val="4"/>
          <w:sz w:val="32"/>
          <w:szCs w:val="32"/>
        </w:rPr>
        <w:t>高举中国特色社会主义伟大旗帜，坚持以习近平新时代中国特色社会主义思想为指导，深入学习贯彻党的十九大和十九届历次全会精神，认真贯彻落实习近平总书记关于教育的重要论述和视察江西重要讲话精神，全面贯彻落实中央、省、市关于教育工作的各项决策部署。围绕数字经济“一号发展工程”和营商环境“一号改革工程”，聚焦解决群众“急难愁盼”教育问题，以推动高质量发展为主题，以改革创新为根本动力，以建设教育强市为主线，以满足人民群众对教育的美好期待为根本目的，坚持发展抓公平、改革抓体制、整体抓质量、保证抓党建，统筹教育事业发展与校园安全，加强党对教育工作的全面领导，全面贯彻党的教育方针，落实立德树人根本任务，深化新时代教育综合改革，推动学前教育普及普惠、义务教育优质均衡、高中教育特色多样、职业教育提质创优，加快教育信息化、教育治理体系和治理能力现代化进程，全力培养德智体美劳全面发展的社会主义建设者和接班人，为浮梁经济社会发展提供更加有力的人才支撑。</w:t>
      </w:r>
    </w:p>
    <w:p>
      <w:pPr>
        <w:adjustRightInd/>
        <w:snapToGrid/>
        <w:spacing w:line="520" w:lineRule="exact"/>
        <w:ind w:firstLine="632" w:firstLineChars="200"/>
        <w:jc w:val="both"/>
        <w:rPr>
          <w:rFonts w:ascii="仿宋" w:hAnsi="仿宋" w:eastAsia="仿宋" w:cs="仿宋"/>
          <w:spacing w:val="-2"/>
          <w:position w:val="4"/>
          <w:sz w:val="32"/>
          <w:szCs w:val="32"/>
        </w:rPr>
      </w:pPr>
      <w:r>
        <w:rPr>
          <w:rFonts w:hint="eastAsia" w:ascii="仿宋" w:hAnsi="仿宋" w:eastAsia="仿宋" w:cs="仿宋"/>
          <w:spacing w:val="-2"/>
          <w:position w:val="4"/>
          <w:sz w:val="32"/>
          <w:szCs w:val="32"/>
        </w:rPr>
        <w:t>(二)基本原则</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1.坚持党的全面领导。牢牢掌握党对教育工作的领导权，全面贯彻党的教育方针，坚持办学正确政治方向，把培养社会主义建设者和接班人作为根本任务，为党育人、为国育才，不断加强教育系统党的建设，完善党领导教育工作的体制机制，使教育领域成为坚持党的领导的坚强阵地。</w:t>
      </w:r>
    </w:p>
    <w:p>
      <w:pPr>
        <w:adjustRightInd/>
        <w:snapToGrid/>
        <w:spacing w:line="520" w:lineRule="exact"/>
        <w:ind w:firstLine="632" w:firstLineChars="200"/>
        <w:jc w:val="both"/>
        <w:rPr>
          <w:rFonts w:ascii="仿宋" w:hAnsi="仿宋" w:eastAsia="仿宋" w:cs="仿宋"/>
          <w:sz w:val="32"/>
          <w:szCs w:val="32"/>
        </w:rPr>
      </w:pPr>
      <w:r>
        <w:rPr>
          <w:rFonts w:hint="eastAsia" w:ascii="仿宋" w:hAnsi="仿宋" w:eastAsia="仿宋" w:cs="仿宋"/>
          <w:spacing w:val="-2"/>
          <w:position w:val="4"/>
          <w:sz w:val="32"/>
          <w:szCs w:val="32"/>
        </w:rPr>
        <w:t>2.坚持立德树人。全面贯彻党的教育方针，坚持社会主义办学方向，遵循教育规律和人才成长规律，以树人为核心，以立德为根本，完善立德树人体制机制，培养德智体美劳全面发展的社会主义建设者和接班人。</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3.坚持高质量发展。树立质量为先理念，固根基、扬优势、补短板、强弱项，推动学前教育普惠、义务教育优质均衡、普通高中特色发展、职业教育产教融合，努力构建高质量教育体系。</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4.坚持优先发展。坚持把教育摆在优先发展的战略地位，牢固树立抓教育就是抓发展、谋教育就是谋未来的理念，切实做到教育发展优先谋划、教育工作优先落实、教育投入优先保障、公共资源优先满足教育和人力资源开发需要。</w:t>
      </w:r>
    </w:p>
    <w:p>
      <w:pPr>
        <w:adjustRightInd/>
        <w:snapToGrid/>
        <w:spacing w:line="520" w:lineRule="exact"/>
        <w:ind w:firstLine="680" w:firstLineChars="200"/>
        <w:jc w:val="both"/>
        <w:rPr>
          <w:rFonts w:ascii="仿宋" w:hAnsi="仿宋" w:eastAsia="仿宋" w:cs="仿宋"/>
          <w:spacing w:val="10"/>
          <w:sz w:val="32"/>
          <w:szCs w:val="32"/>
        </w:rPr>
      </w:pPr>
      <w:bookmarkStart w:id="2" w:name="_Toc57555099"/>
      <w:r>
        <w:rPr>
          <w:rFonts w:hint="eastAsia" w:ascii="仿宋" w:hAnsi="仿宋" w:eastAsia="仿宋" w:cs="仿宋"/>
          <w:spacing w:val="10"/>
          <w:sz w:val="32"/>
          <w:szCs w:val="32"/>
        </w:rPr>
        <w:t>5.坚持</w:t>
      </w:r>
      <w:bookmarkEnd w:id="2"/>
      <w:r>
        <w:rPr>
          <w:rFonts w:hint="eastAsia" w:ascii="仿宋" w:hAnsi="仿宋" w:eastAsia="仿宋" w:cs="仿宋"/>
          <w:spacing w:val="10"/>
          <w:sz w:val="32"/>
          <w:szCs w:val="32"/>
        </w:rPr>
        <w:t>服务人民。坚持政府主导、公益普惠原则，顺应人民群众对更加公平、更高质量教育的期盼，全面落实“双减”工作任务，持续优化教育资源配置，扩大优质教育资源供给，切实缩小城乡差距，保障弱势群体受教育权利，促进教育公平，努力办好人民满意教育。</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6.坚持改革创新。突出问题导向，坚持战略思维、系统思维和创新思维，聚焦教育发展的深层次矛盾和人民群众急难愁盼的焦点问题，持续深化教育领域综合改革，努力破解教育发展难题，为教育高质量发展添动力、增活力。</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7.坚持依法治教。更加注重运用法治思维和法治方式推动教育改革发展，推进教育治理体系和治理能力现代化，大力推行依法行政、依法治教、依法治校。</w:t>
      </w:r>
    </w:p>
    <w:p>
      <w:pPr>
        <w:adjustRightInd/>
        <w:snapToGrid/>
        <w:spacing w:line="520" w:lineRule="exact"/>
        <w:ind w:firstLine="680" w:firstLineChars="200"/>
        <w:jc w:val="both"/>
        <w:rPr>
          <w:rFonts w:ascii="仿宋" w:hAnsi="仿宋" w:eastAsia="仿宋" w:cs="仿宋"/>
          <w:spacing w:val="-14"/>
          <w:sz w:val="32"/>
          <w:szCs w:val="32"/>
        </w:rPr>
      </w:pPr>
      <w:r>
        <w:rPr>
          <w:rFonts w:hint="eastAsia" w:ascii="仿宋" w:hAnsi="仿宋" w:eastAsia="仿宋" w:cs="仿宋"/>
          <w:spacing w:val="10"/>
          <w:sz w:val="32"/>
          <w:szCs w:val="32"/>
        </w:rPr>
        <w:t>8.坚持统筹推进。统筹教育与经济社会各领域发展，推动教育供给侧结构性改革。坚持因地制宜、分类施策，推进各级各类教育协调发展。统筹城乡和各级教育发展，抓重点、强弱项，补齐教育发展短板。</w:t>
      </w:r>
    </w:p>
    <w:p>
      <w:pPr>
        <w:adjustRightInd/>
        <w:snapToGrid/>
        <w:spacing w:line="520" w:lineRule="exact"/>
        <w:ind w:firstLine="680" w:firstLineChars="200"/>
        <w:jc w:val="both"/>
        <w:rPr>
          <w:rFonts w:hint="eastAsia" w:ascii="仿宋" w:hAnsi="仿宋" w:eastAsia="仿宋" w:cs="仿宋"/>
          <w:spacing w:val="10"/>
          <w:sz w:val="32"/>
          <w:szCs w:val="32"/>
        </w:rPr>
      </w:pPr>
      <w:r>
        <w:rPr>
          <w:rFonts w:hint="eastAsia" w:ascii="仿宋" w:hAnsi="仿宋" w:eastAsia="仿宋" w:cs="仿宋"/>
          <w:spacing w:val="10"/>
          <w:sz w:val="32"/>
          <w:szCs w:val="32"/>
        </w:rPr>
        <w:t>(三)主要目标</w:t>
      </w:r>
    </w:p>
    <w:p>
      <w:pPr>
        <w:adjustRightInd/>
        <w:snapToGrid/>
        <w:spacing w:line="520" w:lineRule="exact"/>
        <w:ind w:firstLine="680" w:firstLineChars="200"/>
        <w:jc w:val="both"/>
        <w:rPr>
          <w:rFonts w:ascii="仿宋" w:hAnsi="仿宋" w:eastAsia="仿宋" w:cs="仿宋"/>
          <w:spacing w:val="10"/>
          <w:sz w:val="32"/>
          <w:szCs w:val="32"/>
        </w:rPr>
      </w:pPr>
      <w:r>
        <w:rPr>
          <w:rFonts w:hint="eastAsia" w:ascii="仿宋" w:hAnsi="仿宋" w:eastAsia="仿宋" w:cs="仿宋"/>
          <w:spacing w:val="10"/>
          <w:sz w:val="32"/>
          <w:szCs w:val="32"/>
        </w:rPr>
        <w:t>到2025年，各级各类教育普及目标全面实现，总体实力和影响力明显提高。顺利通过县域义务教育优质均衡发展国家认定，优质教育供给更加充分、城乡和区域教育发展更加均衡、各类教育结构更加完整、教育公平更加彰显、高质量教育体系初步构建。社会关注的教育热点难点问题得到有效破解，人民群众对教育的获得感和满意度显著增强。2027年顺利通过县域学前教育普及普惠国家督导评估。到2035年，全市教育水平大幅提升，总体实现教育现代化，全面建成教育强县。</w:t>
      </w:r>
    </w:p>
    <w:p>
      <w:pPr>
        <w:adjustRightInd/>
        <w:snapToGrid/>
        <w:spacing w:line="520" w:lineRule="exact"/>
        <w:ind w:firstLine="648" w:firstLineChars="200"/>
        <w:jc w:val="both"/>
        <w:rPr>
          <w:rFonts w:ascii="仿宋" w:hAnsi="仿宋" w:eastAsia="仿宋" w:cs="仿宋"/>
          <w:sz w:val="32"/>
          <w:szCs w:val="32"/>
        </w:rPr>
      </w:pPr>
      <w:r>
        <w:rPr>
          <w:rFonts w:hint="eastAsia" w:ascii="仿宋" w:hAnsi="仿宋" w:eastAsia="仿宋" w:cs="仿宋"/>
          <w:spacing w:val="2"/>
          <w:sz w:val="32"/>
          <w:szCs w:val="32"/>
        </w:rPr>
        <w:t>1.资源供给更加充</w:t>
      </w:r>
      <w:r>
        <w:rPr>
          <w:rFonts w:hint="eastAsia" w:ascii="仿宋" w:hAnsi="仿宋" w:eastAsia="仿宋" w:cs="仿宋"/>
          <w:spacing w:val="1"/>
          <w:sz w:val="32"/>
          <w:szCs w:val="32"/>
        </w:rPr>
        <w:t>裕。全面普及15年基本公共教育，学前教育普及率和普惠性幼儿园覆盖率明显提升，保教质量迈上新台阶；</w:t>
      </w:r>
      <w:r>
        <w:rPr>
          <w:rFonts w:ascii="仿宋" w:hAnsi="仿宋" w:eastAsia="仿宋" w:cs="仿宋"/>
          <w:spacing w:val="1"/>
          <w:sz w:val="32"/>
          <w:szCs w:val="32"/>
        </w:rPr>
        <w:t>全面消除大班额</w:t>
      </w:r>
      <w:r>
        <w:rPr>
          <w:rFonts w:hint="eastAsia" w:ascii="仿宋" w:hAnsi="仿宋" w:eastAsia="仿宋" w:cs="仿宋"/>
          <w:spacing w:val="1"/>
          <w:sz w:val="32"/>
          <w:szCs w:val="32"/>
        </w:rPr>
        <w:t>、</w:t>
      </w:r>
      <w:r>
        <w:rPr>
          <w:rFonts w:ascii="仿宋" w:hAnsi="仿宋" w:eastAsia="仿宋" w:cs="仿宋"/>
          <w:spacing w:val="1"/>
          <w:sz w:val="32"/>
          <w:szCs w:val="32"/>
        </w:rPr>
        <w:t>大校额，</w:t>
      </w:r>
      <w:r>
        <w:rPr>
          <w:rFonts w:hint="eastAsia" w:ascii="仿宋" w:hAnsi="仿宋" w:eastAsia="仿宋" w:cs="仿宋"/>
          <w:spacing w:val="1"/>
          <w:sz w:val="32"/>
          <w:szCs w:val="32"/>
        </w:rPr>
        <w:t>义务教育优质均衡发展水平稳步提高，中小学布局更加合理，城乡一体化发展基本实现；普通高中教育特色多样发展格局基本形成；</w:t>
      </w:r>
      <w:r>
        <w:rPr>
          <w:rFonts w:hint="eastAsia" w:ascii="仿宋" w:hAnsi="仿宋" w:eastAsia="仿宋" w:cs="仿宋"/>
          <w:spacing w:val="-6"/>
          <w:sz w:val="32"/>
          <w:szCs w:val="32"/>
        </w:rPr>
        <w:t>残疾</w:t>
      </w:r>
      <w:r>
        <w:rPr>
          <w:rFonts w:hint="eastAsia" w:ascii="仿宋" w:hAnsi="仿宋" w:eastAsia="仿宋" w:cs="仿宋"/>
          <w:spacing w:val="-12"/>
          <w:sz w:val="32"/>
          <w:szCs w:val="32"/>
        </w:rPr>
        <w:t>儿</w:t>
      </w:r>
      <w:r>
        <w:rPr>
          <w:rFonts w:hint="eastAsia" w:ascii="仿宋" w:hAnsi="仿宋" w:eastAsia="仿宋" w:cs="仿宋"/>
          <w:spacing w:val="-7"/>
          <w:sz w:val="32"/>
          <w:szCs w:val="32"/>
        </w:rPr>
        <w:t>童少年享有更加适合的教育，</w:t>
      </w:r>
      <w:r>
        <w:rPr>
          <w:rFonts w:ascii="仿宋" w:hAnsi="仿宋" w:eastAsia="仿宋" w:cs="仿宋"/>
          <w:spacing w:val="-7"/>
          <w:sz w:val="32"/>
          <w:szCs w:val="32"/>
        </w:rPr>
        <w:t>残障学生教育和康复服务得到充分保障</w:t>
      </w:r>
      <w:r>
        <w:rPr>
          <w:rFonts w:hint="eastAsia" w:ascii="仿宋" w:hAnsi="仿宋" w:eastAsia="仿宋" w:cs="仿宋"/>
          <w:spacing w:val="-7"/>
          <w:sz w:val="32"/>
          <w:szCs w:val="32"/>
        </w:rPr>
        <w:t>；县公办职业学校基本建成，现代职业教育体系更加健全；终身教育优质服务体系初步构建。</w:t>
      </w:r>
    </w:p>
    <w:p>
      <w:pPr>
        <w:tabs>
          <w:tab w:val="left" w:pos="1378"/>
        </w:tabs>
        <w:adjustRightInd/>
        <w:snapToGrid/>
        <w:spacing w:line="520" w:lineRule="exact"/>
        <w:ind w:firstLine="752" w:firstLineChars="200"/>
        <w:jc w:val="both"/>
        <w:rPr>
          <w:rFonts w:ascii="仿宋" w:hAnsi="仿宋" w:eastAsia="仿宋" w:cs="仿宋"/>
          <w:sz w:val="32"/>
          <w:szCs w:val="32"/>
        </w:rPr>
      </w:pPr>
      <w:r>
        <w:rPr>
          <w:rFonts w:hint="eastAsia" w:ascii="仿宋" w:hAnsi="仿宋" w:eastAsia="仿宋" w:cs="仿宋"/>
          <w:spacing w:val="28"/>
          <w:sz w:val="32"/>
          <w:szCs w:val="32"/>
        </w:rPr>
        <w:t>2.保</w:t>
      </w:r>
      <w:r>
        <w:rPr>
          <w:rFonts w:hint="eastAsia" w:ascii="仿宋" w:hAnsi="仿宋" w:eastAsia="仿宋" w:cs="仿宋"/>
          <w:spacing w:val="15"/>
          <w:sz w:val="32"/>
          <w:szCs w:val="32"/>
        </w:rPr>
        <w:t>障</w:t>
      </w:r>
      <w:r>
        <w:rPr>
          <w:rFonts w:hint="eastAsia" w:ascii="仿宋" w:hAnsi="仿宋" w:eastAsia="仿宋" w:cs="仿宋"/>
          <w:spacing w:val="14"/>
          <w:sz w:val="32"/>
          <w:szCs w:val="32"/>
        </w:rPr>
        <w:t>支撑更加有力。党对教育事业的全面领导进一步加强。教育经费投入进一步加大，财政教育投入稳定增长长效机</w:t>
      </w:r>
      <w:r>
        <w:rPr>
          <w:rFonts w:hint="eastAsia" w:ascii="仿宋" w:hAnsi="仿宋" w:eastAsia="仿宋" w:cs="仿宋"/>
          <w:spacing w:val="9"/>
          <w:sz w:val="32"/>
          <w:szCs w:val="32"/>
        </w:rPr>
        <w:t>制</w:t>
      </w:r>
      <w:r>
        <w:rPr>
          <w:rFonts w:hint="eastAsia" w:ascii="仿宋" w:hAnsi="仿宋" w:eastAsia="仿宋" w:cs="仿宋"/>
          <w:spacing w:val="17"/>
          <w:sz w:val="32"/>
          <w:szCs w:val="32"/>
        </w:rPr>
        <w:t>进</w:t>
      </w:r>
      <w:r>
        <w:rPr>
          <w:rFonts w:hint="eastAsia" w:ascii="仿宋" w:hAnsi="仿宋" w:eastAsia="仿宋" w:cs="仿宋"/>
          <w:spacing w:val="14"/>
          <w:sz w:val="32"/>
          <w:szCs w:val="32"/>
        </w:rPr>
        <w:t>一步健全。新时代教师队伍建设进一步加强，教师管理机制更加完善，师资队伍结构进一步优化，教师专业化发展平台更加多元化，信息化技术融合应用更加深入。</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3.治理体系更加健全。依法治教、依法治校全面推进，教育管办评分离改革更加深入，教育督导作用有效发挥，新时代教育评价体系基本形成，现代学校制度全面确立，政府依法管理、学校自主办学、社会广泛参与的格局更加成熟，教育治理现代化水平全面提升。</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4.育人机制更加完善。符合教育改革发展方向、适应学生成长规律的基础教育育人机制基本形成，面向经济社会发展要求的人才培养机制持续完善，以立德树人、五育并举为目标的家校社协同、大中小幼贯通、城校企互融的育人机制更加健全。</w:t>
      </w:r>
    </w:p>
    <w:p>
      <w:pPr>
        <w:adjustRightInd/>
        <w:snapToGrid/>
        <w:spacing w:line="520" w:lineRule="exact"/>
        <w:ind w:firstLine="400" w:firstLineChars="200"/>
        <w:jc w:val="both"/>
        <w:rPr>
          <w:rFonts w:ascii="仿宋" w:hAnsi="仿宋" w:eastAsia="仿宋" w:cs="仿宋"/>
          <w:sz w:val="32"/>
          <w:szCs w:val="32"/>
        </w:rPr>
      </w:pPr>
      <w:r>
        <w:rPr>
          <w:rFonts w:hint="eastAsia" w:ascii="仿宋" w:hAnsi="仿宋" w:eastAsia="仿宋" w:cs="仿宋"/>
          <w:spacing w:val="-40"/>
          <w:sz w:val="28"/>
          <w:szCs w:val="28"/>
        </w:rPr>
        <w:t>表</w:t>
      </w:r>
      <w:r>
        <w:rPr>
          <w:rFonts w:hint="eastAsia" w:ascii="仿宋" w:hAnsi="仿宋" w:eastAsia="仿宋" w:cs="仿宋"/>
          <w:spacing w:val="-21"/>
          <w:sz w:val="28"/>
          <w:szCs w:val="28"/>
        </w:rPr>
        <w:t xml:space="preserve"> </w:t>
      </w:r>
      <w:r>
        <w:rPr>
          <w:rFonts w:hint="eastAsia" w:ascii="仿宋" w:hAnsi="仿宋" w:eastAsia="仿宋" w:cs="仿宋"/>
          <w:spacing w:val="-20"/>
          <w:sz w:val="28"/>
          <w:szCs w:val="28"/>
        </w:rPr>
        <w:t>2:浮梁县教育事业发展和人力资源开发“十四五”主要指标</w:t>
      </w:r>
    </w:p>
    <w:tbl>
      <w:tblPr>
        <w:tblStyle w:val="13"/>
        <w:tblpPr w:leftFromText="180" w:rightFromText="180" w:vertAnchor="text" w:horzAnchor="page" w:tblpX="1369" w:tblpY="520"/>
        <w:tblOverlap w:val="never"/>
        <w:tblW w:w="8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99"/>
        <w:gridCol w:w="1389"/>
        <w:gridCol w:w="1398"/>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999" w:type="dxa"/>
            <w:tcBorders>
              <w:top w:val="single" w:color="000000" w:sz="2" w:space="0"/>
              <w:bottom w:val="single" w:color="000000" w:sz="2" w:space="0"/>
            </w:tcBorders>
          </w:tcPr>
          <w:p>
            <w:pPr>
              <w:adjustRightInd/>
              <w:snapToGrid/>
              <w:spacing w:line="520" w:lineRule="exact"/>
              <w:ind w:firstLine="516" w:firstLineChars="200"/>
              <w:jc w:val="both"/>
              <w:rPr>
                <w:rFonts w:ascii="仿宋" w:hAnsi="仿宋" w:eastAsia="仿宋" w:cs="仿宋"/>
                <w:color w:val="auto"/>
                <w:sz w:val="24"/>
                <w:szCs w:val="24"/>
              </w:rPr>
            </w:pPr>
            <w:r>
              <w:rPr>
                <w:rFonts w:hint="eastAsia" w:ascii="仿宋" w:hAnsi="仿宋" w:eastAsia="仿宋" w:cs="仿宋"/>
                <w:color w:val="auto"/>
                <w:spacing w:val="9"/>
                <w:sz w:val="24"/>
                <w:szCs w:val="24"/>
              </w:rPr>
              <w:t>指    标</w:t>
            </w:r>
          </w:p>
        </w:tc>
        <w:tc>
          <w:tcPr>
            <w:tcW w:w="1389" w:type="dxa"/>
            <w:tcBorders>
              <w:top w:val="single" w:color="000000" w:sz="2" w:space="0"/>
              <w:bottom w:val="single" w:color="000000" w:sz="2" w:space="0"/>
            </w:tcBorders>
          </w:tcPr>
          <w:p>
            <w:pPr>
              <w:adjustRightInd/>
              <w:snapToGrid/>
              <w:spacing w:line="520" w:lineRule="exact"/>
              <w:ind w:firstLine="492" w:firstLineChars="200"/>
              <w:jc w:val="both"/>
              <w:rPr>
                <w:rFonts w:ascii="仿宋" w:hAnsi="仿宋" w:eastAsia="仿宋" w:cs="仿宋"/>
                <w:color w:val="auto"/>
                <w:sz w:val="24"/>
                <w:szCs w:val="24"/>
              </w:rPr>
            </w:pPr>
            <w:r>
              <w:rPr>
                <w:rFonts w:hint="eastAsia" w:ascii="仿宋" w:hAnsi="仿宋" w:eastAsia="仿宋" w:cs="仿宋"/>
                <w:color w:val="auto"/>
                <w:spacing w:val="3"/>
                <w:sz w:val="24"/>
                <w:szCs w:val="24"/>
              </w:rPr>
              <w:t>2</w:t>
            </w:r>
            <w:r>
              <w:rPr>
                <w:rFonts w:hint="eastAsia" w:ascii="仿宋" w:hAnsi="仿宋" w:eastAsia="仿宋" w:cs="仿宋"/>
                <w:color w:val="auto"/>
                <w:spacing w:val="2"/>
                <w:sz w:val="24"/>
                <w:szCs w:val="24"/>
              </w:rPr>
              <w:t>020年</w:t>
            </w:r>
          </w:p>
        </w:tc>
        <w:tc>
          <w:tcPr>
            <w:tcW w:w="1398" w:type="dxa"/>
            <w:tcBorders>
              <w:top w:val="single" w:color="000000" w:sz="2" w:space="0"/>
              <w:bottom w:val="single" w:color="000000" w:sz="2" w:space="0"/>
            </w:tcBorders>
          </w:tcPr>
          <w:p>
            <w:pPr>
              <w:adjustRightInd/>
              <w:snapToGrid/>
              <w:spacing w:line="520" w:lineRule="exact"/>
              <w:ind w:firstLine="472" w:firstLineChars="200"/>
              <w:jc w:val="both"/>
              <w:rPr>
                <w:rFonts w:ascii="仿宋" w:hAnsi="仿宋" w:eastAsia="仿宋" w:cs="仿宋"/>
                <w:color w:val="auto"/>
                <w:sz w:val="24"/>
                <w:szCs w:val="24"/>
              </w:rPr>
            </w:pPr>
            <w:r>
              <w:rPr>
                <w:rFonts w:hint="eastAsia" w:ascii="仿宋" w:hAnsi="仿宋" w:eastAsia="仿宋" w:cs="仿宋"/>
                <w:color w:val="auto"/>
                <w:spacing w:val="-2"/>
                <w:sz w:val="24"/>
                <w:szCs w:val="24"/>
              </w:rPr>
              <w:t>2025年</w:t>
            </w:r>
          </w:p>
        </w:tc>
        <w:tc>
          <w:tcPr>
            <w:tcW w:w="1024" w:type="dxa"/>
            <w:tcBorders>
              <w:top w:val="single" w:color="000000" w:sz="2" w:space="0"/>
              <w:bottom w:val="single" w:color="000000" w:sz="2" w:space="0"/>
            </w:tcBorders>
          </w:tcPr>
          <w:p>
            <w:pPr>
              <w:adjustRightInd/>
              <w:snapToGrid/>
              <w:spacing w:line="520" w:lineRule="exact"/>
              <w:ind w:firstLine="464" w:firstLineChars="200"/>
              <w:jc w:val="both"/>
              <w:rPr>
                <w:rFonts w:ascii="仿宋" w:hAnsi="仿宋" w:eastAsia="仿宋" w:cs="仿宋"/>
                <w:color w:val="auto"/>
                <w:sz w:val="24"/>
                <w:szCs w:val="24"/>
              </w:rPr>
            </w:pPr>
            <w:r>
              <w:rPr>
                <w:rFonts w:hint="eastAsia" w:ascii="仿宋" w:hAnsi="仿宋" w:eastAsia="仿宋" w:cs="仿宋"/>
                <w:color w:val="auto"/>
                <w:spacing w:val="-4"/>
                <w:sz w:val="24"/>
                <w:szCs w:val="24"/>
              </w:rPr>
              <w:t>属</w:t>
            </w:r>
            <w:r>
              <w:rPr>
                <w:rFonts w:hint="eastAsia" w:ascii="仿宋" w:hAnsi="仿宋" w:eastAsia="仿宋" w:cs="仿宋"/>
                <w:color w:val="auto"/>
                <w:spacing w:val="-3"/>
                <w:sz w:val="24"/>
                <w:szCs w:val="24"/>
              </w:rPr>
              <w:t>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0" w:hRule="atLeast"/>
        </w:trPr>
        <w:tc>
          <w:tcPr>
            <w:tcW w:w="4999" w:type="dxa"/>
            <w:tcBorders>
              <w:top w:val="single" w:color="000000" w:sz="2" w:space="0"/>
              <w:bottom w:val="single" w:color="000000" w:sz="2" w:space="0"/>
            </w:tcBorders>
          </w:tcPr>
          <w:p>
            <w:pPr>
              <w:adjustRightInd/>
              <w:snapToGrid/>
              <w:spacing w:line="520" w:lineRule="exact"/>
              <w:ind w:firstLine="488" w:firstLineChars="200"/>
              <w:jc w:val="both"/>
              <w:rPr>
                <w:rFonts w:ascii="仿宋" w:hAnsi="仿宋" w:eastAsia="仿宋" w:cs="仿宋"/>
                <w:color w:val="auto"/>
                <w:sz w:val="24"/>
                <w:szCs w:val="24"/>
              </w:rPr>
            </w:pPr>
            <w:r>
              <w:rPr>
                <w:rFonts w:hint="eastAsia" w:ascii="仿宋" w:hAnsi="仿宋" w:eastAsia="仿宋" w:cs="仿宋"/>
                <w:color w:val="auto"/>
                <w:spacing w:val="2"/>
                <w:sz w:val="24"/>
                <w:szCs w:val="24"/>
              </w:rPr>
              <w:t>教育普</w:t>
            </w:r>
            <w:r>
              <w:rPr>
                <w:rFonts w:hint="eastAsia" w:ascii="仿宋" w:hAnsi="仿宋" w:eastAsia="仿宋" w:cs="仿宋"/>
                <w:color w:val="auto"/>
                <w:spacing w:val="1"/>
                <w:sz w:val="24"/>
                <w:szCs w:val="24"/>
              </w:rPr>
              <w:t>及</w:t>
            </w:r>
          </w:p>
          <w:p>
            <w:pPr>
              <w:adjustRightInd/>
              <w:snapToGrid/>
              <w:spacing w:line="520" w:lineRule="exact"/>
              <w:ind w:firstLine="452" w:firstLineChars="200"/>
              <w:jc w:val="both"/>
              <w:rPr>
                <w:rFonts w:ascii="仿宋" w:hAnsi="仿宋" w:eastAsia="仿宋" w:cs="仿宋"/>
                <w:color w:val="auto"/>
                <w:sz w:val="24"/>
                <w:szCs w:val="24"/>
              </w:rPr>
            </w:pPr>
            <w:r>
              <w:rPr>
                <w:rFonts w:hint="eastAsia" w:ascii="仿宋" w:hAnsi="仿宋" w:eastAsia="仿宋" w:cs="仿宋"/>
                <w:color w:val="auto"/>
                <w:spacing w:val="-7"/>
                <w:position w:val="6"/>
                <w:sz w:val="24"/>
                <w:szCs w:val="24"/>
              </w:rPr>
              <w:t>学</w:t>
            </w:r>
            <w:r>
              <w:rPr>
                <w:rFonts w:hint="eastAsia" w:ascii="仿宋" w:hAnsi="仿宋" w:eastAsia="仿宋" w:cs="仿宋"/>
                <w:color w:val="auto"/>
                <w:spacing w:val="-6"/>
                <w:position w:val="6"/>
                <w:sz w:val="24"/>
                <w:szCs w:val="24"/>
              </w:rPr>
              <w:t>前教育毛入园率(%)</w:t>
            </w:r>
          </w:p>
          <w:p>
            <w:pPr>
              <w:adjustRightInd/>
              <w:snapToGrid/>
              <w:spacing w:line="520" w:lineRule="exact"/>
              <w:ind w:firstLine="464" w:firstLineChars="200"/>
              <w:jc w:val="both"/>
              <w:rPr>
                <w:rFonts w:ascii="仿宋" w:hAnsi="仿宋" w:eastAsia="仿宋" w:cs="仿宋"/>
                <w:color w:val="auto"/>
                <w:sz w:val="24"/>
                <w:szCs w:val="24"/>
              </w:rPr>
            </w:pPr>
            <w:r>
              <w:rPr>
                <w:rFonts w:hint="eastAsia" w:ascii="仿宋" w:hAnsi="仿宋" w:eastAsia="仿宋" w:cs="仿宋"/>
                <w:color w:val="auto"/>
                <w:spacing w:val="-4"/>
                <w:sz w:val="24"/>
                <w:szCs w:val="24"/>
              </w:rPr>
              <w:t>九年义务教育巩固率(%</w:t>
            </w:r>
            <w:r>
              <w:rPr>
                <w:rFonts w:hint="eastAsia" w:ascii="仿宋" w:hAnsi="仿宋" w:eastAsia="仿宋" w:cs="仿宋"/>
                <w:color w:val="auto"/>
                <w:spacing w:val="-3"/>
                <w:sz w:val="24"/>
                <w:szCs w:val="24"/>
              </w:rPr>
              <w:t>)</w:t>
            </w:r>
          </w:p>
          <w:p>
            <w:pPr>
              <w:adjustRightInd/>
              <w:snapToGrid/>
              <w:spacing w:line="520" w:lineRule="exact"/>
              <w:ind w:firstLine="452" w:firstLineChars="200"/>
              <w:jc w:val="both"/>
              <w:rPr>
                <w:rFonts w:ascii="仿宋" w:hAnsi="仿宋" w:eastAsia="仿宋" w:cs="仿宋"/>
                <w:color w:val="auto"/>
                <w:sz w:val="24"/>
                <w:szCs w:val="24"/>
              </w:rPr>
            </w:pPr>
            <w:r>
              <w:rPr>
                <w:rFonts w:hint="eastAsia" w:ascii="仿宋" w:hAnsi="仿宋" w:eastAsia="仿宋" w:cs="仿宋"/>
                <w:color w:val="auto"/>
                <w:spacing w:val="-7"/>
                <w:sz w:val="24"/>
                <w:szCs w:val="24"/>
              </w:rPr>
              <w:t>高</w:t>
            </w:r>
            <w:r>
              <w:rPr>
                <w:rFonts w:hint="eastAsia" w:ascii="仿宋" w:hAnsi="仿宋" w:eastAsia="仿宋" w:cs="仿宋"/>
                <w:color w:val="auto"/>
                <w:spacing w:val="-5"/>
                <w:sz w:val="24"/>
                <w:szCs w:val="24"/>
              </w:rPr>
              <w:t>中阶段教育毛入学率(%)</w:t>
            </w:r>
          </w:p>
          <w:p>
            <w:pPr>
              <w:adjustRightInd/>
              <w:snapToGrid/>
              <w:spacing w:line="520" w:lineRule="exact"/>
              <w:ind w:firstLine="452" w:firstLineChars="200"/>
              <w:jc w:val="both"/>
              <w:rPr>
                <w:rFonts w:ascii="仿宋" w:hAnsi="仿宋" w:eastAsia="仿宋" w:cs="仿宋"/>
                <w:color w:val="FF0000"/>
                <w:sz w:val="24"/>
                <w:szCs w:val="24"/>
              </w:rPr>
            </w:pPr>
            <w:r>
              <w:rPr>
                <w:rFonts w:hint="eastAsia" w:ascii="仿宋" w:hAnsi="仿宋" w:eastAsia="仿宋" w:cs="仿宋"/>
                <w:color w:val="auto"/>
                <w:spacing w:val="-7"/>
                <w:sz w:val="24"/>
                <w:szCs w:val="24"/>
              </w:rPr>
              <w:t>残疾儿童少年义务教育入学率（%）</w:t>
            </w:r>
          </w:p>
        </w:tc>
        <w:tc>
          <w:tcPr>
            <w:tcW w:w="1389" w:type="dxa"/>
            <w:tcBorders>
              <w:top w:val="single" w:color="000000" w:sz="2" w:space="0"/>
              <w:bottom w:val="single" w:color="000000" w:sz="2" w:space="0"/>
            </w:tcBorders>
          </w:tcPr>
          <w:p>
            <w:pPr>
              <w:adjustRightInd/>
              <w:snapToGrid/>
              <w:spacing w:line="520" w:lineRule="exact"/>
              <w:jc w:val="center"/>
              <w:rPr>
                <w:rFonts w:ascii="仿宋" w:hAnsi="仿宋" w:eastAsia="仿宋" w:cs="仿宋"/>
                <w:color w:val="auto"/>
                <w:spacing w:val="-4"/>
                <w:sz w:val="24"/>
                <w:szCs w:val="24"/>
              </w:rPr>
            </w:pPr>
          </w:p>
          <w:p>
            <w:pPr>
              <w:adjustRightInd/>
              <w:snapToGrid/>
              <w:spacing w:line="520" w:lineRule="exact"/>
              <w:jc w:val="center"/>
              <w:rPr>
                <w:rFonts w:ascii="仿宋" w:hAnsi="仿宋" w:eastAsia="仿宋" w:cs="仿宋"/>
                <w:color w:val="auto"/>
                <w:sz w:val="24"/>
                <w:szCs w:val="24"/>
              </w:rPr>
            </w:pPr>
            <w:r>
              <w:rPr>
                <w:rFonts w:hint="eastAsia" w:ascii="仿宋" w:hAnsi="仿宋" w:eastAsia="仿宋" w:cs="仿宋"/>
                <w:color w:val="auto"/>
                <w:spacing w:val="-4"/>
                <w:sz w:val="24"/>
                <w:szCs w:val="24"/>
              </w:rPr>
              <w:t>89.0</w:t>
            </w:r>
          </w:p>
          <w:p>
            <w:pPr>
              <w:adjustRightInd/>
              <w:snapToGrid/>
              <w:spacing w:line="520" w:lineRule="exact"/>
              <w:ind w:firstLine="472" w:firstLineChars="200"/>
              <w:jc w:val="both"/>
              <w:rPr>
                <w:rFonts w:ascii="仿宋" w:hAnsi="仿宋" w:eastAsia="仿宋" w:cs="仿宋"/>
                <w:color w:val="auto"/>
                <w:sz w:val="24"/>
                <w:szCs w:val="24"/>
              </w:rPr>
            </w:pPr>
            <w:r>
              <w:rPr>
                <w:rFonts w:hint="eastAsia" w:ascii="仿宋" w:hAnsi="仿宋" w:eastAsia="仿宋" w:cs="仿宋"/>
                <w:color w:val="auto"/>
                <w:spacing w:val="-2"/>
                <w:sz w:val="24"/>
                <w:szCs w:val="24"/>
              </w:rPr>
              <w:t>99.2</w:t>
            </w:r>
          </w:p>
          <w:p>
            <w:pPr>
              <w:adjustRightInd/>
              <w:snapToGrid/>
              <w:spacing w:line="520" w:lineRule="exact"/>
              <w:ind w:firstLine="464" w:firstLineChars="200"/>
              <w:jc w:val="both"/>
              <w:rPr>
                <w:rFonts w:ascii="仿宋" w:hAnsi="仿宋" w:eastAsia="仿宋" w:cs="仿宋"/>
                <w:color w:val="auto"/>
                <w:sz w:val="24"/>
                <w:szCs w:val="24"/>
              </w:rPr>
            </w:pPr>
            <w:r>
              <w:rPr>
                <w:rFonts w:hint="eastAsia" w:ascii="仿宋" w:hAnsi="仿宋" w:eastAsia="仿宋" w:cs="仿宋"/>
                <w:color w:val="auto"/>
                <w:spacing w:val="-4"/>
                <w:sz w:val="24"/>
                <w:szCs w:val="24"/>
              </w:rPr>
              <w:t>9</w:t>
            </w:r>
            <w:r>
              <w:rPr>
                <w:rFonts w:hint="eastAsia" w:ascii="仿宋" w:hAnsi="仿宋" w:eastAsia="仿宋" w:cs="仿宋"/>
                <w:color w:val="auto"/>
                <w:spacing w:val="-2"/>
                <w:sz w:val="24"/>
                <w:szCs w:val="24"/>
              </w:rPr>
              <w:t>2.6</w:t>
            </w:r>
          </w:p>
          <w:p>
            <w:pPr>
              <w:adjustRightInd/>
              <w:snapToGrid/>
              <w:spacing w:line="520" w:lineRule="exact"/>
              <w:ind w:firstLine="464" w:firstLineChars="200"/>
              <w:jc w:val="both"/>
              <w:rPr>
                <w:rFonts w:ascii="仿宋" w:hAnsi="仿宋" w:eastAsia="仿宋" w:cs="仿宋"/>
                <w:color w:val="FF0000"/>
                <w:sz w:val="24"/>
                <w:szCs w:val="24"/>
              </w:rPr>
            </w:pPr>
            <w:r>
              <w:rPr>
                <w:rFonts w:hint="eastAsia" w:ascii="仿宋" w:hAnsi="仿宋" w:eastAsia="仿宋" w:cs="仿宋"/>
                <w:color w:val="auto"/>
                <w:spacing w:val="-4"/>
                <w:sz w:val="24"/>
                <w:szCs w:val="24"/>
              </w:rPr>
              <w:t>99.5%</w:t>
            </w:r>
          </w:p>
        </w:tc>
        <w:tc>
          <w:tcPr>
            <w:tcW w:w="1398" w:type="dxa"/>
            <w:tcBorders>
              <w:top w:val="single" w:color="000000" w:sz="2" w:space="0"/>
              <w:bottom w:val="single" w:color="000000" w:sz="2" w:space="0"/>
            </w:tcBorders>
          </w:tcPr>
          <w:p>
            <w:pPr>
              <w:adjustRightInd/>
              <w:snapToGrid/>
              <w:spacing w:line="520" w:lineRule="exact"/>
              <w:ind w:firstLine="472" w:firstLineChars="200"/>
              <w:jc w:val="both"/>
              <w:rPr>
                <w:rFonts w:ascii="仿宋" w:hAnsi="仿宋" w:eastAsia="仿宋" w:cs="仿宋"/>
                <w:color w:val="auto"/>
                <w:spacing w:val="-2"/>
                <w:sz w:val="24"/>
                <w:szCs w:val="24"/>
              </w:rPr>
            </w:pPr>
          </w:p>
          <w:p>
            <w:pPr>
              <w:adjustRightInd/>
              <w:snapToGrid/>
              <w:spacing w:line="520" w:lineRule="exact"/>
              <w:ind w:firstLine="472" w:firstLineChars="200"/>
              <w:jc w:val="both"/>
              <w:rPr>
                <w:rFonts w:ascii="仿宋" w:hAnsi="仿宋" w:eastAsia="仿宋" w:cs="仿宋"/>
                <w:color w:val="auto"/>
                <w:sz w:val="24"/>
                <w:szCs w:val="24"/>
              </w:rPr>
            </w:pPr>
            <w:r>
              <w:rPr>
                <w:rFonts w:hint="eastAsia" w:ascii="仿宋" w:hAnsi="仿宋" w:eastAsia="仿宋" w:cs="仿宋"/>
                <w:color w:val="auto"/>
                <w:spacing w:val="-2"/>
                <w:sz w:val="24"/>
                <w:szCs w:val="24"/>
              </w:rPr>
              <w:t>&gt;</w:t>
            </w:r>
            <w:r>
              <w:rPr>
                <w:rFonts w:hint="eastAsia" w:ascii="仿宋" w:hAnsi="仿宋" w:eastAsia="仿宋" w:cs="仿宋"/>
                <w:color w:val="auto"/>
                <w:spacing w:val="-1"/>
                <w:sz w:val="24"/>
                <w:szCs w:val="24"/>
              </w:rPr>
              <w:t>92.0</w:t>
            </w:r>
          </w:p>
          <w:p>
            <w:pPr>
              <w:adjustRightInd/>
              <w:snapToGrid/>
              <w:spacing w:line="520" w:lineRule="exact"/>
              <w:ind w:firstLine="464" w:firstLineChars="200"/>
              <w:jc w:val="both"/>
              <w:rPr>
                <w:rFonts w:ascii="仿宋" w:hAnsi="仿宋" w:eastAsia="仿宋" w:cs="仿宋"/>
                <w:color w:val="auto"/>
                <w:sz w:val="24"/>
                <w:szCs w:val="24"/>
              </w:rPr>
            </w:pPr>
            <w:r>
              <w:rPr>
                <w:rFonts w:hint="eastAsia" w:ascii="仿宋" w:hAnsi="仿宋" w:eastAsia="仿宋" w:cs="仿宋"/>
                <w:color w:val="auto"/>
                <w:spacing w:val="-4"/>
                <w:sz w:val="24"/>
                <w:szCs w:val="24"/>
              </w:rPr>
              <w:t>99.5</w:t>
            </w:r>
          </w:p>
          <w:p>
            <w:pPr>
              <w:adjustRightInd/>
              <w:snapToGrid/>
              <w:spacing w:line="520" w:lineRule="exact"/>
              <w:ind w:firstLine="464" w:firstLineChars="200"/>
              <w:jc w:val="both"/>
              <w:rPr>
                <w:rFonts w:ascii="仿宋" w:hAnsi="仿宋" w:eastAsia="仿宋" w:cs="仿宋"/>
                <w:color w:val="auto"/>
                <w:sz w:val="24"/>
                <w:szCs w:val="24"/>
              </w:rPr>
            </w:pPr>
            <w:r>
              <w:rPr>
                <w:rFonts w:hint="eastAsia" w:ascii="仿宋" w:hAnsi="仿宋" w:eastAsia="仿宋" w:cs="仿宋"/>
                <w:color w:val="auto"/>
                <w:spacing w:val="-4"/>
                <w:sz w:val="24"/>
                <w:szCs w:val="24"/>
              </w:rPr>
              <w:t>9</w:t>
            </w:r>
            <w:r>
              <w:rPr>
                <w:rFonts w:hint="eastAsia" w:ascii="仿宋" w:hAnsi="仿宋" w:eastAsia="仿宋" w:cs="仿宋"/>
                <w:color w:val="auto"/>
                <w:spacing w:val="-2"/>
                <w:sz w:val="24"/>
                <w:szCs w:val="24"/>
              </w:rPr>
              <w:t>4.0</w:t>
            </w:r>
          </w:p>
          <w:p>
            <w:pPr>
              <w:adjustRightInd/>
              <w:snapToGrid/>
              <w:spacing w:line="520" w:lineRule="exact"/>
              <w:ind w:firstLine="464" w:firstLineChars="200"/>
              <w:jc w:val="both"/>
              <w:rPr>
                <w:rFonts w:ascii="仿宋" w:hAnsi="仿宋" w:eastAsia="仿宋" w:cs="仿宋"/>
                <w:color w:val="FF0000"/>
                <w:sz w:val="24"/>
                <w:szCs w:val="24"/>
              </w:rPr>
            </w:pPr>
            <w:r>
              <w:rPr>
                <w:rFonts w:hint="eastAsia" w:ascii="仿宋" w:hAnsi="仿宋" w:eastAsia="仿宋" w:cs="仿宋"/>
                <w:color w:val="auto"/>
                <w:spacing w:val="-4"/>
                <w:sz w:val="24"/>
                <w:szCs w:val="24"/>
              </w:rPr>
              <w:t>100</w:t>
            </w:r>
          </w:p>
        </w:tc>
        <w:tc>
          <w:tcPr>
            <w:tcW w:w="1024" w:type="dxa"/>
            <w:tcBorders>
              <w:top w:val="single" w:color="000000" w:sz="2" w:space="0"/>
              <w:bottom w:val="single" w:color="000000" w:sz="2" w:space="0"/>
            </w:tcBorders>
          </w:tcPr>
          <w:p>
            <w:pPr>
              <w:adjustRightInd/>
              <w:snapToGrid/>
              <w:spacing w:line="520" w:lineRule="exact"/>
              <w:jc w:val="center"/>
              <w:rPr>
                <w:rFonts w:ascii="仿宋" w:hAnsi="仿宋" w:eastAsia="仿宋" w:cs="仿宋"/>
                <w:color w:val="auto"/>
                <w:spacing w:val="4"/>
                <w:sz w:val="24"/>
                <w:szCs w:val="24"/>
              </w:rPr>
            </w:pPr>
          </w:p>
          <w:p>
            <w:pPr>
              <w:adjustRightInd/>
              <w:snapToGrid/>
              <w:spacing w:line="520" w:lineRule="exact"/>
              <w:jc w:val="center"/>
              <w:rPr>
                <w:rFonts w:ascii="仿宋" w:hAnsi="仿宋" w:eastAsia="仿宋" w:cs="仿宋"/>
                <w:color w:val="FF0000"/>
                <w:sz w:val="24"/>
                <w:szCs w:val="24"/>
              </w:rPr>
            </w:pPr>
            <w:r>
              <w:rPr>
                <w:rFonts w:hint="eastAsia" w:ascii="仿宋" w:hAnsi="仿宋" w:eastAsia="仿宋" w:cs="仿宋"/>
                <w:color w:val="auto"/>
                <w:spacing w:val="4"/>
                <w:sz w:val="24"/>
                <w:szCs w:val="24"/>
              </w:rPr>
              <w:t>预</w:t>
            </w:r>
            <w:r>
              <w:rPr>
                <w:rFonts w:hint="eastAsia" w:ascii="仿宋" w:hAnsi="仿宋" w:eastAsia="仿宋" w:cs="仿宋"/>
                <w:color w:val="auto"/>
                <w:spacing w:val="3"/>
                <w:sz w:val="24"/>
                <w:szCs w:val="24"/>
              </w:rPr>
              <w:t>期性</w:t>
            </w:r>
            <w:r>
              <w:rPr>
                <w:rFonts w:hint="eastAsia" w:ascii="仿宋" w:hAnsi="仿宋" w:eastAsia="仿宋" w:cs="仿宋"/>
                <w:color w:val="FF0000"/>
                <w:sz w:val="24"/>
                <w:szCs w:val="24"/>
              </w:rPr>
              <w:t xml:space="preserve"> </w:t>
            </w:r>
            <w:r>
              <w:rPr>
                <w:rFonts w:hint="eastAsia" w:ascii="仿宋" w:hAnsi="仿宋" w:eastAsia="仿宋" w:cs="仿宋"/>
                <w:color w:val="auto"/>
                <w:spacing w:val="4"/>
                <w:sz w:val="24"/>
                <w:szCs w:val="24"/>
              </w:rPr>
              <w:t>约</w:t>
            </w:r>
            <w:r>
              <w:rPr>
                <w:rFonts w:hint="eastAsia" w:ascii="仿宋" w:hAnsi="仿宋" w:eastAsia="仿宋" w:cs="仿宋"/>
                <w:color w:val="auto"/>
                <w:spacing w:val="3"/>
                <w:sz w:val="24"/>
                <w:szCs w:val="24"/>
              </w:rPr>
              <w:t>束性</w:t>
            </w:r>
            <w:r>
              <w:rPr>
                <w:rFonts w:hint="eastAsia" w:ascii="仿宋" w:hAnsi="仿宋" w:eastAsia="仿宋" w:cs="仿宋"/>
                <w:color w:val="FF0000"/>
                <w:sz w:val="24"/>
                <w:szCs w:val="24"/>
              </w:rPr>
              <w:t xml:space="preserve"> </w:t>
            </w:r>
            <w:r>
              <w:rPr>
                <w:rFonts w:hint="eastAsia" w:ascii="仿宋" w:hAnsi="仿宋" w:eastAsia="仿宋" w:cs="仿宋"/>
                <w:color w:val="auto"/>
                <w:spacing w:val="4"/>
                <w:sz w:val="24"/>
                <w:szCs w:val="24"/>
              </w:rPr>
              <w:t>预</w:t>
            </w:r>
            <w:r>
              <w:rPr>
                <w:rFonts w:hint="eastAsia" w:ascii="仿宋" w:hAnsi="仿宋" w:eastAsia="仿宋" w:cs="仿宋"/>
                <w:color w:val="auto"/>
                <w:spacing w:val="3"/>
                <w:sz w:val="24"/>
                <w:szCs w:val="24"/>
              </w:rPr>
              <w:t>期性</w:t>
            </w:r>
            <w:r>
              <w:rPr>
                <w:rFonts w:hint="eastAsia" w:ascii="仿宋" w:hAnsi="仿宋" w:eastAsia="仿宋" w:cs="仿宋"/>
                <w:color w:val="FF0000"/>
                <w:sz w:val="24"/>
                <w:szCs w:val="24"/>
              </w:rPr>
              <w:t xml:space="preserve"> </w:t>
            </w:r>
          </w:p>
          <w:p>
            <w:pPr>
              <w:adjustRightInd/>
              <w:snapToGrid/>
              <w:spacing w:line="520" w:lineRule="exact"/>
              <w:jc w:val="center"/>
              <w:rPr>
                <w:rFonts w:ascii="仿宋" w:hAnsi="仿宋" w:eastAsia="仿宋" w:cs="仿宋"/>
                <w:color w:val="auto"/>
                <w:spacing w:val="4"/>
                <w:sz w:val="24"/>
                <w:szCs w:val="24"/>
              </w:rPr>
            </w:pPr>
            <w:r>
              <w:rPr>
                <w:rFonts w:hint="eastAsia" w:ascii="仿宋" w:hAnsi="仿宋" w:eastAsia="仿宋" w:cs="仿宋"/>
                <w:color w:val="auto"/>
                <w:spacing w:val="4"/>
                <w:sz w:val="24"/>
                <w:szCs w:val="24"/>
              </w:rPr>
              <w:t>预期性</w:t>
            </w:r>
          </w:p>
          <w:p>
            <w:pPr>
              <w:adjustRightInd/>
              <w:snapToGrid/>
              <w:spacing w:line="520" w:lineRule="exact"/>
              <w:jc w:val="center"/>
              <w:rPr>
                <w:rFonts w:ascii="仿宋" w:hAnsi="仿宋" w:eastAsia="仿宋" w:cs="仿宋"/>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hRule="atLeast"/>
        </w:trPr>
        <w:tc>
          <w:tcPr>
            <w:tcW w:w="4999" w:type="dxa"/>
            <w:tcBorders>
              <w:top w:val="single" w:color="000000" w:sz="2" w:space="0"/>
              <w:bottom w:val="single" w:color="000000" w:sz="2" w:space="0"/>
            </w:tcBorders>
          </w:tcPr>
          <w:p>
            <w:pPr>
              <w:adjustRightInd/>
              <w:snapToGrid/>
              <w:spacing w:line="520" w:lineRule="exact"/>
              <w:ind w:firstLine="504" w:firstLineChars="200"/>
              <w:jc w:val="both"/>
              <w:rPr>
                <w:rFonts w:ascii="仿宋" w:hAnsi="仿宋" w:eastAsia="仿宋" w:cs="仿宋"/>
                <w:color w:val="auto"/>
                <w:sz w:val="24"/>
                <w:szCs w:val="24"/>
              </w:rPr>
            </w:pPr>
            <w:r>
              <w:rPr>
                <w:rFonts w:hint="eastAsia" w:ascii="仿宋" w:hAnsi="仿宋" w:eastAsia="仿宋" w:cs="仿宋"/>
                <w:color w:val="auto"/>
                <w:spacing w:val="6"/>
                <w:sz w:val="24"/>
                <w:szCs w:val="24"/>
              </w:rPr>
              <w:t>职</w:t>
            </w:r>
            <w:r>
              <w:rPr>
                <w:rFonts w:hint="eastAsia" w:ascii="仿宋" w:hAnsi="仿宋" w:eastAsia="仿宋" w:cs="仿宋"/>
                <w:color w:val="auto"/>
                <w:spacing w:val="3"/>
                <w:sz w:val="24"/>
                <w:szCs w:val="24"/>
              </w:rPr>
              <w:t>业教育</w:t>
            </w:r>
          </w:p>
          <w:p>
            <w:pPr>
              <w:adjustRightInd/>
              <w:snapToGrid/>
              <w:spacing w:line="520" w:lineRule="exact"/>
              <w:ind w:firstLine="512" w:firstLineChars="200"/>
              <w:jc w:val="both"/>
              <w:rPr>
                <w:rFonts w:ascii="仿宋" w:hAnsi="仿宋" w:eastAsia="仿宋" w:cs="仿宋"/>
                <w:color w:val="auto"/>
                <w:sz w:val="24"/>
                <w:szCs w:val="24"/>
              </w:rPr>
            </w:pPr>
            <w:r>
              <w:rPr>
                <w:rFonts w:hint="eastAsia" w:ascii="仿宋" w:hAnsi="仿宋" w:eastAsia="仿宋" w:cs="仿宋"/>
                <w:color w:val="auto"/>
                <w:spacing w:val="8"/>
                <w:sz w:val="24"/>
                <w:szCs w:val="24"/>
              </w:rPr>
              <w:t>中等</w:t>
            </w:r>
            <w:r>
              <w:rPr>
                <w:rFonts w:hint="eastAsia" w:ascii="仿宋" w:hAnsi="仿宋" w:eastAsia="仿宋" w:cs="仿宋"/>
                <w:color w:val="auto"/>
                <w:spacing w:val="5"/>
                <w:sz w:val="24"/>
                <w:szCs w:val="24"/>
              </w:rPr>
              <w:t>职</w:t>
            </w:r>
            <w:r>
              <w:rPr>
                <w:rFonts w:hint="eastAsia" w:ascii="仿宋" w:hAnsi="仿宋" w:eastAsia="仿宋" w:cs="仿宋"/>
                <w:color w:val="auto"/>
                <w:spacing w:val="4"/>
                <w:sz w:val="24"/>
                <w:szCs w:val="24"/>
              </w:rPr>
              <w:t>业教育在校生(人)</w:t>
            </w:r>
          </w:p>
        </w:tc>
        <w:tc>
          <w:tcPr>
            <w:tcW w:w="1389" w:type="dxa"/>
            <w:tcBorders>
              <w:top w:val="single" w:color="000000" w:sz="2" w:space="0"/>
              <w:bottom w:val="single" w:color="000000" w:sz="2" w:space="0"/>
            </w:tcBorders>
          </w:tcPr>
          <w:p>
            <w:pPr>
              <w:adjustRightInd/>
              <w:snapToGrid/>
              <w:spacing w:line="520" w:lineRule="exact"/>
              <w:ind w:firstLine="464" w:firstLineChars="200"/>
              <w:jc w:val="both"/>
              <w:rPr>
                <w:rFonts w:ascii="仿宋" w:hAnsi="仿宋" w:eastAsia="仿宋" w:cs="仿宋"/>
                <w:color w:val="auto"/>
                <w:spacing w:val="-4"/>
                <w:sz w:val="24"/>
                <w:szCs w:val="24"/>
              </w:rPr>
            </w:pPr>
          </w:p>
          <w:p>
            <w:pPr>
              <w:adjustRightInd/>
              <w:snapToGrid/>
              <w:spacing w:line="520" w:lineRule="exact"/>
              <w:ind w:firstLine="464" w:firstLineChars="200"/>
              <w:jc w:val="both"/>
              <w:rPr>
                <w:rFonts w:ascii="仿宋" w:hAnsi="仿宋" w:eastAsia="仿宋" w:cs="仿宋"/>
                <w:color w:val="FF0000"/>
                <w:sz w:val="24"/>
                <w:szCs w:val="24"/>
              </w:rPr>
            </w:pPr>
            <w:r>
              <w:rPr>
                <w:rFonts w:hint="eastAsia" w:ascii="仿宋" w:hAnsi="仿宋" w:eastAsia="仿宋" w:cs="仿宋"/>
                <w:color w:val="auto"/>
                <w:spacing w:val="-4"/>
                <w:sz w:val="24"/>
                <w:szCs w:val="24"/>
              </w:rPr>
              <w:t>1138</w:t>
            </w:r>
          </w:p>
          <w:p>
            <w:pPr>
              <w:adjustRightInd/>
              <w:snapToGrid/>
              <w:spacing w:line="520" w:lineRule="exact"/>
              <w:ind w:firstLine="480" w:firstLineChars="200"/>
              <w:jc w:val="both"/>
              <w:rPr>
                <w:rFonts w:ascii="仿宋" w:hAnsi="仿宋" w:eastAsia="仿宋" w:cs="仿宋"/>
                <w:color w:val="FF0000"/>
                <w:sz w:val="24"/>
                <w:szCs w:val="24"/>
              </w:rPr>
            </w:pPr>
          </w:p>
        </w:tc>
        <w:tc>
          <w:tcPr>
            <w:tcW w:w="1398" w:type="dxa"/>
            <w:tcBorders>
              <w:top w:val="single" w:color="000000" w:sz="2" w:space="0"/>
              <w:bottom w:val="single" w:color="000000" w:sz="2" w:space="0"/>
            </w:tcBorders>
          </w:tcPr>
          <w:p>
            <w:pPr>
              <w:adjustRightInd/>
              <w:snapToGrid/>
              <w:spacing w:line="520" w:lineRule="exact"/>
              <w:ind w:firstLine="480" w:firstLineChars="200"/>
              <w:jc w:val="both"/>
              <w:rPr>
                <w:rFonts w:ascii="仿宋" w:hAnsi="仿宋" w:eastAsia="仿宋" w:cs="仿宋"/>
                <w:color w:val="auto"/>
                <w:sz w:val="24"/>
                <w:szCs w:val="24"/>
              </w:rPr>
            </w:pPr>
          </w:p>
          <w:p>
            <w:pPr>
              <w:adjustRightInd/>
              <w:snapToGrid/>
              <w:spacing w:line="520" w:lineRule="exact"/>
              <w:ind w:firstLine="480" w:firstLineChars="200"/>
              <w:jc w:val="both"/>
              <w:rPr>
                <w:rFonts w:ascii="仿宋" w:hAnsi="仿宋" w:eastAsia="仿宋" w:cs="仿宋"/>
                <w:color w:val="FF0000"/>
                <w:sz w:val="24"/>
                <w:szCs w:val="24"/>
              </w:rPr>
            </w:pPr>
            <w:r>
              <w:rPr>
                <w:rFonts w:hint="eastAsia" w:ascii="仿宋" w:hAnsi="仿宋" w:eastAsia="仿宋" w:cs="仿宋"/>
                <w:color w:val="auto"/>
                <w:sz w:val="24"/>
                <w:szCs w:val="24"/>
              </w:rPr>
              <w:t>1600</w:t>
            </w:r>
          </w:p>
          <w:p>
            <w:pPr>
              <w:adjustRightInd/>
              <w:snapToGrid/>
              <w:spacing w:line="520" w:lineRule="exact"/>
              <w:ind w:firstLine="480" w:firstLineChars="200"/>
              <w:jc w:val="both"/>
              <w:rPr>
                <w:rFonts w:ascii="仿宋" w:hAnsi="仿宋" w:eastAsia="仿宋" w:cs="仿宋"/>
                <w:color w:val="FF0000"/>
                <w:sz w:val="24"/>
                <w:szCs w:val="24"/>
              </w:rPr>
            </w:pPr>
          </w:p>
        </w:tc>
        <w:tc>
          <w:tcPr>
            <w:tcW w:w="1024"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color w:val="auto"/>
                <w:spacing w:val="4"/>
                <w:sz w:val="24"/>
                <w:szCs w:val="24"/>
              </w:rPr>
            </w:pPr>
          </w:p>
          <w:p>
            <w:pPr>
              <w:adjustRightInd/>
              <w:snapToGrid/>
              <w:spacing w:line="520" w:lineRule="exact"/>
              <w:jc w:val="center"/>
              <w:rPr>
                <w:rFonts w:ascii="仿宋" w:hAnsi="仿宋" w:eastAsia="仿宋" w:cs="仿宋"/>
                <w:color w:val="FF0000"/>
                <w:sz w:val="24"/>
                <w:szCs w:val="24"/>
              </w:rPr>
            </w:pPr>
            <w:r>
              <w:rPr>
                <w:rFonts w:hint="eastAsia" w:ascii="仿宋" w:hAnsi="仿宋" w:eastAsia="仿宋" w:cs="仿宋"/>
                <w:color w:val="auto"/>
                <w:spacing w:val="4"/>
                <w:sz w:val="24"/>
                <w:szCs w:val="24"/>
              </w:rPr>
              <w:t>预</w:t>
            </w:r>
            <w:r>
              <w:rPr>
                <w:rFonts w:hint="eastAsia" w:ascii="仿宋" w:hAnsi="仿宋" w:eastAsia="仿宋" w:cs="仿宋"/>
                <w:color w:val="auto"/>
                <w:spacing w:val="3"/>
                <w:sz w:val="24"/>
                <w:szCs w:val="24"/>
              </w:rPr>
              <w:t>期性</w:t>
            </w:r>
            <w:r>
              <w:rPr>
                <w:rFonts w:hint="eastAsia" w:ascii="仿宋" w:hAnsi="仿宋" w:eastAsia="仿宋" w:cs="仿宋"/>
                <w:color w:val="FF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4999" w:type="dxa"/>
            <w:tcBorders>
              <w:top w:val="single" w:color="000000" w:sz="2" w:space="0"/>
              <w:bottom w:val="single" w:color="000000" w:sz="2" w:space="0"/>
            </w:tcBorders>
          </w:tcPr>
          <w:p>
            <w:pPr>
              <w:adjustRightInd/>
              <w:snapToGrid/>
              <w:spacing w:line="520" w:lineRule="exact"/>
              <w:ind w:firstLine="500" w:firstLineChars="200"/>
              <w:jc w:val="both"/>
              <w:rPr>
                <w:rFonts w:ascii="仿宋" w:hAnsi="仿宋" w:eastAsia="仿宋" w:cs="仿宋"/>
                <w:color w:val="auto"/>
                <w:sz w:val="24"/>
                <w:szCs w:val="24"/>
              </w:rPr>
            </w:pPr>
            <w:r>
              <w:rPr>
                <w:rFonts w:hint="eastAsia" w:ascii="仿宋" w:hAnsi="仿宋" w:eastAsia="仿宋" w:cs="仿宋"/>
                <w:color w:val="auto"/>
                <w:spacing w:val="5"/>
                <w:sz w:val="24"/>
                <w:szCs w:val="24"/>
              </w:rPr>
              <w:t>普</w:t>
            </w:r>
            <w:r>
              <w:rPr>
                <w:rFonts w:hint="eastAsia" w:ascii="仿宋" w:hAnsi="仿宋" w:eastAsia="仿宋" w:cs="仿宋"/>
                <w:color w:val="auto"/>
                <w:spacing w:val="3"/>
                <w:sz w:val="24"/>
                <w:szCs w:val="24"/>
              </w:rPr>
              <w:t>通教育</w:t>
            </w:r>
          </w:p>
          <w:p>
            <w:pPr>
              <w:adjustRightInd/>
              <w:snapToGrid/>
              <w:spacing w:line="520" w:lineRule="exact"/>
              <w:ind w:firstLine="452" w:firstLineChars="200"/>
              <w:jc w:val="both"/>
              <w:rPr>
                <w:rFonts w:ascii="仿宋" w:hAnsi="仿宋" w:eastAsia="仿宋" w:cs="仿宋"/>
                <w:color w:val="auto"/>
                <w:sz w:val="24"/>
                <w:szCs w:val="24"/>
              </w:rPr>
            </w:pPr>
            <w:r>
              <w:rPr>
                <w:rFonts w:hint="eastAsia" w:ascii="仿宋" w:hAnsi="仿宋" w:eastAsia="仿宋" w:cs="仿宋"/>
                <w:color w:val="auto"/>
                <w:spacing w:val="-7"/>
                <w:sz w:val="24"/>
                <w:szCs w:val="24"/>
              </w:rPr>
              <w:t>普通高中在校生(人)</w:t>
            </w:r>
          </w:p>
          <w:p>
            <w:pPr>
              <w:adjustRightInd/>
              <w:snapToGrid/>
              <w:spacing w:line="520" w:lineRule="exact"/>
              <w:ind w:firstLine="480" w:firstLineChars="200"/>
              <w:jc w:val="both"/>
              <w:rPr>
                <w:rFonts w:ascii="仿宋" w:hAnsi="仿宋" w:eastAsia="仿宋" w:cs="仿宋"/>
                <w:color w:val="FF0000"/>
                <w:sz w:val="24"/>
                <w:szCs w:val="24"/>
              </w:rPr>
            </w:pPr>
          </w:p>
        </w:tc>
        <w:tc>
          <w:tcPr>
            <w:tcW w:w="1389" w:type="dxa"/>
            <w:tcBorders>
              <w:top w:val="single" w:color="000000" w:sz="2" w:space="0"/>
              <w:bottom w:val="single" w:color="000000" w:sz="2" w:space="0"/>
            </w:tcBorders>
          </w:tcPr>
          <w:p>
            <w:pPr>
              <w:adjustRightInd/>
              <w:snapToGrid/>
              <w:spacing w:line="520" w:lineRule="exact"/>
              <w:ind w:firstLine="456" w:firstLineChars="200"/>
              <w:jc w:val="both"/>
              <w:rPr>
                <w:rFonts w:ascii="仿宋" w:hAnsi="仿宋" w:eastAsia="仿宋" w:cs="仿宋"/>
                <w:color w:val="auto"/>
                <w:spacing w:val="-6"/>
                <w:sz w:val="24"/>
                <w:szCs w:val="24"/>
              </w:rPr>
            </w:pPr>
          </w:p>
          <w:p>
            <w:pPr>
              <w:adjustRightInd/>
              <w:snapToGrid/>
              <w:spacing w:line="520" w:lineRule="exact"/>
              <w:ind w:firstLine="456" w:firstLineChars="200"/>
              <w:jc w:val="both"/>
              <w:rPr>
                <w:rFonts w:ascii="仿宋" w:hAnsi="仿宋" w:eastAsia="仿宋" w:cs="仿宋"/>
                <w:color w:val="auto"/>
                <w:spacing w:val="-6"/>
                <w:sz w:val="24"/>
                <w:szCs w:val="24"/>
              </w:rPr>
            </w:pPr>
            <w:r>
              <w:rPr>
                <w:rFonts w:hint="eastAsia" w:ascii="仿宋" w:hAnsi="仿宋" w:eastAsia="仿宋" w:cs="仿宋"/>
                <w:color w:val="auto"/>
                <w:spacing w:val="-6"/>
                <w:sz w:val="24"/>
                <w:szCs w:val="24"/>
              </w:rPr>
              <w:t>5339</w:t>
            </w:r>
          </w:p>
          <w:p>
            <w:pPr>
              <w:adjustRightInd/>
              <w:snapToGrid/>
              <w:spacing w:line="520" w:lineRule="exact"/>
              <w:ind w:firstLine="480" w:firstLineChars="200"/>
              <w:jc w:val="both"/>
              <w:rPr>
                <w:rFonts w:ascii="仿宋" w:hAnsi="仿宋" w:eastAsia="仿宋" w:cs="仿宋"/>
                <w:color w:val="FF0000"/>
                <w:sz w:val="24"/>
                <w:szCs w:val="24"/>
              </w:rPr>
            </w:pPr>
          </w:p>
        </w:tc>
        <w:tc>
          <w:tcPr>
            <w:tcW w:w="1398" w:type="dxa"/>
            <w:tcBorders>
              <w:top w:val="single" w:color="000000" w:sz="2" w:space="0"/>
              <w:bottom w:val="single" w:color="000000" w:sz="2" w:space="0"/>
            </w:tcBorders>
          </w:tcPr>
          <w:p>
            <w:pPr>
              <w:adjustRightInd/>
              <w:snapToGrid/>
              <w:spacing w:line="520" w:lineRule="exact"/>
              <w:ind w:firstLine="456" w:firstLineChars="200"/>
              <w:jc w:val="both"/>
              <w:rPr>
                <w:rFonts w:ascii="仿宋" w:hAnsi="仿宋" w:eastAsia="仿宋" w:cs="仿宋"/>
                <w:color w:val="auto"/>
                <w:spacing w:val="-6"/>
                <w:sz w:val="24"/>
                <w:szCs w:val="24"/>
              </w:rPr>
            </w:pPr>
          </w:p>
          <w:p>
            <w:pPr>
              <w:adjustRightInd/>
              <w:snapToGrid/>
              <w:spacing w:line="520" w:lineRule="exact"/>
              <w:ind w:firstLine="456" w:firstLineChars="200"/>
              <w:jc w:val="both"/>
              <w:rPr>
                <w:rFonts w:ascii="仿宋" w:hAnsi="仿宋" w:eastAsia="仿宋" w:cs="仿宋"/>
                <w:color w:val="FF0000"/>
                <w:sz w:val="24"/>
                <w:szCs w:val="24"/>
              </w:rPr>
            </w:pPr>
            <w:r>
              <w:rPr>
                <w:rFonts w:hint="eastAsia" w:ascii="仿宋" w:hAnsi="仿宋" w:eastAsia="仿宋" w:cs="仿宋"/>
                <w:color w:val="auto"/>
                <w:spacing w:val="-6"/>
                <w:sz w:val="24"/>
                <w:szCs w:val="24"/>
              </w:rPr>
              <w:t>5800</w:t>
            </w:r>
          </w:p>
          <w:p>
            <w:pPr>
              <w:adjustRightInd/>
              <w:snapToGrid/>
              <w:spacing w:line="520" w:lineRule="exact"/>
              <w:ind w:firstLine="480" w:firstLineChars="200"/>
              <w:jc w:val="both"/>
              <w:rPr>
                <w:rFonts w:ascii="仿宋" w:hAnsi="仿宋" w:eastAsia="仿宋" w:cs="仿宋"/>
                <w:color w:val="FF0000"/>
                <w:sz w:val="24"/>
                <w:szCs w:val="24"/>
              </w:rPr>
            </w:pPr>
          </w:p>
        </w:tc>
        <w:tc>
          <w:tcPr>
            <w:tcW w:w="1024" w:type="dxa"/>
            <w:tcBorders>
              <w:top w:val="single" w:color="000000" w:sz="2" w:space="0"/>
              <w:bottom w:val="single" w:color="000000" w:sz="2" w:space="0"/>
            </w:tcBorders>
          </w:tcPr>
          <w:p>
            <w:pPr>
              <w:adjustRightInd/>
              <w:snapToGrid/>
              <w:spacing w:line="520" w:lineRule="exact"/>
              <w:ind w:firstLine="480" w:firstLineChars="200"/>
              <w:jc w:val="both"/>
              <w:rPr>
                <w:rFonts w:ascii="仿宋" w:hAnsi="仿宋" w:eastAsia="仿宋" w:cs="仿宋"/>
                <w:color w:val="FF0000"/>
                <w:sz w:val="24"/>
                <w:szCs w:val="24"/>
              </w:rPr>
            </w:pPr>
          </w:p>
          <w:p>
            <w:pPr>
              <w:adjustRightInd/>
              <w:snapToGrid/>
              <w:spacing w:line="520" w:lineRule="exact"/>
              <w:jc w:val="center"/>
              <w:rPr>
                <w:rFonts w:ascii="仿宋" w:hAnsi="仿宋" w:eastAsia="仿宋" w:cs="仿宋"/>
                <w:color w:val="FF0000"/>
                <w:sz w:val="24"/>
                <w:szCs w:val="24"/>
              </w:rPr>
            </w:pPr>
            <w:r>
              <w:rPr>
                <w:rFonts w:hint="eastAsia" w:ascii="仿宋" w:hAnsi="仿宋" w:eastAsia="仿宋" w:cs="仿宋"/>
                <w:color w:val="auto"/>
                <w:spacing w:val="4"/>
                <w:sz w:val="24"/>
                <w:szCs w:val="24"/>
              </w:rPr>
              <w:t>预</w:t>
            </w:r>
            <w:r>
              <w:rPr>
                <w:rFonts w:hint="eastAsia" w:ascii="仿宋" w:hAnsi="仿宋" w:eastAsia="仿宋" w:cs="仿宋"/>
                <w:color w:val="auto"/>
                <w:spacing w:val="3"/>
                <w:sz w:val="24"/>
                <w:szCs w:val="24"/>
              </w:rPr>
              <w:t>期性</w:t>
            </w:r>
            <w:r>
              <w:rPr>
                <w:rFonts w:hint="eastAsia" w:ascii="仿宋" w:hAnsi="仿宋" w:eastAsia="仿宋" w:cs="仿宋"/>
                <w:color w:val="FF0000"/>
                <w:sz w:val="24"/>
                <w:szCs w:val="24"/>
              </w:rPr>
              <w:t xml:space="preserve"> </w:t>
            </w:r>
          </w:p>
        </w:tc>
      </w:tr>
    </w:tbl>
    <w:p>
      <w:pPr>
        <w:adjustRightInd/>
        <w:snapToGrid/>
        <w:spacing w:line="520" w:lineRule="exact"/>
        <w:ind w:firstLine="640" w:firstLineChars="200"/>
        <w:jc w:val="both"/>
        <w:rPr>
          <w:rFonts w:ascii="仿宋" w:hAnsi="仿宋" w:eastAsia="仿宋" w:cs="仿宋"/>
          <w:sz w:val="32"/>
          <w:szCs w:val="32"/>
        </w:rPr>
      </w:pPr>
    </w:p>
    <w:p>
      <w:pPr>
        <w:adjustRightInd/>
        <w:snapToGrid/>
        <w:spacing w:line="520" w:lineRule="exact"/>
        <w:ind w:firstLine="516" w:firstLineChars="200"/>
        <w:jc w:val="both"/>
        <w:rPr>
          <w:rFonts w:ascii="仿宋" w:hAnsi="仿宋" w:eastAsia="仿宋" w:cs="仿宋"/>
          <w:spacing w:val="-31"/>
          <w:sz w:val="32"/>
          <w:szCs w:val="32"/>
        </w:rPr>
      </w:pPr>
    </w:p>
    <w:p>
      <w:pPr>
        <w:adjustRightInd/>
        <w:snapToGrid/>
        <w:spacing w:line="520" w:lineRule="exact"/>
        <w:ind w:firstLine="516" w:firstLineChars="200"/>
        <w:jc w:val="both"/>
        <w:rPr>
          <w:rFonts w:ascii="仿宋" w:hAnsi="仿宋" w:eastAsia="仿宋" w:cs="仿宋"/>
          <w:sz w:val="32"/>
          <w:szCs w:val="32"/>
        </w:rPr>
      </w:pPr>
      <w:r>
        <w:rPr>
          <w:rFonts w:hint="eastAsia" w:ascii="仿宋" w:hAnsi="仿宋" w:eastAsia="仿宋" w:cs="仿宋"/>
          <w:spacing w:val="-31"/>
          <w:sz w:val="32"/>
          <w:szCs w:val="32"/>
        </w:rPr>
        <w:t>三</w:t>
      </w:r>
      <w:r>
        <w:rPr>
          <w:rFonts w:hint="eastAsia" w:ascii="仿宋" w:hAnsi="仿宋" w:eastAsia="仿宋" w:cs="仿宋"/>
          <w:spacing w:val="-30"/>
          <w:sz w:val="32"/>
          <w:szCs w:val="32"/>
        </w:rPr>
        <w:t>、重点任务</w:t>
      </w:r>
    </w:p>
    <w:p>
      <w:pPr>
        <w:adjustRightInd/>
        <w:snapToGrid/>
        <w:spacing w:line="520" w:lineRule="exact"/>
        <w:ind w:firstLine="584" w:firstLineChars="200"/>
        <w:jc w:val="both"/>
        <w:rPr>
          <w:rFonts w:ascii="仿宋" w:hAnsi="仿宋" w:eastAsia="仿宋" w:cs="仿宋"/>
          <w:sz w:val="32"/>
          <w:szCs w:val="32"/>
        </w:rPr>
      </w:pPr>
      <w:r>
        <w:rPr>
          <w:rFonts w:hint="eastAsia" w:ascii="仿宋" w:hAnsi="仿宋" w:eastAsia="仿宋" w:cs="仿宋"/>
          <w:spacing w:val="-14"/>
          <w:sz w:val="32"/>
          <w:szCs w:val="32"/>
        </w:rPr>
        <w:t>(</w:t>
      </w:r>
      <w:r>
        <w:rPr>
          <w:rFonts w:hint="eastAsia" w:ascii="仿宋" w:hAnsi="仿宋" w:eastAsia="仿宋" w:cs="仿宋"/>
          <w:spacing w:val="-8"/>
          <w:sz w:val="32"/>
          <w:szCs w:val="32"/>
        </w:rPr>
        <w:t>一</w:t>
      </w:r>
      <w:r>
        <w:rPr>
          <w:rFonts w:hint="eastAsia" w:ascii="仿宋" w:hAnsi="仿宋" w:eastAsia="仿宋" w:cs="仿宋"/>
          <w:spacing w:val="-7"/>
          <w:sz w:val="32"/>
          <w:szCs w:val="32"/>
        </w:rPr>
        <w:t>)落实立德树人根本任务</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坚持德育为先、“五育”并举，以促进人的全面发展为导向，构建德智体美劳全面培养的教育体系，实现育人和育才的有机统一。</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1.深化思想政治教育</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坚持用习近平新时代中国特色社会主义思想铸魂育人，扎实推进习近平新时代中国特色社会主义思想进教材、进课堂、进头脑。统筹推进中小学思政课一体化建设，加强对不同学段、不同类型思政课建设分类指导。深化思政课改革创新，推进思政课问题式专题化教学改革，有序推进思政课立体课堂建设，提高思政课教学效果。整体推进课程思政建设，落实领导干部上思政课制度。创新思想政治教育方式，构建党史、新中国史、改革开放史、社会主义发展史常态化教育机制，加快构建网络思想政治教育资源传播矩阵，将铸牢中华民族共同体意识有机融入学校思想政治教育。配齐建强思政课教师队伍，持续提升思想政治工作队伍素质能力。大力推进中小幼德育一体化建设，根据不同学段学生身心发展规律，构建分层递进、有效衔接的德育体系。落实《中小学德育工作指南》,全面加强新时代爱国主义、公民道德和社会主义核心价值观教育。实施中小幼文明养成行动，把形成健全人格、增强核心素养作为中小幼德育的重要内容，全面纳入中小幼教育教学计划，强化监督考核，形成常态长效。</w:t>
      </w:r>
      <w:r>
        <w:rPr>
          <w:rFonts w:ascii="仿宋" w:hAnsi="仿宋" w:eastAsia="仿宋" w:cs="仿宋"/>
          <w:spacing w:val="9"/>
          <w:sz w:val="32"/>
          <w:szCs w:val="32"/>
        </w:rPr>
        <w:t>充分发挥</w:t>
      </w:r>
      <w:r>
        <w:rPr>
          <w:rFonts w:hint="eastAsia" w:ascii="仿宋" w:hAnsi="仿宋" w:eastAsia="仿宋" w:cs="仿宋"/>
          <w:spacing w:val="9"/>
          <w:sz w:val="32"/>
          <w:szCs w:val="32"/>
        </w:rPr>
        <w:t>浮梁县</w:t>
      </w:r>
      <w:r>
        <w:rPr>
          <w:rFonts w:ascii="仿宋" w:hAnsi="仿宋" w:eastAsia="仿宋" w:cs="仿宋"/>
          <w:spacing w:val="9"/>
          <w:sz w:val="32"/>
          <w:szCs w:val="32"/>
        </w:rPr>
        <w:t>红色文化资源优势，</w:t>
      </w:r>
      <w:r>
        <w:rPr>
          <w:rFonts w:hint="eastAsia" w:ascii="仿宋" w:hAnsi="仿宋" w:eastAsia="仿宋" w:cs="仿宋"/>
          <w:bCs/>
          <w:spacing w:val="9"/>
          <w:sz w:val="32"/>
          <w:szCs w:val="32"/>
        </w:rPr>
        <w:t>实施红色文化育人工程，打造红色文化教育品牌，使红色教育融入学校工作全方面、全过程，着力培育造就一批批具有红色血脉的时代新人。</w:t>
      </w:r>
      <w:r>
        <w:rPr>
          <w:rFonts w:ascii="仿宋" w:hAnsi="仿宋" w:eastAsia="仿宋" w:cs="仿宋"/>
          <w:spacing w:val="9"/>
          <w:sz w:val="32"/>
          <w:szCs w:val="32"/>
        </w:rPr>
        <w:t>深入推进“红色、绿色、古色”育人实践，持续开展诵读红色家书</w:t>
      </w:r>
      <w:r>
        <w:rPr>
          <w:rFonts w:hint="eastAsia" w:ascii="仿宋" w:hAnsi="仿宋" w:eastAsia="仿宋" w:cs="仿宋"/>
          <w:spacing w:val="9"/>
          <w:sz w:val="32"/>
          <w:szCs w:val="32"/>
        </w:rPr>
        <w:t>、</w:t>
      </w:r>
      <w:r>
        <w:rPr>
          <w:rFonts w:ascii="仿宋" w:hAnsi="仿宋" w:eastAsia="仿宋" w:cs="仿宋"/>
          <w:spacing w:val="9"/>
          <w:sz w:val="32"/>
          <w:szCs w:val="32"/>
        </w:rPr>
        <w:t>红色走读</w:t>
      </w:r>
      <w:r>
        <w:rPr>
          <w:rFonts w:hint="eastAsia" w:ascii="仿宋" w:hAnsi="仿宋" w:eastAsia="仿宋" w:cs="仿宋"/>
          <w:spacing w:val="9"/>
          <w:sz w:val="32"/>
          <w:szCs w:val="32"/>
        </w:rPr>
        <w:t>、</w:t>
      </w:r>
      <w:r>
        <w:rPr>
          <w:rFonts w:ascii="仿宋" w:hAnsi="仿宋" w:eastAsia="仿宋" w:cs="仿宋"/>
          <w:spacing w:val="9"/>
          <w:sz w:val="32"/>
          <w:szCs w:val="32"/>
        </w:rPr>
        <w:t>红色研学实践</w:t>
      </w:r>
      <w:r>
        <w:rPr>
          <w:rFonts w:hint="eastAsia" w:ascii="仿宋" w:hAnsi="仿宋" w:eastAsia="仿宋" w:cs="仿宋"/>
          <w:spacing w:val="9"/>
          <w:sz w:val="32"/>
          <w:szCs w:val="32"/>
        </w:rPr>
        <w:t>、</w:t>
      </w:r>
      <w:r>
        <w:rPr>
          <w:rFonts w:ascii="仿宋" w:hAnsi="仿宋" w:eastAsia="仿宋" w:cs="仿宋"/>
          <w:spacing w:val="9"/>
          <w:sz w:val="32"/>
          <w:szCs w:val="32"/>
        </w:rPr>
        <w:t>红色歌曲传唱等活动，</w:t>
      </w:r>
      <w:r>
        <w:rPr>
          <w:rFonts w:hint="eastAsia" w:ascii="仿宋" w:hAnsi="仿宋" w:eastAsia="仿宋" w:cs="仿宋"/>
          <w:spacing w:val="9"/>
          <w:sz w:val="32"/>
          <w:szCs w:val="32"/>
        </w:rPr>
        <w:t>开发学生喜闻乐见的红色文化融媒体作品</w:t>
      </w:r>
      <w:r>
        <w:rPr>
          <w:rFonts w:ascii="仿宋" w:hAnsi="仿宋" w:eastAsia="仿宋" w:cs="仿宋"/>
          <w:spacing w:val="9"/>
          <w:sz w:val="32"/>
          <w:szCs w:val="32"/>
        </w:rPr>
        <w:t>，培养学生爱党爱国爱家乡的情感。</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2.推进红色基因传承</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充分发挥本地红色资源优势，实施红色文化育人工程，打造红色文化教育本土品牌。推进红色文化进教材、进课堂、进头脑，在中小学开设红色文化课程，全面使用《红色文化》系列教材，建设红色班级，推动革命传统教育常态化。创新红色教育方式方法，积极推进红色文化育人实践，持续开展“诵读红色家书”“红色走读”“追寻红色足迹”“红色研学实践”“红色歌曲传唱”等红色基因传承活动，开发学生喜闻乐见的红色文化融媒体产品，开展线上“云游”,激发学生爱国热情和报国之志，让红色基因植入学生血脉。深化红色基因传承系统研究，加强井冈山精神、苏区精神、长征精神、老区精神等中国共产党人精神谱系研究阐释，发挥红色基因育人功能，推动红色基因传承与思想政治教育深度融合，培养担当民族复兴大任的时代新人。</w:t>
      </w:r>
    </w:p>
    <w:p>
      <w:pPr>
        <w:adjustRightInd/>
        <w:snapToGrid/>
        <w:spacing w:line="520" w:lineRule="exact"/>
        <w:ind w:firstLine="640" w:firstLineChars="200"/>
        <w:jc w:val="both"/>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tbl>
      <w:tblPr>
        <w:tblStyle w:val="13"/>
        <w:tblW w:w="882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820" w:type="dxa"/>
            <w:tcBorders>
              <w:top w:val="single" w:color="000000" w:sz="2" w:space="0"/>
              <w:bottom w:val="single" w:color="000000" w:sz="2" w:space="0"/>
            </w:tcBorders>
          </w:tcPr>
          <w:p>
            <w:pPr>
              <w:adjustRightInd/>
              <w:snapToGrid/>
              <w:spacing w:line="520" w:lineRule="exact"/>
              <w:ind w:firstLine="556" w:firstLineChars="200"/>
              <w:jc w:val="both"/>
              <w:rPr>
                <w:rFonts w:ascii="仿宋" w:hAnsi="仿宋" w:eastAsia="仿宋" w:cs="仿宋"/>
                <w:color w:val="auto"/>
                <w:sz w:val="24"/>
                <w:szCs w:val="24"/>
              </w:rPr>
            </w:pPr>
            <w:r>
              <w:rPr>
                <w:rFonts w:hint="eastAsia" w:ascii="仿宋" w:hAnsi="仿宋" w:eastAsia="仿宋" w:cs="仿宋"/>
                <w:color w:val="auto"/>
                <w:spacing w:val="19"/>
                <w:sz w:val="24"/>
                <w:szCs w:val="24"/>
              </w:rPr>
              <w:t>专</w:t>
            </w:r>
            <w:r>
              <w:rPr>
                <w:rFonts w:hint="eastAsia" w:ascii="仿宋" w:hAnsi="仿宋" w:eastAsia="仿宋" w:cs="仿宋"/>
                <w:color w:val="auto"/>
                <w:spacing w:val="12"/>
                <w:sz w:val="24"/>
                <w:szCs w:val="24"/>
              </w:rPr>
              <w:t>栏1:红色文化育人工程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8820" w:type="dxa"/>
            <w:tcBorders>
              <w:top w:val="single" w:color="000000" w:sz="2" w:space="0"/>
              <w:bottom w:val="single" w:color="000000" w:sz="2" w:space="0"/>
            </w:tcBorders>
          </w:tcPr>
          <w:p>
            <w:pPr>
              <w:adjustRightInd/>
              <w:snapToGrid/>
              <w:spacing w:line="520" w:lineRule="exact"/>
              <w:ind w:firstLine="584" w:firstLineChars="200"/>
              <w:jc w:val="both"/>
              <w:rPr>
                <w:rFonts w:ascii="仿宋" w:hAnsi="仿宋" w:eastAsia="仿宋" w:cs="仿宋"/>
                <w:color w:val="auto"/>
                <w:sz w:val="24"/>
                <w:szCs w:val="24"/>
              </w:rPr>
            </w:pPr>
            <w:r>
              <w:rPr>
                <w:rFonts w:hint="eastAsia" w:ascii="仿宋" w:hAnsi="仿宋" w:eastAsia="仿宋" w:cs="仿宋"/>
                <w:color w:val="auto"/>
                <w:spacing w:val="26"/>
                <w:sz w:val="24"/>
                <w:szCs w:val="24"/>
              </w:rPr>
              <w:t>积极申报</w:t>
            </w:r>
            <w:r>
              <w:rPr>
                <w:rFonts w:hint="eastAsia" w:ascii="仿宋" w:hAnsi="仿宋" w:eastAsia="仿宋" w:cs="仿宋"/>
                <w:color w:val="auto"/>
                <w:spacing w:val="13"/>
                <w:sz w:val="24"/>
                <w:szCs w:val="24"/>
              </w:rPr>
              <w:t>省级红色研学基地和红色文化特色校园，录制红色</w:t>
            </w:r>
            <w:r>
              <w:rPr>
                <w:rFonts w:hint="eastAsia" w:ascii="仿宋" w:hAnsi="仿宋" w:eastAsia="仿宋" w:cs="仿宋"/>
                <w:color w:val="auto"/>
                <w:spacing w:val="7"/>
                <w:sz w:val="24"/>
                <w:szCs w:val="24"/>
              </w:rPr>
              <w:t>文化线上优质课。讲述一批红色故事，传唱一批经典红色歌曲，开展一系列红色</w:t>
            </w:r>
            <w:r>
              <w:rPr>
                <w:rFonts w:hint="eastAsia" w:ascii="仿宋" w:hAnsi="仿宋" w:eastAsia="仿宋" w:cs="仿宋"/>
                <w:color w:val="auto"/>
                <w:spacing w:val="4"/>
                <w:sz w:val="24"/>
                <w:szCs w:val="24"/>
              </w:rPr>
              <w:t>研</w:t>
            </w:r>
            <w:r>
              <w:rPr>
                <w:rFonts w:hint="eastAsia" w:ascii="仿宋" w:hAnsi="仿宋" w:eastAsia="仿宋" w:cs="仿宋"/>
                <w:color w:val="auto"/>
                <w:spacing w:val="12"/>
                <w:sz w:val="24"/>
                <w:szCs w:val="24"/>
              </w:rPr>
              <w:t>学实</w:t>
            </w:r>
            <w:r>
              <w:rPr>
                <w:rFonts w:hint="eastAsia" w:ascii="仿宋" w:hAnsi="仿宋" w:eastAsia="仿宋" w:cs="仿宋"/>
                <w:color w:val="auto"/>
                <w:spacing w:val="10"/>
                <w:sz w:val="24"/>
                <w:szCs w:val="24"/>
              </w:rPr>
              <w:t>践</w:t>
            </w:r>
            <w:r>
              <w:rPr>
                <w:rFonts w:hint="eastAsia" w:ascii="仿宋" w:hAnsi="仿宋" w:eastAsia="仿宋" w:cs="仿宋"/>
                <w:color w:val="auto"/>
                <w:spacing w:val="6"/>
                <w:sz w:val="24"/>
                <w:szCs w:val="24"/>
              </w:rPr>
              <w:t>活动，培育一批红色文化学生讲解员和红领巾讲解员，持续开好全县同上一</w:t>
            </w:r>
            <w:r>
              <w:rPr>
                <w:rFonts w:hint="eastAsia" w:ascii="仿宋" w:hAnsi="仿宋" w:eastAsia="仿宋" w:cs="仿宋"/>
                <w:color w:val="auto"/>
                <w:spacing w:val="18"/>
                <w:sz w:val="24"/>
                <w:szCs w:val="24"/>
              </w:rPr>
              <w:t>堂</w:t>
            </w:r>
            <w:r>
              <w:rPr>
                <w:rFonts w:hint="eastAsia" w:ascii="仿宋" w:hAnsi="仿宋" w:eastAsia="仿宋" w:cs="仿宋"/>
                <w:color w:val="auto"/>
                <w:spacing w:val="16"/>
                <w:sz w:val="24"/>
                <w:szCs w:val="24"/>
              </w:rPr>
              <w:t>红色思政课。</w:t>
            </w:r>
          </w:p>
        </w:tc>
      </w:tr>
    </w:tbl>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3.传承创新中华瓷茶文化</w:t>
      </w:r>
    </w:p>
    <w:p>
      <w:pPr>
        <w:adjustRightInd/>
        <w:snapToGrid/>
        <w:spacing w:line="520" w:lineRule="exact"/>
        <w:ind w:firstLine="676" w:firstLineChars="200"/>
        <w:jc w:val="both"/>
        <w:rPr>
          <w:rFonts w:ascii="仿宋" w:hAnsi="仿宋" w:eastAsia="仿宋" w:cs="仿宋"/>
          <w:spacing w:val="15"/>
          <w:sz w:val="32"/>
          <w:szCs w:val="32"/>
        </w:rPr>
      </w:pPr>
      <w:r>
        <w:rPr>
          <w:rFonts w:hint="eastAsia" w:ascii="仿宋" w:hAnsi="仿宋" w:eastAsia="仿宋" w:cs="仿宋"/>
          <w:spacing w:val="9"/>
          <w:sz w:val="32"/>
          <w:szCs w:val="32"/>
        </w:rPr>
        <w:t>积极融入景德镇国家陶瓷文化传承创新试验区建设。全县各学校广泛开展陶瓷文化进校园，推广陶艺操作室，全面普及陶艺基本操作。用好乡土教材《景德镇地理》《千年瓷都》《人杰地灵诵江西》、景德镇陶瓷章节、《瓷娃看家乡》</w:t>
      </w:r>
      <w:r>
        <w:rPr>
          <w:rFonts w:hint="eastAsia" w:ascii="仿宋" w:hAnsi="仿宋" w:eastAsia="仿宋" w:cs="仿宋"/>
          <w:spacing w:val="15"/>
          <w:sz w:val="32"/>
          <w:szCs w:val="32"/>
        </w:rPr>
        <w:t>小学地方教材和《景德镇陶瓷史话》《景德镇陶瓷文化》初中地方教材；启动高中陶瓷文化地方教材编印工作。利用“互联网+教育+博物馆”开展陶瓷文化进课堂教学活动。在全县开展“小手拉大手 一起助申遗”征文、绘画大赛等系列主题活动，激发广大中小学生对陶瓷文化的兴趣。组织中小学师生到陶瓷文化基地开展教育实践活动，参观“进坑瓷土矿遗址、高岭土矿遗址、皇窑”，到“塔前古陶器遗址”开展教育实践活动，走进景德镇陶瓷大学和省、市陶瓷研究所、湖田民窑、三宝瓷谷、陶溪川、御窑厂、新都民营陶瓷园、刘家弄窑址进行陶瓷文化研学实践活动，感受中国陶瓷艺术风采，助推以景德镇御窑遗址为核心的申报世界文化遗产工作。要创设以“茶之乡”为特色的茶文化，参加茶场摘茶和茶厂制茶劳动实践，开展茶史、茶经、泡茶、茶礼、茶艺表演等茶文化教育，让茶文化元素融入到学校文化中，知茶、懂茶。鼓励结合家乡特色编写茶文化校本教材。</w:t>
      </w:r>
    </w:p>
    <w:p>
      <w:pPr>
        <w:adjustRightInd/>
        <w:snapToGrid/>
        <w:spacing w:line="520" w:lineRule="exact"/>
        <w:ind w:firstLine="700" w:firstLineChars="200"/>
        <w:jc w:val="both"/>
        <w:rPr>
          <w:rFonts w:ascii="仿宋" w:hAnsi="仿宋" w:eastAsia="仿宋" w:cs="仿宋"/>
          <w:spacing w:val="8"/>
          <w:sz w:val="32"/>
          <w:szCs w:val="32"/>
        </w:rPr>
      </w:pPr>
      <w:r>
        <w:rPr>
          <w:rFonts w:hint="eastAsia" w:ascii="仿宋" w:hAnsi="仿宋" w:eastAsia="仿宋" w:cs="仿宋"/>
          <w:spacing w:val="15"/>
          <w:sz w:val="32"/>
          <w:szCs w:val="32"/>
        </w:rPr>
        <w:t>4</w:t>
      </w:r>
      <w:r>
        <w:rPr>
          <w:rFonts w:hint="eastAsia" w:ascii="仿宋" w:hAnsi="仿宋" w:eastAsia="仿宋" w:cs="仿宋"/>
          <w:spacing w:val="8"/>
          <w:sz w:val="32"/>
          <w:szCs w:val="32"/>
        </w:rPr>
        <w:t>.全面加强劳动教育</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建立健全新时代劳动教育体系，将劳动教育纳入人才培养全过程，贯通中小幼各学段和家庭、学校、社会各方面。着力构建以学校为主导、家庭为基础、社区为依托的劳动教育协同实施机制。在中小学设立劳动教育课程。打造专、兼职结合的劳动教育师资队伍，建立劳动教育清单制度，强化劳动教育日常监测，完善劳动教育评价体系。加强中小学劳动实践基地建设，鼓励中小学生研学基地建立劳动实践场所。统筹配置线上、线下相结合的劳动教育资源，逐步建好配齐劳动实践教室、实训基地。推进中小学劳动周、垃圾分类、文明创建、志愿服务等活动。组织学生参加各种力所能及的劳动或职业体验，培养学生动手实践能力和对劳动的情感，养成良好劳动习惯和劳动品质,全面提升劳动育人功能。</w:t>
      </w:r>
    </w:p>
    <w:p>
      <w:pPr>
        <w:adjustRightInd/>
        <w:snapToGrid/>
        <w:spacing w:line="520" w:lineRule="exact"/>
        <w:ind w:firstLine="648" w:firstLineChars="200"/>
        <w:jc w:val="both"/>
        <w:rPr>
          <w:rFonts w:ascii="仿宋" w:hAnsi="仿宋" w:eastAsia="仿宋" w:cs="仿宋"/>
          <w:position w:val="2"/>
          <w:sz w:val="32"/>
          <w:szCs w:val="32"/>
        </w:rPr>
      </w:pPr>
      <w:r>
        <w:rPr>
          <w:rFonts w:hint="eastAsia" w:ascii="仿宋" w:hAnsi="仿宋" w:eastAsia="仿宋" w:cs="仿宋"/>
          <w:spacing w:val="2"/>
          <w:position w:val="2"/>
          <w:sz w:val="32"/>
          <w:szCs w:val="32"/>
        </w:rPr>
        <w:t>5.促进学生身心健康</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全面落实义务教育“双减”政策，强化学校教育主阵地作用，全面推行中小学课后服务，开展假期校内托管服务，提升学校教育教学质量和服务水平。深化校外培训机构治理，全面规范校外培训机构培训行为，切实减轻中小学生校内作业负担和校外培训负担。抓好中小学生作业、睡眠、手机、读物、体质、考试等管理，全面防控儿童青少年近视，积极开展学生社团活动，丰富学生课余生活，引导学生养成健康良好的学习生活习惯。加强心理健康教育，巩固提升中小学生阳光心理工程建设成果，开展心理健康教育特色学校创建。支持大中小学校建设健康教育管理中心，配齐配强心理健康教师，开好心理健康教育和生命教育课。常态化开展学生心理健康普查，加强心理辅导咨询，及时开展心理危机干预，全面提高学生心理素质。广泛开展新时代校园爱国卫生运动，积极开展禁毒、防艾、生态文明等教育，持续开展健康学校、绿色学校创建，倡导绿色低碳、文明健康生活方式。</w:t>
      </w:r>
    </w:p>
    <w:p>
      <w:pPr>
        <w:adjustRightInd/>
        <w:snapToGrid/>
        <w:spacing w:line="520" w:lineRule="exact"/>
        <w:ind w:firstLine="644" w:firstLineChars="200"/>
        <w:jc w:val="both"/>
        <w:rPr>
          <w:rFonts w:ascii="仿宋" w:hAnsi="仿宋" w:eastAsia="仿宋" w:cs="仿宋"/>
          <w:sz w:val="32"/>
          <w:szCs w:val="32"/>
        </w:rPr>
      </w:pPr>
      <w:r>
        <w:rPr>
          <w:rFonts w:hint="eastAsia" w:ascii="仿宋" w:hAnsi="仿宋" w:eastAsia="仿宋" w:cs="仿宋"/>
          <w:spacing w:val="1"/>
          <w:sz w:val="32"/>
          <w:szCs w:val="32"/>
        </w:rPr>
        <w:t>6.</w:t>
      </w:r>
      <w:r>
        <w:rPr>
          <w:rFonts w:hint="eastAsia" w:ascii="仿宋" w:hAnsi="仿宋" w:eastAsia="仿宋" w:cs="仿宋"/>
          <w:sz w:val="32"/>
          <w:szCs w:val="32"/>
        </w:rPr>
        <w:t>强化家校社协同育人</w:t>
      </w:r>
    </w:p>
    <w:p>
      <w:pPr>
        <w:kinsoku/>
        <w:adjustRightInd/>
        <w:snapToGrid/>
        <w:spacing w:line="520" w:lineRule="exact"/>
        <w:ind w:firstLine="676" w:firstLineChars="200"/>
        <w:jc w:val="both"/>
        <w:rPr>
          <w:rFonts w:ascii="仿宋" w:hAnsi="仿宋" w:eastAsia="仿宋" w:cs="仿宋"/>
          <w:color w:val="0000FF"/>
          <w:spacing w:val="-15"/>
          <w:sz w:val="32"/>
          <w:szCs w:val="32"/>
        </w:rPr>
      </w:pPr>
      <w:r>
        <w:rPr>
          <w:rFonts w:hint="eastAsia" w:ascii="仿宋" w:hAnsi="仿宋" w:eastAsia="仿宋" w:cs="仿宋"/>
          <w:spacing w:val="9"/>
          <w:sz w:val="32"/>
          <w:szCs w:val="32"/>
        </w:rPr>
        <w:t>密切家校合作，完善家长学校、家长委员会功能，持续开展“千师访万家”活动，做实学情分析会、家长开放日、校长接待日、家长志愿者等活动，鼓励家长参与学校管理，融洽家校关系。深化校社合作，建立各级党政机关、社会团体、企事业单位及街道、社区、镇村参与支持学校管理和育人工作的有效机制，推动图书馆、博物馆、纪念馆、运动场、少年宫、儿童活动中心等公益设施免费向学生开放;支持青少年校外活动中心开展公益性活动，鼓励英雄模范人物、名师大家进校园上讲台;支持有条件的学校教育资源向社会开放，丰富校外教育内容和形式，强化校外教育与学校教育、家庭教育的有机衔接。推进家社协作，加强家庭教育，推动《中华人民共和国家庭教育促进法》落地实施，加强家庭家教家风建设，加大对家长的教育指导服务，引导家长树立科学的教育观，做好孩子的第一任教师;统筹协调社会资源支持服务家庭教育，健全学校家庭社会协同育人机制，加大校园周边环境治理，净化学生成长环境，促进全社会担负起青少年成长成才的责任。</w:t>
      </w:r>
    </w:p>
    <w:tbl>
      <w:tblPr>
        <w:tblStyle w:val="13"/>
        <w:tblW w:w="88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823" w:type="dxa"/>
            <w:tcBorders>
              <w:top w:val="single" w:color="000000" w:sz="2" w:space="0"/>
              <w:bottom w:val="single" w:color="000000" w:sz="2" w:space="0"/>
            </w:tcBorders>
          </w:tcPr>
          <w:p>
            <w:pPr>
              <w:adjustRightInd/>
              <w:snapToGrid/>
              <w:spacing w:line="520" w:lineRule="exact"/>
              <w:ind w:firstLine="504" w:firstLineChars="200"/>
              <w:jc w:val="both"/>
              <w:rPr>
                <w:rFonts w:ascii="仿宋" w:hAnsi="仿宋" w:eastAsia="仿宋" w:cs="仿宋"/>
                <w:color w:val="auto"/>
                <w:sz w:val="24"/>
                <w:szCs w:val="24"/>
              </w:rPr>
            </w:pPr>
            <w:r>
              <w:rPr>
                <w:rFonts w:hint="eastAsia" w:ascii="仿宋" w:hAnsi="仿宋" w:eastAsia="仿宋" w:cs="仿宋"/>
                <w:color w:val="auto"/>
                <w:spacing w:val="6"/>
                <w:sz w:val="24"/>
                <w:szCs w:val="24"/>
              </w:rPr>
              <w:t>专</w:t>
            </w:r>
            <w:r>
              <w:rPr>
                <w:rFonts w:hint="eastAsia" w:ascii="仿宋" w:hAnsi="仿宋" w:eastAsia="仿宋" w:cs="仿宋"/>
                <w:color w:val="auto"/>
                <w:spacing w:val="5"/>
                <w:sz w:val="24"/>
                <w:szCs w:val="24"/>
              </w:rPr>
              <w:t>栏</w:t>
            </w:r>
            <w:r>
              <w:rPr>
                <w:rFonts w:hint="eastAsia" w:ascii="仿宋" w:hAnsi="仿宋" w:eastAsia="仿宋" w:cs="仿宋"/>
                <w:color w:val="auto"/>
                <w:spacing w:val="3"/>
                <w:sz w:val="24"/>
                <w:szCs w:val="24"/>
              </w:rPr>
              <w:t>2:综合素质提升工程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6" w:hRule="atLeast"/>
        </w:trPr>
        <w:tc>
          <w:tcPr>
            <w:tcW w:w="8823" w:type="dxa"/>
            <w:tcBorders>
              <w:top w:val="single" w:color="000000" w:sz="2" w:space="0"/>
              <w:bottom w:val="single" w:color="000000" w:sz="2" w:space="0"/>
            </w:tcBorders>
          </w:tcPr>
          <w:p>
            <w:pPr>
              <w:adjustRightInd/>
              <w:snapToGrid/>
              <w:spacing w:line="520" w:lineRule="exact"/>
              <w:ind w:firstLine="536" w:firstLineChars="200"/>
              <w:jc w:val="both"/>
              <w:rPr>
                <w:rFonts w:ascii="仿宋" w:hAnsi="仿宋" w:eastAsia="仿宋" w:cs="仿宋"/>
                <w:color w:val="FF0000"/>
                <w:sz w:val="24"/>
                <w:szCs w:val="24"/>
              </w:rPr>
            </w:pPr>
            <w:r>
              <w:rPr>
                <w:rFonts w:hint="eastAsia" w:ascii="仿宋" w:hAnsi="仿宋" w:eastAsia="仿宋" w:cs="仿宋"/>
                <w:color w:val="auto"/>
                <w:spacing w:val="14"/>
                <w:sz w:val="24"/>
                <w:szCs w:val="24"/>
              </w:rPr>
              <w:t>开展中小学生游泳教育，实施中小学生“学游泳、防溺水、强体质"教育工 程;实施体育美育师资队伍建设和场地器材建设三年行动计划;建设一批省、市、县 (市、区)学校美育实践基地;实施中小学美育课外活动计划，支持高校开展美育浸润 行动计划;建设5所校园足球特色学校;推进5场高雅艺术进校园;建设市级劳动教育示范校8所、县级标准劳动实践场所（基地）1个，校校建有劳动教育基地（场所）;</w:t>
            </w:r>
            <w:r>
              <w:rPr>
                <w:rFonts w:hint="eastAsia" w:ascii="仿宋" w:hAnsi="仿宋" w:eastAsia="仿宋" w:cs="仿宋"/>
                <w:color w:val="auto"/>
                <w:spacing w:val="7"/>
                <w:sz w:val="24"/>
                <w:szCs w:val="24"/>
              </w:rPr>
              <w:t>积极申报省级中</w:t>
            </w:r>
            <w:r>
              <w:rPr>
                <w:rFonts w:hint="eastAsia" w:ascii="仿宋" w:hAnsi="仿宋" w:eastAsia="仿宋" w:cs="仿宋"/>
                <w:color w:val="auto"/>
                <w:spacing w:val="25"/>
                <w:sz w:val="24"/>
                <w:szCs w:val="24"/>
              </w:rPr>
              <w:t>小</w:t>
            </w:r>
            <w:r>
              <w:rPr>
                <w:rFonts w:hint="eastAsia" w:ascii="仿宋" w:hAnsi="仿宋" w:eastAsia="仿宋" w:cs="仿宋"/>
                <w:color w:val="auto"/>
                <w:spacing w:val="19"/>
                <w:sz w:val="24"/>
                <w:szCs w:val="24"/>
              </w:rPr>
              <w:t>学生研学实践教育基地;建设1所省级中小学心理健康教育特色学校;</w:t>
            </w:r>
            <w:r>
              <w:rPr>
                <w:rFonts w:hint="eastAsia" w:ascii="仿宋" w:hAnsi="仿宋" w:eastAsia="仿宋" w:cs="仿宋"/>
                <w:color w:val="auto"/>
                <w:spacing w:val="15"/>
                <w:sz w:val="24"/>
                <w:szCs w:val="24"/>
              </w:rPr>
              <w:t>创建4所省级文明校园;推动</w:t>
            </w:r>
            <w:r>
              <w:rPr>
                <w:rFonts w:hint="eastAsia" w:ascii="仿宋" w:hAnsi="仿宋" w:eastAsia="仿宋" w:cs="仿宋"/>
                <w:color w:val="auto"/>
                <w:spacing w:val="10"/>
                <w:sz w:val="24"/>
                <w:szCs w:val="24"/>
              </w:rPr>
              <w:t>依法治校，积极申报省级依法治校示范校; 推进少年儿童爱眼护眼行动，力争全</w:t>
            </w:r>
            <w:r>
              <w:rPr>
                <w:rFonts w:hint="eastAsia" w:ascii="仿宋" w:hAnsi="仿宋" w:eastAsia="仿宋" w:cs="仿宋"/>
                <w:color w:val="auto"/>
                <w:spacing w:val="10"/>
                <w:sz w:val="24"/>
                <w:szCs w:val="24"/>
                <w:lang w:val="en-US" w:eastAsia="zh-CN"/>
              </w:rPr>
              <w:t>县</w:t>
            </w:r>
            <w:r>
              <w:rPr>
                <w:rFonts w:hint="eastAsia" w:ascii="仿宋" w:hAnsi="仿宋" w:eastAsia="仿宋" w:cs="仿宋"/>
                <w:color w:val="auto"/>
                <w:spacing w:val="10"/>
                <w:sz w:val="24"/>
                <w:szCs w:val="24"/>
              </w:rPr>
              <w:t>儿童青少年总体近视率每年降低0.5个以上百分点;加快推动</w:t>
            </w:r>
            <w:r>
              <w:rPr>
                <w:rFonts w:hint="eastAsia" w:ascii="仿宋" w:hAnsi="仿宋" w:eastAsia="仿宋" w:cs="仿宋"/>
                <w:color w:val="auto"/>
                <w:spacing w:val="8"/>
                <w:sz w:val="24"/>
                <w:szCs w:val="24"/>
              </w:rPr>
              <w:t>建设省级制度化家校合作示范县、</w:t>
            </w:r>
            <w:r>
              <w:rPr>
                <w:rFonts w:hint="eastAsia" w:ascii="仿宋" w:hAnsi="仿宋" w:eastAsia="仿宋" w:cs="仿宋"/>
                <w:color w:val="auto"/>
                <w:spacing w:val="18"/>
                <w:sz w:val="24"/>
                <w:szCs w:val="24"/>
              </w:rPr>
              <w:t>示范校。</w:t>
            </w:r>
          </w:p>
        </w:tc>
      </w:tr>
    </w:tbl>
    <w:p>
      <w:pPr>
        <w:adjustRightInd/>
        <w:snapToGrid/>
        <w:spacing w:line="520" w:lineRule="exact"/>
        <w:ind w:firstLine="648" w:firstLineChars="200"/>
        <w:jc w:val="both"/>
        <w:rPr>
          <w:rFonts w:ascii="仿宋" w:hAnsi="仿宋" w:eastAsia="仿宋" w:cs="仿宋"/>
          <w:sz w:val="32"/>
          <w:szCs w:val="32"/>
        </w:rPr>
      </w:pPr>
      <w:r>
        <w:rPr>
          <w:rFonts w:hint="eastAsia" w:ascii="仿宋" w:hAnsi="仿宋" w:eastAsia="仿宋" w:cs="仿宋"/>
          <w:spacing w:val="2"/>
          <w:sz w:val="32"/>
          <w:szCs w:val="32"/>
        </w:rPr>
        <w:t>(</w:t>
      </w:r>
      <w:r>
        <w:rPr>
          <w:rFonts w:hint="eastAsia" w:ascii="仿宋" w:hAnsi="仿宋" w:eastAsia="仿宋" w:cs="仿宋"/>
          <w:spacing w:val="1"/>
          <w:sz w:val="32"/>
          <w:szCs w:val="32"/>
        </w:rPr>
        <w:t>二)推进基础教育优质发展</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巩固提高普及水平，聚焦薄弱环节和短板，坚持基础教育优先发展，不断优化资源要素配置，提高办学质量，健全优质均衡的基 本公共教育服务体系。</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1.加快学前教育普及普惠</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切实落实县政府发展学前教育主体责任，将幼儿园建设纳入城乡公共管理和公共服务设施统一规划，优化幼儿园网点布局，合理确定办园规模，落实政府投入为主、家庭合理分担、其他多渠道筹措经费的机制，中心城区新建一批公办幼儿园，着力构建以普惠性资源为主体的办园体系。全面完成全省标准化幼儿园评估认定创建工作，达标率＞70%。规范幼儿园建设管理。健全城镇小区配套园建设管理长效机制，推进城镇住宅小区配建幼儿园、农村人口大村新建幼儿园，鼓励和支持社会力量举办普惠性幼儿园，建成覆盖城乡、布局合理的学前教 育公共服务体系。实施学前教育质量提升计划，提高幼儿园保教质量，全面改善办园条件，补足配齐“两教一保”,推进幼儿园教师持证上岗，提升幼儿园教师综合素质和科学保教能力;实施游戏化教学，推进科学保教和幼小衔接。完善学前教育教研体系，发挥城镇优质幼儿园和农村乡镇中心园的辐射带动作用，加大对薄弱园的专业引领和实践指导。健全幼儿园分级分类评估体系，完善学前教育质量动态监测与反馈改进机制，强化监督管理，全面规范幼儿园办园行为。</w:t>
      </w:r>
    </w:p>
    <w:p>
      <w:pPr>
        <w:adjustRightInd/>
        <w:snapToGrid/>
        <w:spacing w:line="520" w:lineRule="exact"/>
        <w:ind w:firstLine="708" w:firstLineChars="200"/>
        <w:jc w:val="both"/>
        <w:rPr>
          <w:rFonts w:ascii="仿宋" w:hAnsi="仿宋" w:eastAsia="仿宋" w:cs="仿宋"/>
          <w:color w:val="auto"/>
          <w:sz w:val="32"/>
          <w:szCs w:val="32"/>
        </w:rPr>
      </w:pPr>
      <w:r>
        <w:rPr>
          <w:rFonts w:hint="eastAsia" w:ascii="仿宋" w:hAnsi="仿宋" w:eastAsia="仿宋" w:cs="仿宋"/>
          <w:color w:val="auto"/>
          <w:spacing w:val="17"/>
          <w:position w:val="2"/>
          <w:sz w:val="32"/>
          <w:szCs w:val="32"/>
        </w:rPr>
        <w:t>2.促进义务教育优质均衡</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巩固义务教育基本均衡成果，推进县域义务教育优质均衡发展。建立健全学龄人口监测机制，依据学龄人口变化动态调整优化义务教育学校网点布局，科学处置闲置校舍和设施设备。</w:t>
      </w:r>
      <w:r>
        <w:rPr>
          <w:rFonts w:ascii="仿宋" w:hAnsi="仿宋" w:eastAsia="仿宋" w:cs="仿宋"/>
          <w:spacing w:val="9"/>
          <w:sz w:val="32"/>
          <w:szCs w:val="32"/>
        </w:rPr>
        <w:t>落实</w:t>
      </w:r>
      <w:r>
        <w:rPr>
          <w:rFonts w:hint="eastAsia" w:ascii="仿宋" w:hAnsi="仿宋" w:eastAsia="仿宋" w:cs="仿宋"/>
          <w:spacing w:val="9"/>
          <w:sz w:val="32"/>
          <w:szCs w:val="32"/>
        </w:rPr>
        <w:t>浮梁县</w:t>
      </w:r>
      <w:r>
        <w:rPr>
          <w:rFonts w:ascii="仿宋" w:hAnsi="仿宋" w:eastAsia="仿宋" w:cs="仿宋"/>
          <w:spacing w:val="9"/>
          <w:sz w:val="32"/>
          <w:szCs w:val="32"/>
        </w:rPr>
        <w:t>中小学大班额化解工作方案，持续推进教育补短板项目建设，合理有序扩大城镇学校学位供给，义务</w:t>
      </w:r>
      <w:r>
        <w:rPr>
          <w:rFonts w:hint="eastAsia" w:ascii="仿宋" w:hAnsi="仿宋" w:eastAsia="仿宋" w:cs="仿宋"/>
          <w:spacing w:val="9"/>
          <w:sz w:val="32"/>
          <w:szCs w:val="32"/>
        </w:rPr>
        <w:t>教育</w:t>
      </w:r>
      <w:r>
        <w:rPr>
          <w:rFonts w:ascii="仿宋" w:hAnsi="仿宋" w:eastAsia="仿宋" w:cs="仿宋"/>
          <w:spacing w:val="9"/>
          <w:sz w:val="32"/>
          <w:szCs w:val="32"/>
        </w:rPr>
        <w:t>学校全部达到省定和国家办学标准，</w:t>
      </w:r>
      <w:r>
        <w:rPr>
          <w:rFonts w:hint="eastAsia" w:ascii="仿宋" w:hAnsi="仿宋" w:eastAsia="仿宋" w:cs="仿宋"/>
          <w:spacing w:val="9"/>
          <w:sz w:val="32"/>
          <w:szCs w:val="32"/>
          <w:lang w:val="en-US" w:eastAsia="zh-CN"/>
        </w:rPr>
        <w:t>全面</w:t>
      </w:r>
      <w:r>
        <w:rPr>
          <w:rFonts w:ascii="仿宋" w:hAnsi="仿宋" w:eastAsia="仿宋" w:cs="仿宋"/>
          <w:spacing w:val="9"/>
          <w:sz w:val="32"/>
          <w:szCs w:val="32"/>
        </w:rPr>
        <w:t>消除小学45人以上、初中50人以上超标班级，</w:t>
      </w:r>
      <w:r>
        <w:rPr>
          <w:rFonts w:hint="eastAsia" w:ascii="仿宋" w:hAnsi="仿宋" w:eastAsia="仿宋" w:cs="仿宋"/>
          <w:spacing w:val="9"/>
          <w:sz w:val="32"/>
          <w:szCs w:val="32"/>
          <w:lang w:val="en-US" w:eastAsia="zh-CN"/>
        </w:rPr>
        <w:t>全面</w:t>
      </w:r>
      <w:r>
        <w:rPr>
          <w:rFonts w:ascii="仿宋" w:hAnsi="仿宋" w:eastAsia="仿宋" w:cs="仿宋"/>
          <w:spacing w:val="9"/>
          <w:sz w:val="32"/>
          <w:szCs w:val="32"/>
        </w:rPr>
        <w:t>化解大校额。</w:t>
      </w:r>
      <w:r>
        <w:rPr>
          <w:rFonts w:hint="eastAsia" w:ascii="仿宋" w:hAnsi="仿宋" w:eastAsia="仿宋" w:cs="仿宋"/>
          <w:spacing w:val="9"/>
          <w:sz w:val="32"/>
          <w:szCs w:val="32"/>
        </w:rPr>
        <w:t>2023年通过</w:t>
      </w:r>
      <w:r>
        <w:rPr>
          <w:rFonts w:ascii="仿宋" w:hAnsi="仿宋" w:eastAsia="仿宋" w:cs="仿宋"/>
          <w:spacing w:val="9"/>
          <w:sz w:val="32"/>
          <w:szCs w:val="32"/>
        </w:rPr>
        <w:t>义务教</w:t>
      </w:r>
      <w:r>
        <w:rPr>
          <w:rFonts w:hint="eastAsia" w:ascii="仿宋" w:hAnsi="仿宋" w:eastAsia="仿宋" w:cs="仿宋"/>
          <w:spacing w:val="9"/>
          <w:sz w:val="32"/>
          <w:szCs w:val="32"/>
        </w:rPr>
        <w:t>育</w:t>
      </w:r>
      <w:r>
        <w:rPr>
          <w:rFonts w:ascii="仿宋" w:hAnsi="仿宋" w:eastAsia="仿宋" w:cs="仿宋"/>
          <w:spacing w:val="9"/>
          <w:sz w:val="32"/>
          <w:szCs w:val="32"/>
        </w:rPr>
        <w:t>优质均衡发展县。</w:t>
      </w:r>
      <w:r>
        <w:rPr>
          <w:rFonts w:hint="eastAsia" w:ascii="仿宋" w:hAnsi="仿宋" w:eastAsia="仿宋" w:cs="仿宋"/>
          <w:spacing w:val="9"/>
          <w:sz w:val="32"/>
          <w:szCs w:val="32"/>
        </w:rPr>
        <w:t>县城新增两所中学和三所小学，合理有序扩大城镇学校学位供给，继续改善乡镇寄宿制学校办学条件，保留并办好必要的乡村小规模学校。加大标准班额推进力度，全面消除大班额，化解大校额，推进义务教育学校班额、校额达到国家标准。深入推进县管校聘工作，持续深化教师、骨干教师、校长交流轮岗，推进城乡学校共同体建设，促进优质资源共建共享，实现城乡学校建设标准、教师编制标准、生均公用经费基准定额标准、基本装备配置标准“四个统一”。配足配齐学校教育教学装备，建全各种功能馆室，显著提升教育信息化基础条件和应用水平。深化教学改革，严格落实国家 课程方案和课程标准，加强学业质量监测，确保学生达到国家规定学业质量标准。健全教学管理规程，强化课程实施日常监管。加强和改进新时代教研工作，全面推进学科名师工作室建设，发挥教研支撑、名师引领作用。全面开展课后服务，将课后服务打造成学生健康成长、提升综合素质的第二课堂。健全控辍保学机制，实现控辍保学常态化。</w:t>
      </w:r>
      <w:r>
        <w:rPr>
          <w:rFonts w:ascii="仿宋" w:hAnsi="仿宋" w:eastAsia="仿宋" w:cs="仿宋"/>
          <w:spacing w:val="9"/>
          <w:sz w:val="32"/>
          <w:szCs w:val="32"/>
        </w:rPr>
        <w:t>全面落实义务教育免试就近入学政策，切实保障适龄儿童少年平等接受义务教育的权利。健全常态化控辍保学机制和特殊学生群体关爱机制，保障随迁子女、残疾儿童少年平等接受义务教育。</w:t>
      </w:r>
    </w:p>
    <w:p>
      <w:pPr>
        <w:adjustRightInd/>
        <w:snapToGrid/>
        <w:spacing w:line="520" w:lineRule="exact"/>
        <w:ind w:firstLine="676" w:firstLineChars="200"/>
        <w:jc w:val="both"/>
        <w:rPr>
          <w:rFonts w:ascii="仿宋" w:hAnsi="仿宋" w:eastAsia="仿宋" w:cs="仿宋"/>
          <w:b/>
          <w:bCs/>
          <w:spacing w:val="9"/>
          <w:sz w:val="32"/>
          <w:szCs w:val="32"/>
        </w:rPr>
      </w:pPr>
      <w:r>
        <w:rPr>
          <w:rFonts w:hint="eastAsia" w:ascii="仿宋" w:hAnsi="仿宋" w:eastAsia="仿宋" w:cs="仿宋"/>
          <w:spacing w:val="9"/>
          <w:sz w:val="32"/>
          <w:szCs w:val="32"/>
        </w:rPr>
        <w:t>3.</w:t>
      </w:r>
      <w:r>
        <w:rPr>
          <w:rFonts w:hint="eastAsia" w:ascii="Times New Roman" w:hAnsi="Times New Roman" w:eastAsia="仿宋_GB2312" w:cs="Times New Roman"/>
          <w:b/>
          <w:bCs/>
          <w:color w:val="auto"/>
          <w:kern w:val="2"/>
          <w:sz w:val="32"/>
          <w:szCs w:val="22"/>
        </w:rPr>
        <w:t xml:space="preserve"> </w:t>
      </w:r>
      <w:r>
        <w:rPr>
          <w:rFonts w:hint="eastAsia" w:ascii="仿宋" w:hAnsi="仿宋" w:eastAsia="仿宋" w:cs="仿宋"/>
          <w:bCs/>
          <w:spacing w:val="9"/>
          <w:sz w:val="32"/>
          <w:szCs w:val="32"/>
        </w:rPr>
        <w:t>提高</w:t>
      </w:r>
      <w:r>
        <w:rPr>
          <w:rFonts w:ascii="仿宋" w:hAnsi="仿宋" w:eastAsia="仿宋" w:cs="仿宋"/>
          <w:bCs/>
          <w:spacing w:val="9"/>
          <w:sz w:val="32"/>
          <w:szCs w:val="32"/>
        </w:rPr>
        <w:t>特殊教育</w:t>
      </w:r>
      <w:r>
        <w:rPr>
          <w:rFonts w:hint="eastAsia" w:ascii="仿宋" w:hAnsi="仿宋" w:eastAsia="仿宋" w:cs="仿宋"/>
          <w:bCs/>
          <w:spacing w:val="9"/>
          <w:sz w:val="32"/>
          <w:szCs w:val="32"/>
        </w:rPr>
        <w:t>办学水平</w:t>
      </w:r>
    </w:p>
    <w:p>
      <w:pPr>
        <w:adjustRightInd/>
        <w:snapToGrid/>
        <w:spacing w:line="520" w:lineRule="exact"/>
        <w:ind w:firstLine="676" w:firstLineChars="200"/>
        <w:jc w:val="both"/>
        <w:rPr>
          <w:rFonts w:ascii="仿宋" w:hAnsi="仿宋" w:eastAsia="仿宋" w:cs="仿宋"/>
          <w:spacing w:val="9"/>
          <w:sz w:val="32"/>
          <w:szCs w:val="32"/>
        </w:rPr>
      </w:pPr>
      <w:r>
        <w:rPr>
          <w:rFonts w:ascii="仿宋" w:hAnsi="仿宋" w:eastAsia="仿宋" w:cs="仿宋"/>
          <w:spacing w:val="9"/>
          <w:sz w:val="32"/>
          <w:szCs w:val="32"/>
        </w:rPr>
        <w:t>提高特殊教育经费保障水平，改善特殊教育办学条件，以义务教育为重点，推动特殊教育向学前和高中教育延伸，探索增加孤独症、多重残疾、重度残疾儿童等招生类别。推进儿童福利机构内适合就学的适龄残疾儿童全部接受教育并纳入学籍管理，鼓励有条件的儿童福利机构开展康教融合服务。增强特殊教育教科研能力，实施差别化教育和个性化培养。加大国家通用手语和国家通用盲文普及推广。促进特普融合，建立普通学校和特殊教育学校责任共担、资源共享、相互支撑的发展机制，推进送教上门。</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4.推动普通高中特色多样</w:t>
      </w:r>
    </w:p>
    <w:p>
      <w:pPr>
        <w:adjustRightInd/>
        <w:snapToGrid/>
        <w:spacing w:line="520" w:lineRule="exact"/>
        <w:ind w:firstLine="676" w:firstLineChars="200"/>
        <w:jc w:val="both"/>
        <w:rPr>
          <w:rFonts w:ascii="仿宋" w:hAnsi="仿宋" w:eastAsia="仿宋" w:cs="仿宋"/>
          <w:spacing w:val="12"/>
          <w:sz w:val="32"/>
          <w:szCs w:val="32"/>
        </w:rPr>
      </w:pPr>
      <w:r>
        <w:rPr>
          <w:rFonts w:hint="eastAsia" w:ascii="仿宋" w:hAnsi="仿宋" w:eastAsia="仿宋" w:cs="仿宋"/>
          <w:spacing w:val="9"/>
          <w:sz w:val="32"/>
          <w:szCs w:val="32"/>
        </w:rPr>
        <w:t>全面实施高中学业水平考试和综合素质评价，坚持多元评价和择优录取相结合。大力推进学校办学模式、育人方式多样化、个性化，注重满足不同潜质学生的发展需要，形成办学特色。普及高中阶段教育，逐步分类推进中等职业教育免除学杂费。到2025年，高中毛入学率达到94%，全县高中阶段在校生达到5800人左右，教育教学质量逐步提高，在录取国家重点大学有重大突破。同时要提高县域普通高中发展水平，大力扩充高中教育资源， 改善普通高中办学条件，逐步消除大班额现象，减少超大规模学校。改革高中学校办学体制、培养模式和管理方式，探索普职融通高中、综合高中和艺术体育特色高中等办学模式;加强与社会场馆基地、科研院所的合作，鼓励创办科技高中、人文高中。深化普通高中育人方式改革，强化综合素质培养，拓宽综合实践渠道，完善全面培养体系，探索建立普通高中与高等学校贯通培养拔尖创新人才的有效衔接机制，提高普通高中教育质量。服务高考综合改革，全面实施普通高中新课程，使用新教材，加大校本课程开发，推进选修课程建设，加强区域课程管理。建立健全选课走班运行机制，提高教学管理水平和资源使用效率。深化课堂教学改革，健全校本教研制度，提升学科教学研究和指导的质量，注重对学生创新 精神与实践能力的培养。健全学生发展指导制度，引导学生合理规划生涯。</w:t>
      </w:r>
    </w:p>
    <w:tbl>
      <w:tblPr>
        <w:tblStyle w:val="13"/>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810" w:type="dxa"/>
            <w:tcBorders>
              <w:top w:val="single" w:color="000000" w:sz="2" w:space="0"/>
              <w:bottom w:val="single" w:color="000000" w:sz="2" w:space="0"/>
            </w:tcBorders>
          </w:tcPr>
          <w:p>
            <w:pPr>
              <w:adjustRightInd/>
              <w:snapToGrid/>
              <w:spacing w:line="520" w:lineRule="exact"/>
              <w:ind w:firstLine="568" w:firstLineChars="200"/>
              <w:jc w:val="both"/>
              <w:rPr>
                <w:rFonts w:ascii="仿宋" w:hAnsi="仿宋" w:eastAsia="仿宋" w:cs="仿宋"/>
                <w:color w:val="auto"/>
                <w:sz w:val="24"/>
                <w:szCs w:val="24"/>
              </w:rPr>
            </w:pPr>
            <w:r>
              <w:rPr>
                <w:rFonts w:hint="eastAsia" w:ascii="仿宋" w:hAnsi="仿宋" w:eastAsia="仿宋" w:cs="仿宋"/>
                <w:color w:val="auto"/>
                <w:spacing w:val="22"/>
                <w:sz w:val="24"/>
                <w:szCs w:val="24"/>
              </w:rPr>
              <w:t>专</w:t>
            </w:r>
            <w:r>
              <w:rPr>
                <w:rFonts w:hint="eastAsia" w:ascii="仿宋" w:hAnsi="仿宋" w:eastAsia="仿宋" w:cs="仿宋"/>
                <w:color w:val="auto"/>
                <w:spacing w:val="13"/>
                <w:sz w:val="24"/>
                <w:szCs w:val="24"/>
              </w:rPr>
              <w:t>栏3:基础教育质量提升工程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5" w:hRule="atLeast"/>
        </w:trPr>
        <w:tc>
          <w:tcPr>
            <w:tcW w:w="8810" w:type="dxa"/>
            <w:tcBorders>
              <w:top w:val="single" w:color="000000" w:sz="2" w:space="0"/>
              <w:bottom w:val="single" w:color="000000" w:sz="2" w:space="0"/>
            </w:tcBorders>
          </w:tcPr>
          <w:p>
            <w:pPr>
              <w:adjustRightInd/>
              <w:snapToGrid/>
              <w:spacing w:line="520" w:lineRule="exact"/>
              <w:ind w:firstLine="504" w:firstLineChars="200"/>
              <w:jc w:val="both"/>
              <w:rPr>
                <w:rFonts w:ascii="仿宋" w:hAnsi="仿宋" w:eastAsia="仿宋" w:cs="仿宋"/>
                <w:color w:val="auto"/>
                <w:spacing w:val="6"/>
                <w:sz w:val="24"/>
                <w:szCs w:val="24"/>
              </w:rPr>
            </w:pPr>
            <w:r>
              <w:rPr>
                <w:rFonts w:hint="eastAsia" w:ascii="仿宋" w:hAnsi="仿宋" w:eastAsia="仿宋" w:cs="仿宋"/>
                <w:color w:val="auto"/>
                <w:spacing w:val="6"/>
                <w:sz w:val="24"/>
                <w:szCs w:val="24"/>
              </w:rPr>
              <w:t>实施第四期学前教育行动计划，建设2所公办省级示范幼儿园，5所市级示范幼儿园，省标准化幼儿园创建工作完成率达100%、力争2027年通过县域学前教育普及普惠国家督导评估。</w:t>
            </w:r>
          </w:p>
          <w:p>
            <w:pPr>
              <w:adjustRightInd/>
              <w:snapToGrid/>
              <w:spacing w:line="520" w:lineRule="exact"/>
              <w:ind w:firstLine="504" w:firstLineChars="200"/>
              <w:jc w:val="both"/>
              <w:rPr>
                <w:rFonts w:ascii="仿宋" w:hAnsi="仿宋" w:eastAsia="仿宋" w:cs="仿宋"/>
                <w:color w:val="FF0000"/>
                <w:spacing w:val="4"/>
                <w:sz w:val="24"/>
                <w:szCs w:val="24"/>
              </w:rPr>
            </w:pPr>
            <w:r>
              <w:rPr>
                <w:rFonts w:hint="eastAsia" w:ascii="仿宋" w:hAnsi="仿宋" w:eastAsia="仿宋" w:cs="仿宋"/>
                <w:color w:val="auto"/>
                <w:spacing w:val="6"/>
                <w:sz w:val="24"/>
                <w:szCs w:val="24"/>
              </w:rPr>
              <w:t>实施义务教育薄弱环节改善与能力提升工程，扩建城区学校4所，改善农村学校98所，建设教师周转房300套，按省定标准补足配齐设施设备;</w:t>
            </w:r>
            <w:r>
              <w:rPr>
                <w:rFonts w:hint="eastAsia" w:ascii="仿宋" w:hAnsi="仿宋" w:eastAsia="仿宋" w:cs="仿宋"/>
                <w:color w:val="auto"/>
                <w:spacing w:val="11"/>
                <w:sz w:val="24"/>
                <w:szCs w:val="24"/>
              </w:rPr>
              <w:t>小学班</w:t>
            </w:r>
            <w:r>
              <w:rPr>
                <w:rFonts w:hint="eastAsia" w:ascii="仿宋" w:hAnsi="仿宋" w:eastAsia="仿宋" w:cs="仿宋"/>
                <w:color w:val="auto"/>
                <w:spacing w:val="9"/>
                <w:sz w:val="24"/>
                <w:szCs w:val="24"/>
              </w:rPr>
              <w:t>额</w:t>
            </w:r>
            <w:r>
              <w:rPr>
                <w:rFonts w:hint="eastAsia" w:ascii="仿宋" w:hAnsi="仿宋" w:eastAsia="仿宋" w:cs="仿宋"/>
                <w:color w:val="auto"/>
                <w:spacing w:val="-6"/>
                <w:sz w:val="24"/>
                <w:szCs w:val="24"/>
              </w:rPr>
              <w:t xml:space="preserve">不超 45 </w:t>
            </w:r>
            <w:r>
              <w:rPr>
                <w:rFonts w:hint="eastAsia" w:ascii="仿宋" w:hAnsi="仿宋" w:eastAsia="仿宋" w:cs="仿宋"/>
                <w:color w:val="auto"/>
                <w:spacing w:val="-3"/>
                <w:sz w:val="24"/>
                <w:szCs w:val="24"/>
              </w:rPr>
              <w:t>人，初中班额不超50 人;严控大校额，新建学校不超规模，小学、初中不超过</w:t>
            </w:r>
            <w:r>
              <w:rPr>
                <w:rFonts w:hint="eastAsia" w:ascii="仿宋" w:hAnsi="仿宋" w:eastAsia="仿宋" w:cs="仿宋"/>
                <w:color w:val="auto"/>
                <w:spacing w:val="-6"/>
                <w:sz w:val="24"/>
                <w:szCs w:val="24"/>
              </w:rPr>
              <w:t>2000</w:t>
            </w:r>
            <w:r>
              <w:rPr>
                <w:rFonts w:hint="eastAsia" w:ascii="仿宋" w:hAnsi="仿宋" w:eastAsia="仿宋" w:cs="仿宋"/>
                <w:color w:val="auto"/>
                <w:spacing w:val="-3"/>
                <w:sz w:val="24"/>
                <w:szCs w:val="24"/>
              </w:rPr>
              <w:t>人、九年一贯制不超过2500 人，全面化解现有大校额、大班额;大力推进“专递课堂”建设，乡村小规模学校“专递课堂”覆盖率达60%以上；教师使用信息化设施设备授课的课时达到周课时70%以上；推广“智慧作业”应用，努力实现教师使用率和班级达标率100%。</w:t>
            </w:r>
          </w:p>
          <w:p>
            <w:pPr>
              <w:adjustRightInd/>
              <w:snapToGrid/>
              <w:spacing w:line="520" w:lineRule="exact"/>
              <w:ind w:firstLine="536" w:firstLineChars="200"/>
              <w:jc w:val="both"/>
              <w:rPr>
                <w:rFonts w:ascii="仿宋" w:hAnsi="仿宋" w:eastAsia="仿宋" w:cs="仿宋"/>
                <w:color w:val="FF0000"/>
                <w:sz w:val="24"/>
                <w:szCs w:val="24"/>
              </w:rPr>
            </w:pPr>
            <w:r>
              <w:rPr>
                <w:rFonts w:hint="eastAsia" w:ascii="仿宋" w:hAnsi="仿宋" w:eastAsia="仿宋" w:cs="仿宋"/>
                <w:color w:val="auto"/>
                <w:spacing w:val="14"/>
                <w:sz w:val="24"/>
                <w:szCs w:val="24"/>
              </w:rPr>
              <w:t>实</w:t>
            </w:r>
            <w:r>
              <w:rPr>
                <w:rFonts w:hint="eastAsia" w:ascii="仿宋" w:hAnsi="仿宋" w:eastAsia="仿宋" w:cs="仿宋"/>
                <w:color w:val="auto"/>
                <w:spacing w:val="11"/>
                <w:sz w:val="24"/>
                <w:szCs w:val="24"/>
              </w:rPr>
              <w:t>施县域普通高中提升计划，高中阶段教育毛入学率达94%</w:t>
            </w:r>
            <w:r>
              <w:rPr>
                <w:rFonts w:hint="eastAsia" w:ascii="仿宋" w:hAnsi="仿宋" w:eastAsia="仿宋" w:cs="仿宋"/>
                <w:color w:val="auto"/>
                <w:spacing w:val="11"/>
                <w:sz w:val="24"/>
                <w:szCs w:val="24"/>
                <w:lang w:eastAsia="zh-CN"/>
              </w:rPr>
              <w:t>，</w:t>
            </w:r>
            <w:r>
              <w:rPr>
                <w:rFonts w:hint="eastAsia" w:ascii="仿宋" w:hAnsi="仿宋" w:eastAsia="仿宋" w:cs="仿宋"/>
                <w:color w:val="auto"/>
                <w:spacing w:val="11"/>
                <w:sz w:val="24"/>
                <w:szCs w:val="24"/>
                <w:lang w:val="en-US" w:eastAsia="zh-CN"/>
              </w:rPr>
              <w:t>完成浮梁一中整体搬迁项目建设。</w:t>
            </w:r>
            <w:r>
              <w:rPr>
                <w:rFonts w:hint="eastAsia" w:ascii="仿宋" w:hAnsi="仿宋" w:eastAsia="仿宋" w:cs="仿宋"/>
                <w:color w:val="auto"/>
                <w:spacing w:val="11"/>
                <w:sz w:val="24"/>
                <w:szCs w:val="24"/>
              </w:rPr>
              <w:t>实施特殊</w:t>
            </w:r>
            <w:r>
              <w:rPr>
                <w:rFonts w:hint="eastAsia" w:ascii="仿宋" w:hAnsi="仿宋" w:eastAsia="仿宋" w:cs="仿宋"/>
                <w:color w:val="auto"/>
                <w:spacing w:val="-1"/>
                <w:sz w:val="24"/>
                <w:szCs w:val="24"/>
              </w:rPr>
              <w:t>教育提升计划，推动特殊教育学校办学向学前、高中延伸</w:t>
            </w:r>
            <w:r>
              <w:rPr>
                <w:rFonts w:hint="eastAsia" w:ascii="仿宋" w:hAnsi="仿宋" w:eastAsia="仿宋" w:cs="仿宋"/>
                <w:color w:val="auto"/>
                <w:sz w:val="24"/>
                <w:szCs w:val="24"/>
              </w:rPr>
              <w:t>。</w:t>
            </w:r>
          </w:p>
        </w:tc>
      </w:tr>
    </w:tbl>
    <w:p>
      <w:pPr>
        <w:adjustRightInd/>
        <w:snapToGrid/>
        <w:spacing w:line="520" w:lineRule="exact"/>
        <w:ind w:firstLine="648" w:firstLineChars="200"/>
        <w:jc w:val="both"/>
        <w:rPr>
          <w:rFonts w:ascii="仿宋" w:hAnsi="仿宋" w:eastAsia="仿宋" w:cs="仿宋"/>
          <w:spacing w:val="9"/>
          <w:sz w:val="32"/>
          <w:szCs w:val="32"/>
        </w:rPr>
      </w:pPr>
      <w:r>
        <w:rPr>
          <w:rFonts w:hint="eastAsia" w:ascii="仿宋" w:hAnsi="仿宋" w:eastAsia="仿宋" w:cs="仿宋"/>
          <w:spacing w:val="2"/>
          <w:sz w:val="32"/>
          <w:szCs w:val="32"/>
        </w:rPr>
        <w:t>（三）推进职业教育扩容提质创优发展</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1.加快构建现代职业教育体系</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精准高效发展职业教育。加大人力资本投入，增强职业技术教育适应性，深化职普融通、产教融合、校企合作，探索中国特色学徒制，大力培养技术技能人才。根据县域经济社会产业结构，搭建人才培养“立交桥”，合理调整中等职业学校专业设置，加强陶瓷、商贸、汽车、机械类等专业群建设,不断增强职业教育的吸引力。整合职教、成教资源，广泛开展各级各类职业培训，拓展职业培训范围，增强职业培训的实用性，积极推进赛艇皮划艇培训基地、县城公办职业高中、昌南职业学校（民办）的建设，坚决落实每县(市、区)至少办好 1 所公办达标中职学校的要求。深化产教融合和校企合作，形成政府宏观调控、社会大力支持、学校主动调适、企业积极参与的校企合作长效机制。夯实中等职业教育基础地位，实施中职学校培基固本工程，深入推进职普协调发展，实现中等职业教育和普通高中招生规模大体相当。</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2.积极推进办学体制改革</w:t>
      </w:r>
    </w:p>
    <w:p>
      <w:pPr>
        <w:adjustRightInd/>
        <w:snapToGrid/>
        <w:spacing w:line="520" w:lineRule="exact"/>
        <w:ind w:firstLine="676" w:firstLineChars="200"/>
        <w:jc w:val="both"/>
        <w:rPr>
          <w:rFonts w:ascii="仿宋" w:hAnsi="仿宋" w:eastAsia="仿宋" w:cs="仿宋"/>
          <w:spacing w:val="9"/>
          <w:sz w:val="32"/>
          <w:szCs w:val="32"/>
        </w:rPr>
      </w:pPr>
      <w:r>
        <w:rPr>
          <w:rFonts w:hint="eastAsia" w:ascii="仿宋" w:hAnsi="仿宋" w:eastAsia="仿宋" w:cs="仿宋"/>
          <w:spacing w:val="9"/>
          <w:sz w:val="32"/>
          <w:szCs w:val="32"/>
        </w:rPr>
        <w:t>大力发展民办教育、放宽非义务教育的准入条件，积极推进浮梁县第七中学（景德镇第二十三高级中学）的建设，使民办教育占整个教育的比重明显上升，形成公办、民办教育优势互补、共同发展的良好格局。建设现代学校制度，完善中小学学校管理制度。全面推行校长选聘制、职级制和校长负责制，实施教师全员聘用制。推进考试招生制度改革，完善中学学业水平考试和综合素质评价，进一步提高均衡招生比例。健全特殊教育保障机制，逐渐扩大招生规模，提高残疾儿童入学率。成立爱心教育基金。建立健全继续教育体制机制，鼓励个人、社会组织兴办各类老年教育机构，建立多元化的老年教育供给模式。广泛开展城乡社区教育，积极推进全民科学素质提升教育，倡导全民阅读，推动全民学习，不断满足社会对各类教育资源的需求，建设“人人皆学、时时能学、处处可学”的学习型社会。</w:t>
      </w:r>
    </w:p>
    <w:tbl>
      <w:tblPr>
        <w:tblStyle w:val="13"/>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809" w:type="dxa"/>
            <w:tcBorders>
              <w:top w:val="single" w:color="000000" w:sz="2" w:space="0"/>
              <w:bottom w:val="single" w:color="000000" w:sz="2" w:space="0"/>
            </w:tcBorders>
          </w:tcPr>
          <w:p>
            <w:pPr>
              <w:adjustRightInd/>
              <w:snapToGrid/>
              <w:spacing w:line="520" w:lineRule="exact"/>
              <w:ind w:firstLine="492" w:firstLineChars="200"/>
              <w:jc w:val="both"/>
              <w:rPr>
                <w:rFonts w:ascii="仿宋" w:hAnsi="仿宋" w:eastAsia="仿宋" w:cs="仿宋"/>
                <w:color w:val="auto"/>
                <w:sz w:val="24"/>
                <w:szCs w:val="24"/>
              </w:rPr>
            </w:pPr>
            <w:r>
              <w:rPr>
                <w:rFonts w:hint="eastAsia" w:ascii="仿宋" w:hAnsi="仿宋" w:eastAsia="仿宋" w:cs="仿宋"/>
                <w:color w:val="auto"/>
                <w:spacing w:val="3"/>
                <w:sz w:val="24"/>
                <w:szCs w:val="24"/>
              </w:rPr>
              <w:t>专栏4:职业教育提质创优工</w:t>
            </w:r>
            <w:r>
              <w:rPr>
                <w:rFonts w:hint="eastAsia" w:ascii="仿宋" w:hAnsi="仿宋" w:eastAsia="仿宋" w:cs="仿宋"/>
                <w:color w:val="auto"/>
                <w:spacing w:val="2"/>
                <w:sz w:val="24"/>
                <w:szCs w:val="24"/>
              </w:rPr>
              <w:t>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09" w:type="dxa"/>
            <w:tcBorders>
              <w:top w:val="single" w:color="000000" w:sz="2" w:space="0"/>
              <w:bottom w:val="single" w:color="000000" w:sz="2" w:space="0"/>
            </w:tcBorders>
          </w:tcPr>
          <w:p>
            <w:pPr>
              <w:adjustRightInd/>
              <w:snapToGrid/>
              <w:spacing w:line="520" w:lineRule="exact"/>
              <w:ind w:firstLine="504" w:firstLineChars="200"/>
              <w:jc w:val="both"/>
              <w:rPr>
                <w:rFonts w:ascii="仿宋" w:hAnsi="仿宋" w:eastAsia="仿宋" w:cs="仿宋"/>
                <w:color w:val="auto"/>
                <w:spacing w:val="6"/>
                <w:sz w:val="24"/>
                <w:szCs w:val="24"/>
              </w:rPr>
            </w:pPr>
            <w:r>
              <w:rPr>
                <w:rFonts w:hint="eastAsia" w:ascii="仿宋" w:hAnsi="仿宋" w:eastAsia="仿宋" w:cs="仿宋"/>
                <w:color w:val="auto"/>
                <w:spacing w:val="6"/>
                <w:sz w:val="24"/>
                <w:szCs w:val="24"/>
              </w:rPr>
              <w:t>支持浮梁县高级职业学校提质升级为“B”档，打造成为“培养基本劳动者和一般技术技能人才，为高等职业教育输送具有一定技术技能基础的合格生源基地”“为高校毕业生、退役军人、农民工、相对贫困家庭劳动力、残疾人就业创业等提供短期技术技能培训的基地”；积极开展三项职业教育改革探索，即积极探索校办企业发展模式；积极探索引企入校、订单班、冠名班等校企共建专业发展模式；积极探索扩大职业学校办学自主权、自主聘任专业教师等学校管理模式探索；抢抓教育部、江西省整省推进建设职业教育创新发展高地契机，扩充中等职业教育资源，促进县内茶叶、陶瓷、机械类、旅游类产业发展。</w:t>
            </w:r>
          </w:p>
          <w:p>
            <w:pPr>
              <w:adjustRightInd/>
              <w:snapToGrid/>
              <w:spacing w:line="520" w:lineRule="exact"/>
              <w:ind w:firstLine="504" w:firstLineChars="200"/>
              <w:jc w:val="both"/>
              <w:rPr>
                <w:rFonts w:ascii="仿宋" w:hAnsi="仿宋" w:eastAsia="仿宋" w:cs="仿宋"/>
                <w:color w:val="auto"/>
                <w:spacing w:val="6"/>
                <w:sz w:val="24"/>
                <w:szCs w:val="24"/>
              </w:rPr>
            </w:pPr>
            <w:r>
              <w:rPr>
                <w:rFonts w:hint="eastAsia" w:ascii="仿宋" w:hAnsi="仿宋" w:eastAsia="仿宋" w:cs="仿宋"/>
                <w:color w:val="auto"/>
                <w:spacing w:val="6"/>
                <w:sz w:val="24"/>
                <w:szCs w:val="24"/>
              </w:rPr>
              <w:t>根据《教育部 江西省人民政府关于整省推进职业教育综合改革提质创优的意见》中“大力推动中等职业教育学校提质扩容，将中等职业学校建成服务当地经济社会发展，面向当地各类学习群体的办学实体和学习中心。每个县（市区）至少要建成1所符合标准、设施完善、功能齐全的公办达标中等职业学校”的要求，浮梁县将建设1所公办“浮梁县职业学校”，规划建成江西省中等职业学校“B”档类职业学校，规划用地面积约300亩，学位数2000个，争取2023年秋季建成投入使用。</w:t>
            </w:r>
          </w:p>
          <w:p>
            <w:pPr>
              <w:adjustRightInd/>
              <w:snapToGrid/>
              <w:spacing w:line="520" w:lineRule="exact"/>
              <w:ind w:firstLine="378" w:firstLineChars="150"/>
              <w:jc w:val="both"/>
              <w:rPr>
                <w:rFonts w:ascii="仿宋" w:hAnsi="仿宋" w:eastAsia="仿宋" w:cs="仿宋"/>
                <w:color w:val="auto"/>
                <w:sz w:val="24"/>
                <w:szCs w:val="24"/>
              </w:rPr>
            </w:pPr>
            <w:r>
              <w:rPr>
                <w:rFonts w:hint="eastAsia" w:ascii="仿宋" w:hAnsi="仿宋" w:eastAsia="仿宋" w:cs="仿宋"/>
                <w:color w:val="auto"/>
                <w:spacing w:val="6"/>
                <w:sz w:val="24"/>
                <w:szCs w:val="24"/>
              </w:rPr>
              <w:t>积极探索推动职普融通育人方式改革，促进浮梁县高中阶段教育协调发展，实现普职教育办学规模大体相当，统筹普通教育和职业教育发展，以“资源共享、课程共建、教师互动、升学与就业并重”为重点，建立我县普通教育与职业教育融合衔接、互相贯通、多元立交的人才培养机制，促进学生多元成才。</w:t>
            </w:r>
          </w:p>
        </w:tc>
      </w:tr>
    </w:tbl>
    <w:p>
      <w:pPr>
        <w:adjustRightInd/>
        <w:snapToGrid/>
        <w:spacing w:line="520" w:lineRule="exact"/>
        <w:ind w:firstLine="648" w:firstLineChars="200"/>
        <w:jc w:val="both"/>
        <w:rPr>
          <w:rFonts w:ascii="仿宋" w:hAnsi="仿宋" w:eastAsia="仿宋" w:cs="仿宋"/>
          <w:spacing w:val="7"/>
          <w:sz w:val="32"/>
          <w:szCs w:val="32"/>
        </w:rPr>
      </w:pPr>
      <w:r>
        <w:rPr>
          <w:rFonts w:hint="eastAsia" w:ascii="仿宋" w:hAnsi="仿宋" w:eastAsia="仿宋" w:cs="仿宋"/>
          <w:spacing w:val="2"/>
          <w:sz w:val="32"/>
          <w:szCs w:val="32"/>
        </w:rPr>
        <w:t>（四）</w:t>
      </w:r>
      <w:r>
        <w:rPr>
          <w:rFonts w:hint="eastAsia" w:ascii="仿宋" w:hAnsi="仿宋" w:eastAsia="仿宋" w:cs="仿宋"/>
          <w:spacing w:val="8"/>
          <w:sz w:val="32"/>
          <w:szCs w:val="32"/>
        </w:rPr>
        <w:t>构建终身学习服务体系</w:t>
      </w:r>
    </w:p>
    <w:p>
      <w:pPr>
        <w:adjustRightInd/>
        <w:snapToGrid/>
        <w:spacing w:line="520" w:lineRule="exact"/>
        <w:ind w:firstLine="628" w:firstLineChars="200"/>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搭建平台，扩充资源，完善机制，建立多元主体共同参与的终身教育体系，推进全民终身学习，服务建设学习型社会。</w:t>
      </w:r>
    </w:p>
    <w:p>
      <w:pPr>
        <w:pStyle w:val="9"/>
        <w:adjustRightInd/>
        <w:snapToGrid/>
        <w:spacing w:line="520" w:lineRule="exact"/>
        <w:ind w:left="0" w:firstLine="634"/>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1.加强终身教育平台建设</w:t>
      </w:r>
    </w:p>
    <w:p>
      <w:pPr>
        <w:pStyle w:val="9"/>
        <w:adjustRightInd/>
        <w:snapToGrid/>
        <w:spacing w:line="520" w:lineRule="exact"/>
        <w:ind w:left="0" w:firstLine="640"/>
        <w:jc w:val="both"/>
        <w:rPr>
          <w:rFonts w:ascii="仿宋" w:hAnsi="仿宋" w:eastAsia="仿宋" w:cs="仿宋"/>
          <w:sz w:val="32"/>
          <w:szCs w:val="32"/>
        </w:rPr>
      </w:pPr>
      <w:r>
        <w:rPr>
          <w:rFonts w:hint="eastAsia" w:ascii="仿宋" w:hAnsi="仿宋" w:eastAsia="仿宋" w:cs="仿宋"/>
          <w:sz w:val="32"/>
          <w:szCs w:val="32"/>
        </w:rPr>
        <w:t>推进学历继续教育健康发展。探索职业教育和继续教育融合发展新模式。发挥职业学校在职业培训、技术推广和社会生活教育中的作用。加强社区（乡镇）教育基础能力建设，引导各级各类学校积极参与老年大学和社区（乡镇）学习中心建设，创新“互联网+”老年教育和社区（乡镇）教育服务模式。利用各类资源发展老年教育，解决老年教育经费和管理人员不足问题。</w:t>
      </w:r>
    </w:p>
    <w:p>
      <w:pPr>
        <w:pStyle w:val="9"/>
        <w:adjustRightInd/>
        <w:snapToGrid/>
        <w:spacing w:line="520" w:lineRule="exact"/>
        <w:ind w:left="0" w:firstLine="634"/>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2.推动新技术赋能终身学习</w:t>
      </w:r>
    </w:p>
    <w:p>
      <w:pPr>
        <w:pStyle w:val="9"/>
        <w:adjustRightInd/>
        <w:snapToGrid/>
        <w:spacing w:line="520" w:lineRule="exact"/>
        <w:ind w:left="0" w:firstLine="634"/>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推动职业学校、老年大学和其他社会教育机构开放数字化学习资源，充实学习系统资源库。利用互联网大数据、人工智能、云计算等现代信息技术，大力发展多方参与、多种形式、服务全民终身学习的在线教育，规范社会力量举办在线教育机构，加大在线教育资源研发和共享力度。</w:t>
      </w:r>
    </w:p>
    <w:p>
      <w:pPr>
        <w:pStyle w:val="9"/>
        <w:adjustRightInd/>
        <w:snapToGrid/>
        <w:spacing w:line="520" w:lineRule="exact"/>
        <w:ind w:left="0" w:firstLine="634"/>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3.完善终身学习推进机制</w:t>
      </w:r>
    </w:p>
    <w:p>
      <w:pPr>
        <w:pStyle w:val="9"/>
        <w:adjustRightInd/>
        <w:snapToGrid/>
        <w:spacing w:line="520" w:lineRule="exact"/>
        <w:ind w:left="0" w:firstLine="634"/>
        <w:jc w:val="both"/>
        <w:rPr>
          <w:rFonts w:ascii="仿宋" w:hAnsi="仿宋" w:eastAsia="仿宋" w:cs="仿宋"/>
          <w:spacing w:val="-3"/>
          <w:position w:val="2"/>
          <w:sz w:val="32"/>
          <w:szCs w:val="32"/>
        </w:rPr>
      </w:pPr>
      <w:r>
        <w:rPr>
          <w:rFonts w:hint="eastAsia" w:ascii="仿宋" w:hAnsi="仿宋" w:eastAsia="仿宋" w:cs="仿宋"/>
          <w:spacing w:val="-3"/>
          <w:position w:val="2"/>
          <w:sz w:val="32"/>
          <w:szCs w:val="32"/>
        </w:rPr>
        <w:t>建立终身学习体系建设跨部门协调推进机制,完善服务全民终身学习的教育供给机制，鼓励各类学校之间、学校与社会教育机构之间开展合作创新，共建共享。利用江西省终身学习系统，建立健全终身学习成果积累、认证、转换、检测评价机制，构建基于大数据的终身教育决策服务体系。探索以政府购买服务方式提供弱势人群就业技能教育服务。激励各行各业英模自主学习。完善终身学习激励政策，形成全民积极向学、随时随地可学的制度环境。</w:t>
      </w:r>
    </w:p>
    <w:p>
      <w:pPr>
        <w:adjustRightInd/>
        <w:snapToGrid/>
        <w:spacing w:line="520" w:lineRule="exact"/>
        <w:ind w:firstLine="636" w:firstLineChars="200"/>
        <w:jc w:val="both"/>
        <w:rPr>
          <w:rFonts w:ascii="仿宋" w:hAnsi="仿宋" w:eastAsia="仿宋" w:cs="仿宋"/>
          <w:sz w:val="32"/>
          <w:szCs w:val="32"/>
        </w:rPr>
      </w:pPr>
      <w:r>
        <w:rPr>
          <w:rFonts w:hint="eastAsia" w:ascii="仿宋" w:hAnsi="仿宋" w:eastAsia="仿宋" w:cs="仿宋"/>
          <w:spacing w:val="-1"/>
          <w:sz w:val="32"/>
          <w:szCs w:val="32"/>
        </w:rPr>
        <w:t>(</w:t>
      </w:r>
      <w:r>
        <w:rPr>
          <w:rFonts w:hint="eastAsia" w:ascii="仿宋" w:hAnsi="仿宋" w:eastAsia="仿宋" w:cs="仿宋"/>
          <w:spacing w:val="-1"/>
          <w:sz w:val="32"/>
          <w:szCs w:val="32"/>
          <w:lang w:val="en-US" w:eastAsia="zh-CN"/>
        </w:rPr>
        <w:t>五</w:t>
      </w:r>
      <w:r>
        <w:rPr>
          <w:rFonts w:hint="eastAsia" w:ascii="仿宋" w:hAnsi="仿宋" w:eastAsia="仿宋" w:cs="仿宋"/>
          <w:spacing w:val="-1"/>
          <w:sz w:val="32"/>
          <w:szCs w:val="32"/>
        </w:rPr>
        <w:t>)打造高素质教师队伍</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健全师德师风建设长效机制，推进教师教育高质量发展，加强教师能力素质培养，深化教师管理综合改革，持续提升教师地位待遇，着力打造一支高素质专业化教师队伍。</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1.加强师德师风建设</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全面加强教师队伍思想政治教育，推进教师政治理论学习系统化、常态化和制度化，筑牢意识形态堡垒;加强教师聘用、考核评审中的政治立场和师德师风考察，将思想政治表现和课堂教学要求与职称评定、评优奖励等挂钩。大力提升教师职业道德素养，将师德师风教育贯穿教师生涯全过程，强化教师队伍法治和纪律教育，持续开展优秀教师选树宣传，做好“感动江西教育年度人物”“新时代学生心中的好老师”推荐活动，讲好县域内师德故事。完善师德师风建设长效机制，落实教职员工准入查询违法犯罪信息制度，健全多元监管体系和教师信用体系，强化师德考评，持续推行师德考核负面清单制度，全面落实诚信承诺和失信惩戒机制，定期通报师德失范行为，加强师德警示教育。重视高层次人才、青年教师的教育引导，增强工作向心力。加强师德师风建设情况监测和分析评估，组建县级师德师风建设专家委员会，发挥教育部师德师风建设基地的示范作用，提高师德师风建设科学性和实效性。</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2.提高教师专业化水平</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加大中小学教师专业发展支持力度，推进县级教师进修学校、教研、电教等机构职能整合，大力实施“中小学名师名校长培养计划”，突出新课程、新教材、新方法、新技术培训，不断提高教师育德、课堂教学、作业与考试命题设计、实验操作和家庭教育指导等能力。加快职业学校“双师型”教师队伍建设，建立校企联合培养机制，健全职业学校专业教师到行业企业实践机制。</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3.优化教师队伍结构</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深入实施县域内中小学教师、校长交流轮岗，实行教师聘期制、校长任期制管理，建立县域内骨干教师巡回授课、紧缺学科教师流动走教制度，进一步优化教师资源配置。实施县域内公费师范生培养计划，建立初中毕业起点、贯通培养的幼儿园教师和小学教师培养体系，采取定向招生、定向培养、定向分配的“三定向”方式，为农村学校培养“一专多能”的本土化教师。不断提高农村中小学教师初次配置质量。建立思政、德育、美育、劳育等紧缺、薄弱学科教师培养和招聘机制，加大农村教师定向培养统筹力度。完善教师年龄、性别、学科等数据动态检测和运用，建立教师需求配置预警机制，逐步缓解教师城乡、校际、学科、性别等结构性矛盾。</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4.完善教师管理机制</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控制总量、盘活存量、提高编制使用效率，统筹存量编制资源。继续完善全县统一管理、统筹调配的中小学教职工编制“周转池”制度，为中小学教师队伍建设提供可持续编制保障。全面落实中小学教职工编制标准和公办幼儿园人员配备规范。落实幼儿园教师持教师资格证上岗制度。推进义务教育学校教师“县管校聘”改革，促进义务教育教师资源均衡配置。适应新高考和普通高中选课走班要求，适度增加普通高中教师编制。实施校长教师交流轮岗制度，让优秀师资流动起来。健全教师岗位、职称和考核评价制度，适当提高中小学高级岗位结构比例。落实好职业教育“双渠道”教师招聘制度，畅通教师职业发展通道。落实高校人才编制备案制管理，扩大高校引进人才自主权限，深化高校教师分类考核评价制度改革，配足配齐专职辅导员和思政课教师。完善教师退出机制，落实中小学教师资格定期注册制度，打破教师岗位聘任“终身制”。</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5.提升教师地位待遇</w:t>
      </w:r>
    </w:p>
    <w:p>
      <w:pPr>
        <w:adjustRightInd/>
        <w:snapToGrid/>
        <w:spacing w:line="520" w:lineRule="exact"/>
        <w:ind w:firstLine="640" w:firstLineChars="200"/>
        <w:jc w:val="both"/>
        <w:rPr>
          <w:rFonts w:ascii="仿宋" w:hAnsi="仿宋" w:eastAsia="仿宋" w:cs="仿宋"/>
          <w:color w:val="FF0000"/>
          <w:sz w:val="32"/>
          <w:szCs w:val="32"/>
        </w:rPr>
      </w:pPr>
      <w:r>
        <w:rPr>
          <w:rFonts w:hint="eastAsia" w:ascii="仿宋" w:hAnsi="仿宋" w:eastAsia="仿宋" w:cs="仿宋"/>
          <w:sz w:val="32"/>
          <w:szCs w:val="32"/>
        </w:rPr>
        <w:t>认真落实合同制教师待遇保障政策，确保教师工资及时发放、同工同酬。健全义务教育教师工资随当地公务员待遇调整的联动协调机制，确保义务教育教师平均工资收入水平不低于当地公务员平均工资收入水平。落实艰苦边远地区农村中小学教师特殊津贴和乡村教师生活补助政策。完善中小学教师收入分配激励机制，绩效工资分配向中小学班主任、特殊教育、专门教育教师倾斜。大力提升教师社会地位，落实公办中小学校教师作为国家公职人员法律地位。落实中小学教育惩戒规则，推行中小学校和教师减负正面清单管理，切实减轻中小学教师不合理工作负担；加大教师表彰奖励和宣传力度，健全长期从教教师荣誉制度，持续开展人民满意模范校长、优秀教师、优秀班主任、优秀教育工作者、德育先进工作者、优秀少先队辅导员等评选表彰。制定教师优待办法，关注教师身心健康，保障教师享有健康体检、旅游、住房等优待政策。依法保障和维护民办学校教师权益，落实民办学校为教师缴纳“五险一金”等政策。</w:t>
      </w:r>
    </w:p>
    <w:tbl>
      <w:tblPr>
        <w:tblStyle w:val="13"/>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40" w:type="dxa"/>
            <w:tcBorders>
              <w:top w:val="single" w:color="000000" w:sz="2" w:space="0"/>
              <w:bottom w:val="single" w:color="000000" w:sz="2" w:space="0"/>
            </w:tcBorders>
          </w:tcPr>
          <w:p>
            <w:pPr>
              <w:adjustRightInd/>
              <w:snapToGrid/>
              <w:spacing w:line="520" w:lineRule="exact"/>
              <w:ind w:firstLine="500" w:firstLineChars="200"/>
              <w:jc w:val="both"/>
              <w:rPr>
                <w:rFonts w:ascii="仿宋" w:hAnsi="仿宋" w:eastAsia="仿宋" w:cs="仿宋"/>
                <w:color w:val="auto"/>
                <w:sz w:val="24"/>
                <w:szCs w:val="24"/>
              </w:rPr>
            </w:pPr>
            <w:r>
              <w:rPr>
                <w:rFonts w:hint="eastAsia" w:ascii="仿宋" w:hAnsi="仿宋" w:eastAsia="仿宋" w:cs="仿宋"/>
                <w:color w:val="auto"/>
                <w:spacing w:val="5"/>
                <w:sz w:val="24"/>
                <w:szCs w:val="24"/>
              </w:rPr>
              <w:t>专</w:t>
            </w:r>
            <w:r>
              <w:rPr>
                <w:rFonts w:hint="eastAsia" w:ascii="仿宋" w:hAnsi="仿宋" w:eastAsia="仿宋" w:cs="仿宋"/>
                <w:color w:val="auto"/>
                <w:spacing w:val="4"/>
                <w:sz w:val="24"/>
                <w:szCs w:val="24"/>
              </w:rPr>
              <w:t>栏</w:t>
            </w:r>
            <w:r>
              <w:rPr>
                <w:rFonts w:hint="eastAsia" w:ascii="仿宋" w:hAnsi="仿宋" w:eastAsia="仿宋" w:cs="仿宋"/>
                <w:color w:val="auto"/>
                <w:spacing w:val="4"/>
                <w:sz w:val="24"/>
                <w:szCs w:val="24"/>
                <w:lang w:val="en-US" w:eastAsia="zh-CN"/>
              </w:rPr>
              <w:t>5</w:t>
            </w:r>
            <w:r>
              <w:rPr>
                <w:rFonts w:hint="eastAsia" w:ascii="仿宋" w:hAnsi="仿宋" w:eastAsia="仿宋" w:cs="仿宋"/>
                <w:color w:val="auto"/>
                <w:spacing w:val="4"/>
                <w:sz w:val="24"/>
                <w:szCs w:val="24"/>
              </w:rPr>
              <w:t>:高水平师资队伍建设工程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8840" w:type="dxa"/>
            <w:tcBorders>
              <w:top w:val="single" w:color="000000" w:sz="2" w:space="0"/>
              <w:bottom w:val="single" w:color="000000" w:sz="2" w:space="0"/>
            </w:tcBorders>
          </w:tcPr>
          <w:p>
            <w:pPr>
              <w:adjustRightInd/>
              <w:snapToGrid/>
              <w:spacing w:line="52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培养省级学科带头人3人，省级骨干教师10人；培养市级学科带头人6人，市级骨干教师20人；选拔增加培养县级学科带头人10人，选拔增加培养县级骨干教师80人。</w:t>
            </w:r>
          </w:p>
        </w:tc>
      </w:tr>
    </w:tbl>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)推动智能时代教育创新</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教育信息化“四个一”工作思路，加大教育新基建投资力度，构建数字教育资源公共服务体系，全面提升师生信息素养，促进信息技术在教育教学中的深度应用，推进优质资源开放共享，构建“互联网+教育”新生态，支撑引领教育现代化。</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1.大力实施教育新基建</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实施教育信息化基础能力提升工程，发挥教育专网基础性支撑作用，推进互联网协议第六版规模部署和应用。推进校园智能化改造，持续实施“智慧(数字)校园”建设工程，加快智慧教室、智能实验室、虚拟仿真实训室、创客教室、数字图书馆等智能学习空间建设。推进“赣教云”教育大平台建设，加快江西省教育资源公共服务平台与教育管理公共服务平台深度融合，汇聚各级各类教育教学资源及教育管理应用。加快建设数据中台和“人人通”APP,推动信息系统的业务协同，全面打通和支撑“教、学、管、评、测”等教育环节。健全网络安全工作机制，建立网络安全实时监测和防护体系，建立健全网络安全责任制和问责机制，规范教育数据管理，加强在线教育产品和教育类APP监管，保障个人信息和重要数据安全，构建绿色上网防护体系。完善教育信息化建设和运维经费保障机制。</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2.全面推进新技术融合应用</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drawing>
          <wp:anchor distT="0" distB="0" distL="0" distR="0" simplePos="0" relativeHeight="251659264" behindDoc="0" locked="0" layoutInCell="0" allowOverlap="1">
            <wp:simplePos x="0" y="0"/>
            <wp:positionH relativeFrom="page">
              <wp:posOffset>983615</wp:posOffset>
            </wp:positionH>
            <wp:positionV relativeFrom="page">
              <wp:posOffset>8222615</wp:posOffset>
            </wp:positionV>
            <wp:extent cx="1441450" cy="6350"/>
            <wp:effectExtent l="0" t="0" r="0" b="0"/>
            <wp:wrapNone/>
            <wp:docPr id="2" name="IM 8"/>
            <wp:cNvGraphicFramePr/>
            <a:graphic xmlns:a="http://schemas.openxmlformats.org/drawingml/2006/main">
              <a:graphicData uri="http://schemas.openxmlformats.org/drawingml/2006/picture">
                <pic:pic xmlns:pic="http://schemas.openxmlformats.org/drawingml/2006/picture">
                  <pic:nvPicPr>
                    <pic:cNvPr id="2" name="IM 8"/>
                    <pic:cNvPicPr/>
                  </pic:nvPicPr>
                  <pic:blipFill>
                    <a:blip r:embed="rId5" cstate="print"/>
                    <a:stretch>
                      <a:fillRect/>
                    </a:stretch>
                  </pic:blipFill>
                  <pic:spPr>
                    <a:xfrm>
                      <a:off x="0" y="0"/>
                      <a:ext cx="1441461" cy="6389"/>
                    </a:xfrm>
                    <a:prstGeom prst="rect">
                      <a:avLst/>
                    </a:prstGeom>
                  </pic:spPr>
                </pic:pic>
              </a:graphicData>
            </a:graphic>
          </wp:anchor>
        </w:drawing>
      </w:r>
      <w:r>
        <w:rPr>
          <w:rFonts w:hint="eastAsia" w:ascii="仿宋" w:hAnsi="仿宋" w:eastAsia="仿宋" w:cs="仿宋"/>
          <w:sz w:val="32"/>
          <w:szCs w:val="32"/>
        </w:rPr>
        <w:t>推进信息技术与教育教学的深度融合，推动线上线下教学有机衔接，全面实现“三个课堂”在中小学校的常态化按需应用。探索人工智能、虚拟仿真等现代信息技术在“众创空间”、跨学科学习(STEAM 教育)、创客教育等新型教育模式中的应用; 开展基于大数据的课堂分析、学习分析，构建知识图谱与自适应学习方式，绘制学生“数字画像”。推动“互联网+教研”模式，运用网络研修平台进行集体备课和网络研修，提升教师利用信息技术开展学情分析、个性化教学的能力。</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3.持续提升师生信息素养</w:t>
      </w:r>
    </w:p>
    <w:p>
      <w:pPr>
        <w:adjustRightInd/>
        <w:snapToGrid/>
        <w:spacing w:line="520" w:lineRule="exact"/>
        <w:ind w:firstLine="640" w:firstLineChars="200"/>
        <w:jc w:val="both"/>
        <w:rPr>
          <w:rFonts w:ascii="仿宋" w:hAnsi="仿宋" w:eastAsia="仿宋" w:cs="仿宋"/>
          <w:color w:val="auto"/>
          <w:sz w:val="32"/>
          <w:szCs w:val="32"/>
        </w:rPr>
      </w:pPr>
      <w:r>
        <w:rPr>
          <w:rFonts w:hint="eastAsia" w:ascii="仿宋" w:hAnsi="仿宋" w:eastAsia="仿宋" w:cs="仿宋"/>
          <w:sz w:val="32"/>
          <w:szCs w:val="32"/>
        </w:rPr>
        <w:t>提升教师信息素养，持续实施“中小学教师信息技术应用能力 提升工程”,深入开展校长信息化领导力培训，完成教师信息化应 用能力全员培训，基本实现“三提升一全面”。激发教师应用信息技术的内生动力，推动信息技术应用能力纳入教师招聘、职务(职称)评聘和评比表彰。开展多种形式的网络安全教育和培训，建立从业人员岗前培训和岗位继续教育制度，提高网络安全意识。提升学生信息素养，将计算机编程、人工智能等纳入中小学信息技术课程体系，推动信息素养纳入中小学生综合素质评价。提高师范生信息技术应用能力，把信息素养纳入师范生培养课程体系，促进师范院校的教育技术和人工智能等专业建设。</w:t>
      </w:r>
    </w:p>
    <w:tbl>
      <w:tblPr>
        <w:tblStyle w:val="13"/>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809" w:type="dxa"/>
            <w:tcBorders>
              <w:top w:val="single" w:color="000000" w:sz="2" w:space="0"/>
              <w:bottom w:val="single" w:color="000000" w:sz="2" w:space="0"/>
            </w:tcBorders>
          </w:tcPr>
          <w:p>
            <w:pPr>
              <w:adjustRightInd/>
              <w:snapToGrid/>
              <w:spacing w:line="520" w:lineRule="exact"/>
              <w:ind w:firstLine="528" w:firstLineChars="200"/>
              <w:jc w:val="both"/>
              <w:rPr>
                <w:rFonts w:ascii="仿宋" w:hAnsi="仿宋" w:eastAsia="仿宋" w:cs="仿宋"/>
                <w:color w:val="auto"/>
                <w:sz w:val="24"/>
                <w:szCs w:val="24"/>
              </w:rPr>
            </w:pPr>
            <w:r>
              <w:rPr>
                <w:rFonts w:hint="eastAsia" w:ascii="仿宋" w:hAnsi="仿宋" w:eastAsia="仿宋" w:cs="仿宋"/>
                <w:color w:val="auto"/>
                <w:spacing w:val="12"/>
                <w:sz w:val="24"/>
                <w:szCs w:val="24"/>
              </w:rPr>
              <w:t>专</w:t>
            </w:r>
            <w:r>
              <w:rPr>
                <w:rFonts w:hint="eastAsia" w:ascii="仿宋" w:hAnsi="仿宋" w:eastAsia="仿宋" w:cs="仿宋"/>
                <w:color w:val="auto"/>
                <w:spacing w:val="11"/>
                <w:sz w:val="24"/>
                <w:szCs w:val="24"/>
              </w:rPr>
              <w:t>栏</w:t>
            </w:r>
            <w:r>
              <w:rPr>
                <w:rFonts w:hint="eastAsia" w:ascii="仿宋" w:hAnsi="仿宋" w:eastAsia="仿宋" w:cs="仿宋"/>
                <w:color w:val="auto"/>
                <w:spacing w:val="11"/>
                <w:sz w:val="24"/>
                <w:szCs w:val="24"/>
                <w:lang w:val="en-US" w:eastAsia="zh-CN"/>
              </w:rPr>
              <w:t>6</w:t>
            </w:r>
            <w:r>
              <w:rPr>
                <w:rFonts w:hint="eastAsia" w:ascii="仿宋" w:hAnsi="仿宋" w:eastAsia="仿宋" w:cs="仿宋"/>
                <w:color w:val="auto"/>
                <w:spacing w:val="11"/>
                <w:sz w:val="24"/>
                <w:szCs w:val="24"/>
              </w:rPr>
              <w:t>:智慧教育融合共享工程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8809" w:type="dxa"/>
            <w:tcBorders>
              <w:top w:val="single" w:color="000000" w:sz="2" w:space="0"/>
              <w:bottom w:val="single" w:color="000000" w:sz="2" w:space="0"/>
            </w:tcBorders>
          </w:tcPr>
          <w:p>
            <w:pPr>
              <w:adjustRightInd/>
              <w:snapToGrid/>
              <w:spacing w:line="520" w:lineRule="exact"/>
              <w:ind w:firstLine="512" w:firstLineChars="200"/>
              <w:jc w:val="both"/>
              <w:rPr>
                <w:rFonts w:ascii="仿宋" w:hAnsi="仿宋" w:eastAsia="仿宋" w:cs="仿宋"/>
                <w:color w:val="FF0000"/>
                <w:sz w:val="24"/>
                <w:szCs w:val="24"/>
              </w:rPr>
            </w:pPr>
            <w:r>
              <w:rPr>
                <w:rFonts w:hint="eastAsia" w:ascii="仿宋" w:hAnsi="仿宋" w:eastAsia="仿宋" w:cs="仿宋"/>
                <w:color w:val="auto"/>
                <w:spacing w:val="8"/>
                <w:sz w:val="24"/>
                <w:szCs w:val="24"/>
              </w:rPr>
              <w:t>实现乡镇及其</w:t>
            </w:r>
            <w:r>
              <w:rPr>
                <w:rFonts w:hint="eastAsia" w:ascii="仿宋" w:hAnsi="仿宋" w:eastAsia="仿宋" w:cs="仿宋"/>
                <w:color w:val="auto"/>
                <w:spacing w:val="4"/>
                <w:sz w:val="24"/>
                <w:szCs w:val="24"/>
              </w:rPr>
              <w:t>以上的学校“智慧校园”覆盖率100%;建设50个“名师课堂”、</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3所“名校网络课堂”实验校;</w:t>
            </w:r>
            <w:r>
              <w:rPr>
                <w:rFonts w:hint="eastAsia" w:ascii="仿宋" w:hAnsi="仿宋" w:eastAsia="仿宋" w:cs="仿宋"/>
                <w:color w:val="auto"/>
                <w:spacing w:val="11"/>
                <w:sz w:val="24"/>
                <w:szCs w:val="24"/>
              </w:rPr>
              <w:t>推进“智慧作业”在3-9年级班级全面运用。</w:t>
            </w:r>
          </w:p>
        </w:tc>
      </w:tr>
    </w:tbl>
    <w:p>
      <w:pPr>
        <w:adjustRightInd/>
        <w:snapToGrid/>
        <w:spacing w:line="520" w:lineRule="exact"/>
        <w:ind w:firstLine="644" w:firstLineChars="200"/>
        <w:jc w:val="both"/>
        <w:rPr>
          <w:rFonts w:ascii="仿宋" w:hAnsi="仿宋" w:eastAsia="仿宋" w:cs="仿宋"/>
          <w:sz w:val="32"/>
          <w:szCs w:val="32"/>
        </w:rPr>
      </w:pPr>
      <w:r>
        <w:rPr>
          <w:rFonts w:hint="eastAsia" w:ascii="仿宋" w:hAnsi="仿宋" w:eastAsia="仿宋" w:cs="仿宋"/>
          <w:spacing w:val="1"/>
          <w:sz w:val="32"/>
          <w:szCs w:val="32"/>
        </w:rPr>
        <w:t>(</w:t>
      </w:r>
      <w:r>
        <w:rPr>
          <w:rFonts w:hint="eastAsia" w:ascii="仿宋" w:hAnsi="仿宋" w:eastAsia="仿宋" w:cs="仿宋"/>
          <w:spacing w:val="1"/>
          <w:sz w:val="32"/>
          <w:szCs w:val="32"/>
          <w:lang w:val="en-US" w:eastAsia="zh-CN"/>
        </w:rPr>
        <w:t>七</w:t>
      </w:r>
      <w:r>
        <w:rPr>
          <w:rFonts w:hint="eastAsia" w:ascii="仿宋" w:hAnsi="仿宋" w:eastAsia="仿宋" w:cs="仿宋"/>
          <w:spacing w:val="1"/>
          <w:sz w:val="32"/>
          <w:szCs w:val="32"/>
        </w:rPr>
        <w:t>)深</w:t>
      </w:r>
      <w:r>
        <w:rPr>
          <w:rFonts w:hint="eastAsia" w:ascii="仿宋" w:hAnsi="仿宋" w:eastAsia="仿宋" w:cs="仿宋"/>
          <w:sz w:val="32"/>
          <w:szCs w:val="32"/>
        </w:rPr>
        <w:t>化新时代教育综合改革</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坚持问题导向，破解教育发展难题，稳妥推进教育改革，增强教育发展活力，推动教育高质量发展。</w:t>
      </w:r>
    </w:p>
    <w:p>
      <w:pPr>
        <w:adjustRightInd/>
        <w:snapToGrid/>
        <w:spacing w:line="520" w:lineRule="exact"/>
        <w:ind w:firstLine="688" w:firstLineChars="200"/>
        <w:jc w:val="both"/>
        <w:rPr>
          <w:rFonts w:ascii="仿宋" w:hAnsi="仿宋" w:eastAsia="仿宋" w:cs="仿宋"/>
          <w:sz w:val="32"/>
          <w:szCs w:val="32"/>
        </w:rPr>
      </w:pPr>
      <w:r>
        <w:rPr>
          <w:rFonts w:hint="eastAsia" w:ascii="仿宋" w:hAnsi="仿宋" w:eastAsia="仿宋" w:cs="仿宋"/>
          <w:spacing w:val="12"/>
          <w:sz w:val="32"/>
          <w:szCs w:val="32"/>
        </w:rPr>
        <w:t>1</w:t>
      </w:r>
      <w:r>
        <w:rPr>
          <w:rFonts w:hint="eastAsia" w:ascii="仿宋" w:hAnsi="仿宋" w:eastAsia="仿宋" w:cs="仿宋"/>
          <w:spacing w:val="6"/>
          <w:sz w:val="32"/>
          <w:szCs w:val="32"/>
        </w:rPr>
        <w:t>.系统推进教育评价改革</w:t>
      </w:r>
    </w:p>
    <w:p>
      <w:pPr>
        <w:widowControl w:val="0"/>
        <w:kinsoku/>
        <w:autoSpaceDE/>
        <w:autoSpaceDN/>
        <w:adjustRightInd/>
        <w:snapToGrid/>
        <w:spacing w:line="52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sz w:val="32"/>
          <w:szCs w:val="32"/>
        </w:rPr>
        <w:t>坚持破立并举，坚决破除唯分数、唯升学、唯文凭、唯论文、唯帽子顽瘴瘤疾，着力构建科学评价机制。改革学校、教师用人评价,建立健全基础教育、职业教育等分层分类教育评价制度，构建政府、学校、社会等多元参与的评价体系。完善教育督导部门统一负责、相关部门协作的教育评估监测机制，鼓励专业机构和社会组织参与教育评估监测。坚持科学评价导向，改进结果评价，强化过程评价，探索增值评价，健全综合评价。鼓励各校探索开展学生各年级学习情况全过程、德智体美劳全要素评价，利用大数据、人工智能技术开展多元化、过程化的教学评价，促进学校立德树人、教师潜心育人。注重教育评价结果运用，加大教育评价政策宣传，建立更加科学健全的教育评价体系，促进全社会形成科学的教育发展观、人才成长观和选人用人观。</w:t>
      </w:r>
    </w:p>
    <w:p>
      <w:pPr>
        <w:adjustRightInd/>
        <w:snapToGrid/>
        <w:spacing w:line="520" w:lineRule="exact"/>
        <w:ind w:firstLine="704" w:firstLineChars="200"/>
        <w:jc w:val="both"/>
        <w:rPr>
          <w:rFonts w:ascii="仿宋" w:hAnsi="仿宋" w:eastAsia="仿宋" w:cs="仿宋"/>
          <w:sz w:val="32"/>
          <w:szCs w:val="32"/>
        </w:rPr>
      </w:pPr>
      <w:r>
        <w:rPr>
          <w:rFonts w:hint="eastAsia" w:ascii="仿宋" w:hAnsi="仿宋" w:eastAsia="仿宋" w:cs="仿宋"/>
          <w:spacing w:val="16"/>
          <w:position w:val="2"/>
          <w:sz w:val="32"/>
          <w:szCs w:val="32"/>
        </w:rPr>
        <w:t>2</w:t>
      </w:r>
      <w:r>
        <w:rPr>
          <w:rFonts w:hint="eastAsia" w:ascii="仿宋" w:hAnsi="仿宋" w:eastAsia="仿宋" w:cs="仿宋"/>
          <w:spacing w:val="9"/>
          <w:position w:val="2"/>
          <w:sz w:val="32"/>
          <w:szCs w:val="32"/>
        </w:rPr>
        <w:t>.深化考试招生制度改革</w:t>
      </w:r>
    </w:p>
    <w:p>
      <w:pPr>
        <w:adjustRightInd/>
        <w:snapToGrid/>
        <w:spacing w:line="520" w:lineRule="exact"/>
        <w:ind w:firstLine="644" w:firstLineChars="200"/>
        <w:jc w:val="both"/>
        <w:rPr>
          <w:rFonts w:ascii="仿宋" w:hAnsi="仿宋" w:eastAsia="仿宋" w:cs="仿宋"/>
          <w:spacing w:val="1"/>
          <w:sz w:val="32"/>
          <w:szCs w:val="32"/>
        </w:rPr>
      </w:pPr>
      <w:r>
        <w:rPr>
          <w:rFonts w:hint="eastAsia" w:ascii="仿宋" w:hAnsi="仿宋" w:eastAsia="仿宋" w:cs="仿宋"/>
          <w:spacing w:val="1"/>
          <w:sz w:val="32"/>
          <w:szCs w:val="32"/>
        </w:rPr>
        <w:t>稳妥推进考试招生制度改革，健全促进公平、科学选才、监督有力的考试招生体制机制。按照省考试院要求，有序推进高中阶段学校考试招生制度改革，提高体育分值，探索美育考核办法，推行初中学业水平考试和综合素质评价相结合的高中阶段学校招生录取模式。按照“3+1+2”模式，稳步推进高考综合改革，完善高中学业水平考试，规范高中学生综合素质评价。执行“职教高考”制度，做好宣传“文化素质＋职业技能”的高等职业教育考试招生办法。利用大数据、人工智能技术开展多元化、过程化的教学评价，促进学校立德树人、教师潜心育人。注重教育评价结果运用，加大教育评价政策宣传，建立更加科学健全的教育评价体系，促进全社会形成科学的教育发展观、人才成长观和选人用人观。加强考试机构能力建设，推动我县考试机构职能整合，配齐配强县教育考试中心干部队伍，努力实现高素质、专业化；推进考试招生管理信息化，进一步改善考试设施设备及运行保障条件。</w:t>
      </w:r>
    </w:p>
    <w:p>
      <w:pPr>
        <w:adjustRightInd/>
        <w:snapToGrid/>
        <w:spacing w:line="520" w:lineRule="exact"/>
        <w:ind w:firstLine="696" w:firstLineChars="200"/>
        <w:jc w:val="both"/>
        <w:rPr>
          <w:rFonts w:ascii="仿宋" w:hAnsi="仿宋" w:eastAsia="仿宋" w:cs="仿宋"/>
          <w:sz w:val="32"/>
          <w:szCs w:val="32"/>
        </w:rPr>
      </w:pPr>
      <w:r>
        <w:rPr>
          <w:rFonts w:hint="eastAsia" w:ascii="仿宋" w:hAnsi="仿宋" w:eastAsia="仿宋" w:cs="仿宋"/>
          <w:spacing w:val="14"/>
          <w:sz w:val="32"/>
          <w:szCs w:val="32"/>
        </w:rPr>
        <w:t>3</w:t>
      </w:r>
      <w:r>
        <w:rPr>
          <w:rFonts w:hint="eastAsia" w:ascii="仿宋" w:hAnsi="仿宋" w:eastAsia="仿宋" w:cs="仿宋"/>
          <w:spacing w:val="10"/>
          <w:sz w:val="32"/>
          <w:szCs w:val="32"/>
        </w:rPr>
        <w:t>.</w:t>
      </w:r>
      <w:r>
        <w:rPr>
          <w:rFonts w:hint="eastAsia" w:ascii="仿宋" w:hAnsi="仿宋" w:eastAsia="仿宋" w:cs="仿宋"/>
          <w:spacing w:val="7"/>
          <w:sz w:val="32"/>
          <w:szCs w:val="32"/>
        </w:rPr>
        <w:t>深化教育督导体制机制改革</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完善教育督导体制机制，健全教育督导机构设置，适时调整浮梁县人民政府教育督导委员会成员单位及人员，构建督政、督学、评估监测三位一体的教育督导新体系，确保教育督导机构独立行使职能。健全督导工作规程，落实督导条件保障。建立健全涵盖学前教育、义务教育、普通高中教育和职业教育的各级各类教育督导机制。完善教育督导报告、反馈、整改、复查、激励、约谈、通报和问责制度。健全对乡（镇）政府的教育督导机制，推进对乡（镇）党政领导干部履行教育职责督导评价，推动县政府建立中小学校办学绩效考核制度。开展县域义务教育优质均衡发展督导评估（202</w:t>
      </w:r>
      <w:r>
        <w:rPr>
          <w:rFonts w:hint="eastAsia" w:ascii="仿宋" w:hAnsi="仿宋" w:eastAsia="仿宋" w:cs="仿宋"/>
          <w:sz w:val="32"/>
          <w:szCs w:val="32"/>
          <w:lang w:val="en-US" w:eastAsia="zh-CN"/>
        </w:rPr>
        <w:t>3</w:t>
      </w:r>
      <w:r>
        <w:rPr>
          <w:rFonts w:hint="eastAsia" w:ascii="仿宋" w:hAnsi="仿宋" w:eastAsia="仿宋" w:cs="仿宋"/>
          <w:sz w:val="32"/>
          <w:szCs w:val="32"/>
        </w:rPr>
        <w:t>年）、县域学前教育普及普惠督导评估（2027年），组织开展教育热点难点问题和重点工作专项督导，继续做好中小学（幼儿园）责任督学挂牌督导工作。加强教育督导队伍建设，做好县督学换届工作，配齐配强督学，将督学培训纳入教育管理干部培训计划，分级分类开展培训，加强教育督导学术交流，提升督导人员履职能力。</w:t>
      </w:r>
    </w:p>
    <w:p>
      <w:pPr>
        <w:adjustRightInd/>
        <w:snapToGrid/>
        <w:spacing w:line="520" w:lineRule="exact"/>
        <w:ind w:firstLine="696" w:firstLineChars="200"/>
        <w:jc w:val="both"/>
        <w:rPr>
          <w:rFonts w:ascii="仿宋" w:hAnsi="仿宋" w:eastAsia="仿宋" w:cs="仿宋"/>
          <w:sz w:val="32"/>
          <w:szCs w:val="32"/>
        </w:rPr>
      </w:pPr>
      <w:r>
        <w:rPr>
          <w:rFonts w:hint="eastAsia" w:ascii="仿宋" w:hAnsi="仿宋" w:eastAsia="仿宋" w:cs="仿宋"/>
          <w:spacing w:val="14"/>
          <w:position w:val="2"/>
          <w:sz w:val="32"/>
          <w:szCs w:val="32"/>
        </w:rPr>
        <w:t>4</w:t>
      </w:r>
      <w:r>
        <w:rPr>
          <w:rFonts w:hint="eastAsia" w:ascii="仿宋" w:hAnsi="仿宋" w:eastAsia="仿宋" w:cs="仿宋"/>
          <w:spacing w:val="7"/>
          <w:position w:val="2"/>
          <w:sz w:val="32"/>
          <w:szCs w:val="32"/>
        </w:rPr>
        <w:t>.规范民办教育发展</w:t>
      </w:r>
    </w:p>
    <w:p>
      <w:pPr>
        <w:adjustRightInd/>
        <w:snapToGrid/>
        <w:spacing w:line="520" w:lineRule="exact"/>
        <w:ind w:firstLine="672" w:firstLineChars="200"/>
        <w:jc w:val="both"/>
        <w:rPr>
          <w:rFonts w:ascii="仿宋" w:hAnsi="仿宋" w:eastAsia="仿宋" w:cs="仿宋"/>
          <w:spacing w:val="8"/>
          <w:sz w:val="32"/>
          <w:szCs w:val="32"/>
        </w:rPr>
      </w:pPr>
      <w:r>
        <w:rPr>
          <w:rFonts w:hint="eastAsia" w:ascii="仿宋" w:hAnsi="仿宋" w:eastAsia="仿宋" w:cs="仿宋"/>
          <w:spacing w:val="8"/>
          <w:sz w:val="32"/>
          <w:szCs w:val="32"/>
        </w:rPr>
        <w:t>推进民办学校非营利性和营利性分类管理改革，在政府补贴、政府购买服务、基金奖励、捐资激励、土地划拨等方面实施差别化扶持，因地制宜研究设立并用好民办教育发展专项资金，积极引导社会力量举办非营利性民办学校。落实民办学校用电、用水、用气执行与公办学校相同的价格政策。依法依规促进民办教育发展，加大民办学校资产管理和财务监管力度，规范举办者变更审批流程。用好省级民办教育公共服务平台，落实民办学校办学许可证电子证照制度。指导民办学校依法制定和修订完善章程，完善董事会决策、校长行政、教职工民主参与、党组织政治核心作用充分发挥的法人治理结构。规范民办非学历教育培训机构管理，推动持续健康发展。加强民办义务教育学校管理，建立民办义务教育在校生占比监测和通报制度，规范办学行为。落实民办学校和校外培训机构年检年报制度和不良信用制度，强化日常监督管理。强化校外培训机构分类管理，促进校外培训机构有序发展。</w:t>
      </w:r>
    </w:p>
    <w:p>
      <w:pPr>
        <w:adjustRightInd/>
        <w:snapToGrid/>
        <w:spacing w:line="520" w:lineRule="exact"/>
        <w:ind w:firstLine="684" w:firstLineChars="200"/>
        <w:jc w:val="both"/>
        <w:rPr>
          <w:rFonts w:ascii="仿宋" w:hAnsi="仿宋" w:eastAsia="仿宋" w:cs="仿宋"/>
          <w:sz w:val="32"/>
          <w:szCs w:val="32"/>
        </w:rPr>
      </w:pPr>
      <w:r>
        <w:rPr>
          <w:rFonts w:hint="eastAsia" w:ascii="仿宋" w:hAnsi="仿宋" w:eastAsia="仿宋" w:cs="仿宋"/>
          <w:spacing w:val="11"/>
          <w:sz w:val="32"/>
          <w:szCs w:val="32"/>
        </w:rPr>
        <w:t>(</w:t>
      </w:r>
      <w:r>
        <w:rPr>
          <w:rFonts w:hint="eastAsia" w:ascii="仿宋" w:hAnsi="仿宋" w:eastAsia="仿宋" w:cs="仿宋"/>
          <w:spacing w:val="11"/>
          <w:sz w:val="32"/>
          <w:szCs w:val="32"/>
          <w:lang w:val="en-US" w:eastAsia="zh-CN"/>
        </w:rPr>
        <w:t>八</w:t>
      </w:r>
      <w:r>
        <w:rPr>
          <w:rFonts w:hint="eastAsia" w:ascii="仿宋" w:hAnsi="仿宋" w:eastAsia="仿宋" w:cs="仿宋"/>
          <w:spacing w:val="10"/>
          <w:sz w:val="32"/>
          <w:szCs w:val="32"/>
        </w:rPr>
        <w:t>)提升教育治理现代化水平</w:t>
      </w:r>
    </w:p>
    <w:p>
      <w:pPr>
        <w:adjustRightInd/>
        <w:snapToGrid/>
        <w:spacing w:line="520" w:lineRule="exact"/>
        <w:ind w:firstLine="608" w:firstLineChars="200"/>
        <w:jc w:val="both"/>
        <w:rPr>
          <w:rFonts w:ascii="仿宋" w:hAnsi="仿宋" w:eastAsia="仿宋" w:cs="仿宋"/>
          <w:sz w:val="32"/>
          <w:szCs w:val="32"/>
        </w:rPr>
      </w:pPr>
      <w:r>
        <w:rPr>
          <w:rFonts w:hint="eastAsia" w:ascii="仿宋" w:hAnsi="仿宋" w:eastAsia="仿宋" w:cs="仿宋"/>
          <w:spacing w:val="-8"/>
          <w:sz w:val="32"/>
          <w:szCs w:val="32"/>
        </w:rPr>
        <w:t>加强教育立法、普法，深化“放管服”改革，健全教育经费保</w:t>
      </w:r>
      <w:r>
        <w:rPr>
          <w:rFonts w:hint="eastAsia" w:ascii="仿宋" w:hAnsi="仿宋" w:eastAsia="仿宋" w:cs="仿宋"/>
          <w:spacing w:val="-3"/>
          <w:sz w:val="32"/>
          <w:szCs w:val="32"/>
        </w:rPr>
        <w:t>障</w:t>
      </w:r>
      <w:r>
        <w:rPr>
          <w:rFonts w:hint="eastAsia" w:ascii="仿宋" w:hAnsi="仿宋" w:eastAsia="仿宋" w:cs="仿宋"/>
          <w:sz w:val="32"/>
          <w:szCs w:val="32"/>
        </w:rPr>
        <w:t xml:space="preserve"> </w:t>
      </w:r>
      <w:r>
        <w:rPr>
          <w:rFonts w:hint="eastAsia" w:ascii="仿宋" w:hAnsi="仿宋" w:eastAsia="仿宋" w:cs="仿宋"/>
          <w:spacing w:val="6"/>
          <w:sz w:val="32"/>
          <w:szCs w:val="32"/>
        </w:rPr>
        <w:t>机制</w:t>
      </w:r>
      <w:r>
        <w:rPr>
          <w:rFonts w:hint="eastAsia" w:ascii="仿宋" w:hAnsi="仿宋" w:eastAsia="仿宋" w:cs="仿宋"/>
          <w:spacing w:val="3"/>
          <w:sz w:val="32"/>
          <w:szCs w:val="32"/>
        </w:rPr>
        <w:t>和风险防控机制，增强学校依法治校能力，提升教育治理和保</w:t>
      </w:r>
      <w:r>
        <w:rPr>
          <w:rFonts w:hint="eastAsia" w:ascii="仿宋" w:hAnsi="仿宋" w:eastAsia="仿宋" w:cs="仿宋"/>
          <w:sz w:val="32"/>
          <w:szCs w:val="32"/>
        </w:rPr>
        <w:t xml:space="preserve"> </w:t>
      </w:r>
      <w:r>
        <w:rPr>
          <w:rFonts w:hint="eastAsia" w:ascii="仿宋" w:hAnsi="仿宋" w:eastAsia="仿宋" w:cs="仿宋"/>
          <w:spacing w:val="5"/>
          <w:sz w:val="32"/>
          <w:szCs w:val="32"/>
        </w:rPr>
        <w:t>障水平</w:t>
      </w:r>
      <w:r>
        <w:rPr>
          <w:rFonts w:hint="eastAsia" w:ascii="仿宋" w:hAnsi="仿宋" w:eastAsia="仿宋" w:cs="仿宋"/>
          <w:spacing w:val="4"/>
          <w:sz w:val="32"/>
          <w:szCs w:val="32"/>
        </w:rPr>
        <w:t>。</w:t>
      </w:r>
    </w:p>
    <w:p>
      <w:pPr>
        <w:adjustRightInd/>
        <w:snapToGrid/>
        <w:spacing w:line="520" w:lineRule="exact"/>
        <w:ind w:firstLine="720" w:firstLineChars="200"/>
        <w:jc w:val="both"/>
        <w:rPr>
          <w:rFonts w:ascii="仿宋" w:hAnsi="仿宋" w:eastAsia="仿宋" w:cs="仿宋"/>
          <w:sz w:val="32"/>
          <w:szCs w:val="32"/>
        </w:rPr>
      </w:pPr>
      <w:r>
        <w:rPr>
          <w:rFonts w:hint="eastAsia" w:ascii="仿宋" w:hAnsi="仿宋" w:eastAsia="仿宋" w:cs="仿宋"/>
          <w:spacing w:val="20"/>
          <w:sz w:val="32"/>
          <w:szCs w:val="32"/>
        </w:rPr>
        <w:t>1</w:t>
      </w:r>
      <w:r>
        <w:rPr>
          <w:rFonts w:hint="eastAsia" w:ascii="仿宋" w:hAnsi="仿宋" w:eastAsia="仿宋" w:cs="仿宋"/>
          <w:spacing w:val="16"/>
          <w:sz w:val="32"/>
          <w:szCs w:val="32"/>
        </w:rPr>
        <w:t>.全面推进依法治教</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全面推进依法治教，深入开展“八五”普法宣传教育，组织开展国家“宪法日”、民法典学习等校园普法活动，创建一批依法治校示范校。持续深化教育领域“放管服”改革，优化教育行政部门政务服务，扎实推进政务公开工作，实现教育政务服务“一网通办”。深化教育行政审批制度改革，精简审批事项，深入推进“三单一网”建设。扎实做好教育系统信用体系建设工作。实施教育证明事项告知承诺制，持续推进“减证便民”行动，强化审批和重大项目事中事后监管，严格控制对学校的项目评审、教育评估、人才评价和检查等事项。健全执法机构，完善执法机制，依托“互联网+监管”系统，加强运用大数据、信息化手段创新质量评价和监管方式。</w:t>
      </w:r>
    </w:p>
    <w:p>
      <w:pPr>
        <w:adjustRightInd/>
        <w:snapToGrid/>
        <w:spacing w:line="520" w:lineRule="exact"/>
        <w:ind w:firstLine="632" w:firstLineChars="200"/>
        <w:jc w:val="both"/>
        <w:rPr>
          <w:rFonts w:ascii="仿宋" w:hAnsi="仿宋" w:eastAsia="仿宋" w:cs="仿宋"/>
          <w:sz w:val="32"/>
          <w:szCs w:val="32"/>
        </w:rPr>
      </w:pPr>
      <w:r>
        <w:rPr>
          <w:rFonts w:hint="eastAsia" w:ascii="仿宋" w:hAnsi="仿宋" w:eastAsia="仿宋" w:cs="仿宋"/>
          <w:spacing w:val="-2"/>
          <w:sz w:val="32"/>
          <w:szCs w:val="32"/>
        </w:rPr>
        <w:t>2.加快建</w:t>
      </w:r>
      <w:r>
        <w:rPr>
          <w:rFonts w:hint="eastAsia" w:ascii="仿宋" w:hAnsi="仿宋" w:eastAsia="仿宋" w:cs="仿宋"/>
          <w:spacing w:val="-1"/>
          <w:sz w:val="32"/>
          <w:szCs w:val="32"/>
        </w:rPr>
        <w:t>设现代学校制度</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推进学校建立以章程为核心的制度体系，完善学校决策与执行机制，提高学校办学活力和自我监管能力。进一步落实和扩大中小学校办学自主权，全面深化人事管理、绩效工资、经费使用、仪器设备采购等方面的体制机制改革。健全职业学校行业企业参与的理事会制度，促进产教融合。推进中小学家长委员会制度建设，增强民主管理。完善师生权益保障和救济机制，健全未成年学生学校保护机制，依法治理“校园欺凌”和“校闹”。建立健全社会参与学校管理机制，努力形成家长、社区、行业协会等共同参与学校治理的格局。</w:t>
      </w:r>
    </w:p>
    <w:p>
      <w:pPr>
        <w:adjustRightInd/>
        <w:snapToGrid/>
        <w:spacing w:line="520" w:lineRule="exact"/>
        <w:ind w:firstLine="648" w:firstLineChars="200"/>
        <w:jc w:val="both"/>
        <w:rPr>
          <w:rFonts w:ascii="仿宋" w:hAnsi="仿宋" w:eastAsia="仿宋" w:cs="仿宋"/>
          <w:sz w:val="32"/>
          <w:szCs w:val="32"/>
        </w:rPr>
      </w:pPr>
      <w:r>
        <w:rPr>
          <w:rFonts w:hint="eastAsia" w:ascii="仿宋" w:hAnsi="仿宋" w:eastAsia="仿宋" w:cs="仿宋"/>
          <w:spacing w:val="2"/>
          <w:sz w:val="32"/>
          <w:szCs w:val="32"/>
        </w:rPr>
        <w:t>3.</w:t>
      </w:r>
      <w:r>
        <w:rPr>
          <w:rFonts w:hint="eastAsia" w:ascii="仿宋" w:hAnsi="仿宋" w:eastAsia="仿宋" w:cs="仿宋"/>
          <w:spacing w:val="1"/>
          <w:sz w:val="32"/>
          <w:szCs w:val="32"/>
        </w:rPr>
        <w:t>助推乡村振兴</w:t>
      </w:r>
    </w:p>
    <w:p>
      <w:pPr>
        <w:adjustRightInd/>
        <w:snapToGrid/>
        <w:spacing w:line="520" w:lineRule="exact"/>
        <w:ind w:firstLine="656" w:firstLineChars="200"/>
        <w:jc w:val="both"/>
        <w:rPr>
          <w:rFonts w:ascii="仿宋" w:hAnsi="仿宋" w:eastAsia="仿宋" w:cs="仿宋"/>
          <w:sz w:val="32"/>
          <w:szCs w:val="32"/>
        </w:rPr>
      </w:pPr>
      <w:r>
        <w:rPr>
          <w:rFonts w:hint="eastAsia" w:ascii="仿宋" w:hAnsi="仿宋" w:eastAsia="仿宋" w:cs="仿宋"/>
          <w:spacing w:val="4"/>
          <w:sz w:val="32"/>
          <w:szCs w:val="32"/>
        </w:rPr>
        <w:t>建立健全巩固教育脱贫攻坚成果长效机制，推动教育脱贫攻坚成果和乡村振兴战略实施有效衔接。进一步落实脱贫户家庭子女各项教育资助政策。大力改善乡村学校条件，加强农村学校基础建设，做好义务教育薄弱环节改善与能力提升工作。以人才驱动为引领,促进教师队伍整体提升全面振兴乡村教育。实施推普助力乡村振兴计划和国家通用语言文字普及提升工程，加强农村学校国家通用语言文字教育教学，聚焦重点人群，加大农村地区普通话推广力度，全面消除语言交际障碍，构建健康和谐语言生活。实施农村义务教育学生营养改善计划</w:t>
      </w:r>
      <w:r>
        <w:rPr>
          <w:rFonts w:hint="eastAsia" w:ascii="仿宋" w:hAnsi="仿宋" w:eastAsia="仿宋" w:cs="仿宋"/>
          <w:spacing w:val="-11"/>
          <w:sz w:val="32"/>
          <w:szCs w:val="32"/>
        </w:rPr>
        <w:t>。</w:t>
      </w:r>
    </w:p>
    <w:tbl>
      <w:tblPr>
        <w:tblStyle w:val="13"/>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30" w:type="dxa"/>
            <w:tcBorders>
              <w:top w:val="single" w:color="000000" w:sz="2" w:space="0"/>
              <w:bottom w:val="single" w:color="000000" w:sz="2" w:space="0"/>
            </w:tcBorders>
          </w:tcPr>
          <w:p>
            <w:pPr>
              <w:adjustRightInd/>
              <w:snapToGrid/>
              <w:spacing w:line="520" w:lineRule="exact"/>
              <w:ind w:firstLine="496" w:firstLineChars="200"/>
              <w:jc w:val="both"/>
              <w:rPr>
                <w:rFonts w:ascii="仿宋" w:hAnsi="仿宋" w:eastAsia="仿宋" w:cs="仿宋"/>
                <w:sz w:val="24"/>
                <w:szCs w:val="24"/>
              </w:rPr>
            </w:pPr>
            <w:r>
              <w:rPr>
                <w:rFonts w:hint="eastAsia" w:ascii="仿宋" w:hAnsi="仿宋" w:eastAsia="仿宋" w:cs="仿宋"/>
                <w:spacing w:val="4"/>
                <w:sz w:val="24"/>
                <w:szCs w:val="24"/>
              </w:rPr>
              <w:t>专</w:t>
            </w:r>
            <w:r>
              <w:rPr>
                <w:rFonts w:hint="eastAsia" w:ascii="仿宋" w:hAnsi="仿宋" w:eastAsia="仿宋" w:cs="仿宋"/>
                <w:spacing w:val="3"/>
                <w:sz w:val="24"/>
                <w:szCs w:val="24"/>
              </w:rPr>
              <w:t>栏</w:t>
            </w:r>
            <w:r>
              <w:rPr>
                <w:rFonts w:hint="eastAsia" w:ascii="仿宋" w:hAnsi="仿宋" w:eastAsia="仿宋" w:cs="仿宋"/>
                <w:spacing w:val="3"/>
                <w:sz w:val="24"/>
                <w:szCs w:val="24"/>
                <w:lang w:val="en-US" w:eastAsia="zh-CN"/>
              </w:rPr>
              <w:t>7</w:t>
            </w:r>
            <w:r>
              <w:rPr>
                <w:rFonts w:hint="eastAsia" w:ascii="仿宋" w:hAnsi="仿宋" w:eastAsia="仿宋" w:cs="仿宋"/>
                <w:spacing w:val="2"/>
                <w:sz w:val="24"/>
                <w:szCs w:val="24"/>
              </w:rPr>
              <w:t>:国家通用语言文字普及提升工程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8830" w:type="dxa"/>
            <w:tcBorders>
              <w:top w:val="single" w:color="000000" w:sz="2" w:space="0"/>
              <w:bottom w:val="single" w:color="000000" w:sz="2" w:space="0"/>
            </w:tcBorders>
          </w:tcPr>
          <w:p>
            <w:pPr>
              <w:adjustRightInd/>
              <w:snapToGrid/>
              <w:spacing w:line="520" w:lineRule="exact"/>
              <w:ind w:firstLine="480" w:firstLineChars="200"/>
              <w:jc w:val="both"/>
              <w:rPr>
                <w:rFonts w:ascii="仿宋" w:hAnsi="仿宋" w:eastAsia="仿宋" w:cs="仿宋"/>
                <w:sz w:val="24"/>
                <w:szCs w:val="24"/>
              </w:rPr>
            </w:pPr>
            <w:r>
              <w:rPr>
                <w:rFonts w:hint="eastAsia" w:ascii="仿宋" w:hAnsi="仿宋" w:eastAsia="仿宋" w:cs="仿宋"/>
                <w:sz w:val="24"/>
                <w:szCs w:val="24"/>
              </w:rPr>
              <w:t>加强语言文字工作，规范使用国家通用语言文字，实现普通话在全县普及率达到 90%以上。加强农村幼儿园、中小学校国家通用语言文字教育教学，力争创建2所省级语言文字规范化示范校。开展经典润乡土行动，打造“诗意浮梁晨读课堂”，推动中小学、幼儿园经典诵读全覆盖。</w:t>
            </w:r>
          </w:p>
        </w:tc>
      </w:tr>
    </w:tbl>
    <w:p>
      <w:pPr>
        <w:adjustRightInd/>
        <w:snapToGrid/>
        <w:spacing w:line="520" w:lineRule="exact"/>
        <w:ind w:firstLine="684" w:firstLineChars="200"/>
        <w:jc w:val="both"/>
        <w:rPr>
          <w:rFonts w:ascii="仿宋" w:hAnsi="仿宋" w:eastAsia="仿宋" w:cs="仿宋"/>
          <w:sz w:val="32"/>
          <w:szCs w:val="32"/>
        </w:rPr>
      </w:pPr>
      <w:r>
        <w:rPr>
          <w:rFonts w:hint="eastAsia" w:ascii="仿宋" w:hAnsi="仿宋" w:eastAsia="仿宋" w:cs="仿宋"/>
          <w:spacing w:val="11"/>
          <w:position w:val="2"/>
          <w:sz w:val="32"/>
          <w:szCs w:val="32"/>
        </w:rPr>
        <w:t>4</w:t>
      </w:r>
      <w:r>
        <w:rPr>
          <w:rFonts w:hint="eastAsia" w:ascii="仿宋" w:hAnsi="仿宋" w:eastAsia="仿宋" w:cs="仿宋"/>
          <w:spacing w:val="7"/>
          <w:position w:val="2"/>
          <w:sz w:val="32"/>
          <w:szCs w:val="32"/>
        </w:rPr>
        <w:t>.完善教育投入保障机制</w:t>
      </w:r>
    </w:p>
    <w:p>
      <w:pPr>
        <w:adjustRightInd/>
        <w:snapToGrid/>
        <w:spacing w:line="520" w:lineRule="exact"/>
        <w:ind w:firstLine="608" w:firstLineChars="200"/>
        <w:jc w:val="both"/>
        <w:rPr>
          <w:rFonts w:ascii="仿宋" w:hAnsi="仿宋" w:eastAsia="仿宋" w:cs="仿宋"/>
          <w:sz w:val="32"/>
          <w:szCs w:val="32"/>
        </w:rPr>
      </w:pPr>
      <w:r>
        <w:rPr>
          <w:rFonts w:hint="eastAsia" w:ascii="仿宋" w:hAnsi="仿宋" w:eastAsia="仿宋" w:cs="仿宋"/>
          <w:spacing w:val="-8"/>
          <w:sz w:val="32"/>
          <w:szCs w:val="32"/>
        </w:rPr>
        <w:t>把教育作为财政支出的重点领域予以优先保障，强化政府提供公共教育服务职责，落实各级政府教育领域财政事权和支出责任，按照“两个只增不减”要求，加大公共财政投入力度，落实各级各类教育生均拨款标准及生均公用经费标准，健全财政教育投入稳定增长的长效机制，依法保障教师待遇，全面履行公共教育的经费保障责任。健全完善各级各类教育生均拨款制度和学生资助政策体系，建立拨款和收费动态调整机制。完善非义务教育学校培养成本分担机制，加强民办学校收费管理，贯彻落实非营利性民办学校收费政策。激励社会扩大教育投入，吸引社会捐赠。调整优化教育经费使用结构，合理配置教育资源，提高经费使用效益，促进城乡间、校际间均衡协调发展。坚持勤俭节约办教育，全面落实学校设计规范，严禁超标准建豪华学校。全面实施预算绩效管理，强化责任约束和绩效评价结果运用。加强内控机制建设，完善教育内部审计制度，强化教育经费监督管理，确保教育经费使用安全、规范、高效。</w:t>
      </w:r>
    </w:p>
    <w:p>
      <w:pPr>
        <w:adjustRightInd/>
        <w:snapToGrid/>
        <w:spacing w:line="520" w:lineRule="exact"/>
        <w:ind w:firstLine="676" w:firstLineChars="200"/>
        <w:jc w:val="both"/>
        <w:rPr>
          <w:rFonts w:ascii="仿宋" w:hAnsi="仿宋" w:eastAsia="仿宋" w:cs="仿宋"/>
          <w:sz w:val="32"/>
          <w:szCs w:val="32"/>
        </w:rPr>
      </w:pPr>
      <w:r>
        <w:rPr>
          <w:rFonts w:hint="eastAsia" w:ascii="仿宋" w:hAnsi="仿宋" w:eastAsia="仿宋" w:cs="仿宋"/>
          <w:spacing w:val="9"/>
          <w:sz w:val="32"/>
          <w:szCs w:val="32"/>
        </w:rPr>
        <w:t>5</w:t>
      </w:r>
      <w:r>
        <w:rPr>
          <w:rFonts w:hint="eastAsia" w:ascii="仿宋" w:hAnsi="仿宋" w:eastAsia="仿宋" w:cs="仿宋"/>
          <w:spacing w:val="8"/>
          <w:sz w:val="32"/>
          <w:szCs w:val="32"/>
        </w:rPr>
        <w:t>.健全教育风险防控机制</w:t>
      </w:r>
    </w:p>
    <w:p>
      <w:pPr>
        <w:adjustRightInd/>
        <w:snapToGrid/>
        <w:spacing w:line="520" w:lineRule="exact"/>
        <w:ind w:firstLine="620" w:firstLineChars="200"/>
        <w:jc w:val="both"/>
        <w:rPr>
          <w:rFonts w:ascii="仿宋" w:hAnsi="仿宋" w:eastAsia="仿宋" w:cs="仿宋"/>
          <w:sz w:val="32"/>
          <w:szCs w:val="32"/>
        </w:rPr>
      </w:pPr>
      <w:r>
        <w:rPr>
          <w:rFonts w:hint="eastAsia" w:ascii="仿宋" w:hAnsi="仿宋" w:eastAsia="仿宋" w:cs="仿宋"/>
          <w:spacing w:val="-5"/>
          <w:sz w:val="32"/>
          <w:szCs w:val="32"/>
        </w:rPr>
        <w:t>将防范化解重大风险纳入教育工作全过程。加强总体国家安全观教育，防范重大政治安全和意识形态风险，牢牢掌握教育系统政治安全主导权。严格落实教育与宗教相分离，做好抵御宗教渗透和防范校园传教工作。创新安全教育方式方法，做好安全教育与学科教育相结合，推进应急演练常态化，提高学生安全意识和防范能力。开展防溺水、交通等安全教育专项行动，全面提升学生安全防范意识和自救自护能力。深化平安校园建设，深入推进校园安防“三个百分之百”建设，扎实推进校园安防“四个一”工程建设，提高学校安防设施智能化保障水平。常态化开展校园及周边环境综合治理，加强涉校涉教矛盾纠纷排查化解。加强教育网络舆情监测管控，完善校园安全风险防控体系。全面落实重大决策社会稳定风险评估机制，坚决防止发生大规模群体性事件、重大个人极端事件等社会安全事件。</w:t>
      </w:r>
    </w:p>
    <w:p>
      <w:pPr>
        <w:adjustRightInd/>
        <w:snapToGrid/>
        <w:spacing w:line="520" w:lineRule="exact"/>
        <w:ind w:firstLine="648" w:firstLineChars="200"/>
        <w:jc w:val="both"/>
        <w:rPr>
          <w:rFonts w:ascii="仿宋" w:hAnsi="仿宋" w:eastAsia="仿宋" w:cs="仿宋"/>
          <w:sz w:val="32"/>
          <w:szCs w:val="32"/>
        </w:rPr>
      </w:pP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九</w:t>
      </w:r>
      <w:r>
        <w:rPr>
          <w:rFonts w:hint="eastAsia" w:ascii="仿宋" w:hAnsi="仿宋" w:eastAsia="仿宋" w:cs="仿宋"/>
          <w:spacing w:val="2"/>
          <w:sz w:val="32"/>
          <w:szCs w:val="32"/>
        </w:rPr>
        <w:t>)加强党对教育事业的全面领导</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坚持以党的政治建设为统领，全面加强教育系统党的领导和党的建设，全面贯彻党的教育方针，提高基层党组织战斗力，深入推进全面从严治党，确保社会主义办学方向。</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1.牢牢掌握党对教育工作的领导权</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把政治建设摆在首位，不断提高政治判断力、政治领悟力、政治执行力。贯彻落实中央关于加强党对教育工作领导的部署要求，进一步健全党委统一领导、党政齐抓共管、部门各负其责的教育领导体制，完善县委教育工作领导小组和教育工作领导小组秘书组工作机制，不断加强党对教育工作的全面领导，稳步推进建立中小学校党组织领导的校长负责制。支持学校党组织讨论决定学校重大问题，履行好把方向、管大局、作决策、抓班子、带队伍、保落实的领导职责，保证党的路线方针政策执行到位。落实意识形态工作责任制，旗帜鲜明坚持党管宣传、党管意识形态，加强意识形态阵地建设，严格各类学术会议、报告、讲座、论坛管理，巩固马克思主义在教育系统意识形态领域的指导地位。坚持党管干部，突出政治标准，选优配强学校党组织书记、校长，大力发现培养选拔优秀年轻干部，加强干部队伍培训，推进高素质专业化教育系统干部队伍建设。坚持党管人才，深化人才发展体制改革，推动人才更好服务全县教育和经济社会高质量发展。巩固深化党内主题教育成果，以制度机制保障教育系统始终成为坚持党的领导的坚强阵地。</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2.全面提升基层党建工作质量</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大力实施高质量基层党建“固本强基”行动，深入推进基层党建标准化、规范化、信息化建设，积极推进党的基层组织设置和活动方式创新，严肃党内政治生活;加强基层党组织带头人队伍建设，着力提升党务干部政治能力和业务水平;持续开展党建示范创建和质量创优工作，打造一批“立得住、叫得响、树得牢”的党建特色品牌，推动教育系统党建工作全面创优全面提升。加强和改进教育系统统战工作，提高党外代表人士建言资政和凝聚共识水平。完善党建带群建机制，带动工会、共青团、妇联等群团组织和学生会组织建设。建立健全学校基层党建工作科学化评价体系，完善党组织书记抓党建述职评议考核机制。树牢“党建+”理念，大力实施高质量教育体系党建引领攻坚行动，促进党建工作与教育教学深度融合，全面提升各级各类学校基层党建工作质量。</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3.深入推进全面从严治党</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坚持严的主基调，坚定不移纵深推进全面从严治党，进一步优化教育系统政治生态和发展环境。强化党的政治领导和政治监督，推动全</w:t>
      </w:r>
      <w:r>
        <w:rPr>
          <w:rFonts w:hint="eastAsia" w:ascii="仿宋" w:hAnsi="仿宋" w:eastAsia="仿宋" w:cs="仿宋"/>
          <w:sz w:val="32"/>
          <w:szCs w:val="32"/>
          <w:lang w:val="en-US" w:eastAsia="zh-CN"/>
        </w:rPr>
        <w:t>县</w:t>
      </w:r>
      <w:r>
        <w:rPr>
          <w:rFonts w:hint="eastAsia" w:ascii="仿宋" w:hAnsi="仿宋" w:eastAsia="仿宋" w:cs="仿宋"/>
          <w:sz w:val="32"/>
          <w:szCs w:val="32"/>
        </w:rPr>
        <w:t>教育系统进一步落实全面从严治党的党委（组）主体责任、纪委监督责任、党委（组）书记第一责任人责任、班子成员“一岗双责”,形成“四责协同”机制，充分发挥全面从严治党引领保障作用。健全党委(组)全面监督、党的工作部门职能监督、党的基层组织日常监督、党员民主监督的监督体系，扎实开展政治谈话，切实加强对“一把手”和领导班子的监督。锲而不舍落实中央八项规定精神，着力整治“怕慢假庸散”突出问题，切实纠正改头换面的形式主义、官僚主义，驰而不息深化作风建设。注重师生纪律教育，强化纪律执行，持续推进正风肃纪，坚决整治师生身边“微腐败”,严肃查处违反师德师风行为，一体推进不敢腐、不能腐、不想腐。深化教育系统纪检监察体制改革，建立健全巡察上下联动、巡察整改落实、巡察成果共享共用等工作机制。严格执行问责条例，对抓党建失职失责、推进全面从严治党不力、巡视整改弄虚作假等情形严肃问责。</w:t>
      </w:r>
    </w:p>
    <w:p>
      <w:pPr>
        <w:adjustRightInd/>
        <w:snapToGrid/>
        <w:spacing w:line="520" w:lineRule="exact"/>
        <w:ind w:firstLine="544" w:firstLineChars="200"/>
        <w:jc w:val="both"/>
        <w:rPr>
          <w:rFonts w:ascii="仿宋" w:hAnsi="仿宋" w:eastAsia="仿宋" w:cs="仿宋"/>
          <w:sz w:val="32"/>
          <w:szCs w:val="32"/>
        </w:rPr>
      </w:pPr>
      <w:r>
        <w:rPr>
          <w:rFonts w:hint="eastAsia" w:ascii="仿宋" w:hAnsi="仿宋" w:eastAsia="仿宋" w:cs="仿宋"/>
          <w:spacing w:val="-24"/>
          <w:sz w:val="32"/>
          <w:szCs w:val="32"/>
        </w:rPr>
        <w:t>四</w:t>
      </w:r>
      <w:r>
        <w:rPr>
          <w:rFonts w:hint="eastAsia" w:ascii="仿宋" w:hAnsi="仿宋" w:eastAsia="仿宋" w:cs="仿宋"/>
          <w:spacing w:val="-21"/>
          <w:sz w:val="32"/>
          <w:szCs w:val="32"/>
        </w:rPr>
        <w:t>、组织实施</w:t>
      </w:r>
    </w:p>
    <w:p>
      <w:pPr>
        <w:adjustRightInd/>
        <w:snapToGrid/>
        <w:spacing w:line="520" w:lineRule="exact"/>
        <w:ind w:firstLine="636" w:firstLineChars="200"/>
        <w:jc w:val="both"/>
        <w:rPr>
          <w:rFonts w:ascii="仿宋" w:hAnsi="仿宋" w:eastAsia="仿宋" w:cs="仿宋"/>
          <w:sz w:val="32"/>
          <w:szCs w:val="32"/>
        </w:rPr>
      </w:pPr>
      <w:r>
        <w:rPr>
          <w:rFonts w:hint="eastAsia" w:ascii="仿宋" w:hAnsi="仿宋" w:eastAsia="仿宋" w:cs="仿宋"/>
          <w:spacing w:val="-1"/>
          <w:sz w:val="32"/>
          <w:szCs w:val="32"/>
        </w:rPr>
        <w:t>(一)加强</w:t>
      </w:r>
      <w:r>
        <w:rPr>
          <w:rFonts w:hint="eastAsia" w:ascii="仿宋" w:hAnsi="仿宋" w:eastAsia="仿宋" w:cs="仿宋"/>
          <w:sz w:val="32"/>
          <w:szCs w:val="32"/>
        </w:rPr>
        <w:t>组织领导</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强化各乡镇和部门的主体责任，充分发挥纪检监察机关监督职能，建立部门协调会商机制，定期研究解决规划实施过程中存在的突出问题，形成保证规划落实的工作合力。坚持因地制宜，强化问题导向，周密部署，精心组织，扎实高效推进规划实施，确保本规划确定的各项目标、任务落到实处。建立规划中期评估和年度监测制度,组织对本规划实施情况的跟踪监测。</w:t>
      </w:r>
    </w:p>
    <w:p>
      <w:pPr>
        <w:adjustRightInd/>
        <w:snapToGrid/>
        <w:spacing w:line="520" w:lineRule="exact"/>
        <w:ind w:firstLine="632" w:firstLineChars="200"/>
        <w:jc w:val="both"/>
        <w:rPr>
          <w:rFonts w:ascii="仿宋" w:hAnsi="仿宋" w:eastAsia="仿宋" w:cs="仿宋"/>
          <w:sz w:val="32"/>
          <w:szCs w:val="32"/>
        </w:rPr>
      </w:pPr>
      <w:r>
        <w:rPr>
          <w:rFonts w:hint="eastAsia" w:ascii="仿宋" w:hAnsi="仿宋" w:eastAsia="仿宋" w:cs="仿宋"/>
          <w:spacing w:val="-2"/>
          <w:sz w:val="32"/>
          <w:szCs w:val="32"/>
        </w:rPr>
        <w:t>(二)</w:t>
      </w:r>
      <w:r>
        <w:rPr>
          <w:rFonts w:hint="eastAsia" w:ascii="仿宋" w:hAnsi="仿宋" w:eastAsia="仿宋" w:cs="仿宋"/>
          <w:spacing w:val="-1"/>
          <w:sz w:val="32"/>
          <w:szCs w:val="32"/>
        </w:rPr>
        <w:t>落实责任分工</w:t>
      </w:r>
    </w:p>
    <w:p>
      <w:pPr>
        <w:adjustRightInd/>
        <w:snapToGrid/>
        <w:spacing w:line="520" w:lineRule="exact"/>
        <w:ind w:firstLine="620" w:firstLineChars="200"/>
        <w:jc w:val="both"/>
        <w:rPr>
          <w:rFonts w:ascii="仿宋" w:hAnsi="仿宋" w:eastAsia="仿宋" w:cs="仿宋"/>
          <w:sz w:val="32"/>
          <w:szCs w:val="32"/>
        </w:rPr>
      </w:pPr>
      <w:r>
        <w:rPr>
          <w:rFonts w:hint="eastAsia" w:ascii="仿宋" w:hAnsi="仿宋" w:eastAsia="仿宋" w:cs="仿宋"/>
          <w:spacing w:val="-5"/>
          <w:sz w:val="32"/>
          <w:szCs w:val="32"/>
        </w:rPr>
        <w:t>建立规划实施责任制，全面分解本规划确定的教育改革发展的目标任务，明确责任分工，制定时间表、路线图、任务书。要按照“项目化、时间表、责任人”的要求，切实履行职责，共同推进规划实施。县教体局负责规划的组织协调和实施，发改、人社、财政等部门配合，共同推动教育事业发展。各乡镇和有关高校要结合本规划,制定本地、本校的发展规划，抓好组织实施。</w:t>
      </w:r>
    </w:p>
    <w:p>
      <w:pPr>
        <w:adjustRightInd/>
        <w:snapToGrid/>
        <w:spacing w:line="520" w:lineRule="exact"/>
        <w:ind w:firstLine="728" w:firstLineChars="200"/>
        <w:jc w:val="both"/>
        <w:rPr>
          <w:rFonts w:ascii="仿宋" w:hAnsi="仿宋" w:eastAsia="仿宋" w:cs="仿宋"/>
          <w:sz w:val="32"/>
          <w:szCs w:val="32"/>
        </w:rPr>
      </w:pPr>
      <w:r>
        <w:rPr>
          <w:rFonts w:hint="eastAsia" w:ascii="仿宋" w:hAnsi="仿宋" w:eastAsia="仿宋" w:cs="仿宋"/>
          <w:spacing w:val="22"/>
          <w:sz w:val="32"/>
          <w:szCs w:val="32"/>
        </w:rPr>
        <w:t>(</w:t>
      </w:r>
      <w:r>
        <w:rPr>
          <w:rFonts w:hint="eastAsia" w:ascii="仿宋" w:hAnsi="仿宋" w:eastAsia="仿宋" w:cs="仿宋"/>
          <w:spacing w:val="17"/>
          <w:sz w:val="32"/>
          <w:szCs w:val="32"/>
        </w:rPr>
        <w:t>三)</w:t>
      </w:r>
      <w:r>
        <w:rPr>
          <w:rFonts w:hint="eastAsia" w:ascii="仿宋" w:hAnsi="仿宋" w:eastAsia="仿宋" w:cs="仿宋"/>
          <w:spacing w:val="16"/>
          <w:sz w:val="32"/>
          <w:szCs w:val="32"/>
        </w:rPr>
        <w:t>营造良好氛围</w:t>
      </w:r>
    </w:p>
    <w:p>
      <w:pPr>
        <w:adjustRightInd/>
        <w:snapToGrid/>
        <w:spacing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建立健全“政府主导，部门协同，社会参与”的工作机制，加大教育宣传，广泛宣传党的教育方针政策及浮梁教育事业发展成就和未来发展前景，让广大人民群众真正理解教育的重要地位和作用，及时了解教育发展的状况和信息，鼓励社会各界积极 参与规划实施，努力形成全社会关心教育、支持教育、共同推进教育发展的良好局面，为规划的科学实施营造良好的社会环境和舆论氛围。</w:t>
      </w:r>
    </w:p>
    <w:sectPr>
      <w:footerReference r:id="rId3" w:type="default"/>
      <w:pgSz w:w="11907" w:h="16839"/>
      <w:pgMar w:top="2098" w:right="1474" w:bottom="1985" w:left="1588" w:header="709" w:footer="709"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417"/>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p>
    </w:sdtContent>
  </w:sdt>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GMyYTBjOWZiODVjZGIyMThiYjBlOWVhZjA4MTUifQ=="/>
  </w:docVars>
  <w:rsids>
    <w:rsidRoot w:val="003B398D"/>
    <w:rsid w:val="000744BD"/>
    <w:rsid w:val="000C5167"/>
    <w:rsid w:val="000D1DB0"/>
    <w:rsid w:val="00155052"/>
    <w:rsid w:val="00191D65"/>
    <w:rsid w:val="001D3205"/>
    <w:rsid w:val="00283CC5"/>
    <w:rsid w:val="00323848"/>
    <w:rsid w:val="003B398D"/>
    <w:rsid w:val="003E28F3"/>
    <w:rsid w:val="00452FDE"/>
    <w:rsid w:val="0049126D"/>
    <w:rsid w:val="004B3251"/>
    <w:rsid w:val="004B7D0A"/>
    <w:rsid w:val="004C0F7C"/>
    <w:rsid w:val="004C72AC"/>
    <w:rsid w:val="004D54F6"/>
    <w:rsid w:val="004E6415"/>
    <w:rsid w:val="004F280B"/>
    <w:rsid w:val="00510E0F"/>
    <w:rsid w:val="0051264E"/>
    <w:rsid w:val="005143D0"/>
    <w:rsid w:val="00541466"/>
    <w:rsid w:val="00563B25"/>
    <w:rsid w:val="005A1FDD"/>
    <w:rsid w:val="005D17E9"/>
    <w:rsid w:val="005D26D5"/>
    <w:rsid w:val="00662852"/>
    <w:rsid w:val="00670695"/>
    <w:rsid w:val="006908E5"/>
    <w:rsid w:val="006B3DD5"/>
    <w:rsid w:val="006B68A9"/>
    <w:rsid w:val="006C1E71"/>
    <w:rsid w:val="006C292A"/>
    <w:rsid w:val="00743FA1"/>
    <w:rsid w:val="00751011"/>
    <w:rsid w:val="007942E7"/>
    <w:rsid w:val="007976AE"/>
    <w:rsid w:val="007E0AB2"/>
    <w:rsid w:val="007E0C11"/>
    <w:rsid w:val="008219F6"/>
    <w:rsid w:val="00847D42"/>
    <w:rsid w:val="00872ACF"/>
    <w:rsid w:val="008C007F"/>
    <w:rsid w:val="008E765D"/>
    <w:rsid w:val="00920D0B"/>
    <w:rsid w:val="00935485"/>
    <w:rsid w:val="0095693B"/>
    <w:rsid w:val="00972059"/>
    <w:rsid w:val="00974230"/>
    <w:rsid w:val="00A035BE"/>
    <w:rsid w:val="00A32CEE"/>
    <w:rsid w:val="00A777CC"/>
    <w:rsid w:val="00A80AD7"/>
    <w:rsid w:val="00A9366B"/>
    <w:rsid w:val="00AF7508"/>
    <w:rsid w:val="00B01221"/>
    <w:rsid w:val="00B14186"/>
    <w:rsid w:val="00B35B50"/>
    <w:rsid w:val="00B56B36"/>
    <w:rsid w:val="00B56E57"/>
    <w:rsid w:val="00B91F1B"/>
    <w:rsid w:val="00BF3A6F"/>
    <w:rsid w:val="00C176BC"/>
    <w:rsid w:val="00C2382C"/>
    <w:rsid w:val="00C46801"/>
    <w:rsid w:val="00C50706"/>
    <w:rsid w:val="00C52795"/>
    <w:rsid w:val="00CC6947"/>
    <w:rsid w:val="00CE21B2"/>
    <w:rsid w:val="00CF6B4A"/>
    <w:rsid w:val="00D77A43"/>
    <w:rsid w:val="00DA3511"/>
    <w:rsid w:val="00DD3E9D"/>
    <w:rsid w:val="00E40B8E"/>
    <w:rsid w:val="00F05B61"/>
    <w:rsid w:val="00F52E59"/>
    <w:rsid w:val="00F5419C"/>
    <w:rsid w:val="00F63C42"/>
    <w:rsid w:val="027D53E4"/>
    <w:rsid w:val="085413D1"/>
    <w:rsid w:val="17A56C23"/>
    <w:rsid w:val="2C5324DF"/>
    <w:rsid w:val="2D4F1C6B"/>
    <w:rsid w:val="2E951BAF"/>
    <w:rsid w:val="32DD4C35"/>
    <w:rsid w:val="43FE40BD"/>
    <w:rsid w:val="50BA5860"/>
    <w:rsid w:val="59BB0508"/>
    <w:rsid w:val="6B5275DD"/>
    <w:rsid w:val="6FD240A1"/>
    <w:rsid w:val="7CA8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next w:val="1"/>
    <w:unhideWhenUsed/>
    <w:qFormat/>
    <w:uiPriority w:val="1"/>
    <w:pPr>
      <w:spacing w:before="145"/>
      <w:ind w:left="117"/>
    </w:pPr>
    <w:rPr>
      <w:rFonts w:hint="eastAsia" w:ascii="宋体" w:hAnsi="宋体"/>
      <w:sz w:val="32"/>
    </w:rPr>
  </w:style>
  <w:style w:type="paragraph" w:styleId="4">
    <w:name w:val="Body Text Indent"/>
    <w:basedOn w:val="1"/>
    <w:qFormat/>
    <w:uiPriority w:val="0"/>
    <w:pPr>
      <w:ind w:left="3" w:hanging="3"/>
    </w:pPr>
    <w:rPr>
      <w:rFonts w:ascii="方正仿宋简体"/>
    </w:rPr>
  </w:style>
  <w:style w:type="paragraph" w:styleId="5">
    <w:name w:val="Balloon Text"/>
    <w:basedOn w:val="1"/>
    <w:link w:val="14"/>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next w:val="1"/>
    <w:unhideWhenUsed/>
    <w:qFormat/>
    <w:uiPriority w:val="99"/>
    <w:pPr>
      <w:ind w:firstLine="420" w:firstLineChars="200"/>
    </w:p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框文本 Char"/>
    <w:basedOn w:val="11"/>
    <w:link w:val="5"/>
    <w:semiHidden/>
    <w:qFormat/>
    <w:uiPriority w:val="99"/>
    <w:rPr>
      <w:sz w:val="18"/>
      <w:szCs w:val="18"/>
    </w:rPr>
  </w:style>
  <w:style w:type="paragraph" w:customStyle="1" w:styleId="15">
    <w:name w:val="Body text|1"/>
    <w:basedOn w:val="1"/>
    <w:qFormat/>
    <w:uiPriority w:val="0"/>
    <w:pPr>
      <w:spacing w:line="466" w:lineRule="auto"/>
      <w:ind w:firstLine="400"/>
    </w:pPr>
    <w:rPr>
      <w:rFonts w:ascii="宋体" w:hAnsi="宋体" w:eastAsia="宋体" w:cs="宋体"/>
      <w:sz w:val="28"/>
      <w:szCs w:val="28"/>
      <w:lang w:val="zh-TW" w:eastAsia="zh-TW" w:bidi="zh-TW"/>
    </w:rPr>
  </w:style>
  <w:style w:type="paragraph" w:customStyle="1" w:styleId="16">
    <w:name w:val="PlainText"/>
    <w:qFormat/>
    <w:uiPriority w:val="0"/>
    <w:pPr>
      <w:widowControl w:val="0"/>
      <w:spacing w:line="576" w:lineRule="exact"/>
      <w:jc w:val="both"/>
      <w:textAlignment w:val="baseline"/>
    </w:pPr>
    <w:rPr>
      <w:rFonts w:ascii="宋体" w:hAnsi="Courier New" w:eastAsia="Times New Roman" w:cs="Times New Roman"/>
      <w:sz w:val="21"/>
      <w:szCs w:val="24"/>
      <w:lang w:val="en-US" w:eastAsia="zh-CN" w:bidi="ar-SA"/>
    </w:rPr>
  </w:style>
  <w:style w:type="paragraph" w:customStyle="1" w:styleId="17">
    <w:name w:val="Body text|2"/>
    <w:basedOn w:val="1"/>
    <w:qFormat/>
    <w:uiPriority w:val="0"/>
    <w:pPr>
      <w:spacing w:after="100"/>
    </w:pPr>
    <w:rPr>
      <w:rFonts w:ascii="宋体" w:hAnsi="宋体" w:eastAsia="宋体" w:cs="宋体"/>
      <w:sz w:val="20"/>
      <w:lang w:val="zh-TW" w:eastAsia="zh-TW" w:bidi="zh-TW"/>
    </w:rPr>
  </w:style>
  <w:style w:type="character" w:customStyle="1" w:styleId="18">
    <w:name w:val="页脚 Char"/>
    <w:basedOn w:val="11"/>
    <w:link w:val="6"/>
    <w:qFormat/>
    <w:uiPriority w:val="99"/>
    <w:rPr>
      <w:snapToGrid w:val="0"/>
      <w:color w:val="000000"/>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F7BB6C-C53C-444E-92AD-D59FD748001F}">
  <ds:schemaRefs/>
</ds:datastoreItem>
</file>

<file path=docProps/app.xml><?xml version="1.0" encoding="utf-8"?>
<Properties xmlns="http://schemas.openxmlformats.org/officeDocument/2006/extended-properties" xmlns:vt="http://schemas.openxmlformats.org/officeDocument/2006/docPropsVTypes">
  <Template>Normal</Template>
  <Pages>37</Pages>
  <Words>20501</Words>
  <Characters>20950</Characters>
  <Lines>154</Lines>
  <Paragraphs>43</Paragraphs>
  <TotalTime>84</TotalTime>
  <ScaleCrop>false</ScaleCrop>
  <LinksUpToDate>false</LinksUpToDate>
  <CharactersWithSpaces>20994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2023-01-03T01:00:00Z</dcterms:created>
  <dc:creator>Kingsoft-PDF</dc:creator>
  <cp:keywords>633427af05e1b90015fc3e6a</cp:keywords>
  <cp:lastModifiedBy>一人日虫虫</cp:lastModifiedBy>
  <cp:lastPrinted>2023-04-27T01:03:00Z</cp:lastPrinted>
  <dcterms:modified xsi:type="dcterms:W3CDTF">2023-12-01T01:58:18Z</dcterms:modified>
  <dc:subject>pdfbuilder</dc:subject>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5F8B8EE1E21246BD88C59AC6AA4AEB13_13</vt:lpwstr>
  </property>
</Properties>
</file>