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6843C">
      <w:pPr>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浮梁县关于</w:t>
      </w:r>
      <w:r>
        <w:rPr>
          <w:rFonts w:hint="eastAsia" w:ascii="方正小标宋简体" w:hAnsi="方正小标宋简体" w:eastAsia="方正小标宋简体" w:cs="方正小标宋简体"/>
          <w:sz w:val="44"/>
          <w:szCs w:val="44"/>
          <w:lang w:val="en-US" w:eastAsia="zh-CN"/>
        </w:rPr>
        <w:t>2025年省生态环境警示片披露问题</w:t>
      </w:r>
    </w:p>
    <w:p w14:paraId="14B8AC43">
      <w:pPr>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整改销号的公示</w:t>
      </w:r>
      <w:bookmarkStart w:id="0" w:name="_GoBack"/>
      <w:bookmarkEnd w:id="0"/>
    </w:p>
    <w:p w14:paraId="0E776765">
      <w:pPr>
        <w:spacing w:line="520" w:lineRule="exact"/>
        <w:ind w:firstLine="640" w:firstLineChars="200"/>
        <w:rPr>
          <w:rFonts w:ascii="仿宋_GB2312" w:hAnsi="仿宋_GB2312" w:eastAsia="仿宋_GB2312" w:cs="仿宋_GB2312"/>
          <w:sz w:val="32"/>
          <w:szCs w:val="32"/>
        </w:rPr>
      </w:pPr>
    </w:p>
    <w:p w14:paraId="7C0AFC1A">
      <w:pPr>
        <w:spacing w:line="520" w:lineRule="exact"/>
        <w:ind w:firstLine="640" w:firstLineChars="200"/>
        <w:rPr>
          <w:rFonts w:ascii="宋体" w:hAnsi="宋体" w:eastAsia="宋体" w:cs="方正公文小标宋"/>
          <w:b/>
          <w:szCs w:val="32"/>
        </w:rPr>
      </w:pPr>
      <w:r>
        <w:rPr>
          <w:rFonts w:hint="eastAsia" w:ascii="仿宋_GB2312" w:hAnsi="仿宋_GB2312" w:eastAsia="仿宋_GB2312" w:cs="仿宋_GB2312"/>
          <w:sz w:val="32"/>
          <w:szCs w:val="32"/>
        </w:rPr>
        <w:t>为了进一步贯彻落实环境保护督察问题整改销号管理规范,根据《江西省生态环境保护督察整改工作实施细则》《景德镇市环境保护督察反馈问题整改销号管理办法（试行）》要求及《浮梁县环境保护督察反馈问题整改销号管理办法（试行）》要求,现就浮梁县</w:t>
      </w:r>
      <w:r>
        <w:rPr>
          <w:rFonts w:hint="eastAsia" w:ascii="仿宋_GB2312" w:hAnsi="仿宋_GB2312" w:eastAsia="仿宋_GB2312" w:cs="仿宋_GB2312"/>
          <w:sz w:val="32"/>
          <w:szCs w:val="32"/>
          <w:lang w:val="en-US" w:eastAsia="zh-CN"/>
        </w:rPr>
        <w:t>2025年省生态环境警示片披露问题销号情况进行公示</w:t>
      </w:r>
      <w:r>
        <w:rPr>
          <w:rFonts w:hint="eastAsia" w:ascii="仿宋_GB2312" w:hAnsi="仿宋_GB2312" w:eastAsia="仿宋_GB2312" w:cs="仿宋_GB2312"/>
          <w:sz w:val="32"/>
          <w:szCs w:val="32"/>
        </w:rPr>
        <w:t>如下:</w:t>
      </w:r>
    </w:p>
    <w:tbl>
      <w:tblPr>
        <w:tblStyle w:val="3"/>
        <w:tblW w:w="15427" w:type="dxa"/>
        <w:jc w:val="center"/>
        <w:tblLayout w:type="fixed"/>
        <w:tblCellMar>
          <w:top w:w="0" w:type="dxa"/>
          <w:left w:w="108" w:type="dxa"/>
          <w:bottom w:w="0" w:type="dxa"/>
          <w:right w:w="108" w:type="dxa"/>
        </w:tblCellMar>
      </w:tblPr>
      <w:tblGrid>
        <w:gridCol w:w="942"/>
        <w:gridCol w:w="1440"/>
        <w:gridCol w:w="4905"/>
        <w:gridCol w:w="1575"/>
        <w:gridCol w:w="5760"/>
        <w:gridCol w:w="805"/>
      </w:tblGrid>
      <w:tr w14:paraId="36A81065">
        <w:tblPrEx>
          <w:tblCellMar>
            <w:top w:w="0" w:type="dxa"/>
            <w:left w:w="108" w:type="dxa"/>
            <w:bottom w:w="0" w:type="dxa"/>
            <w:right w:w="108" w:type="dxa"/>
          </w:tblCellMar>
        </w:tblPrEx>
        <w:trPr>
          <w:trHeight w:val="710" w:hRule="atLeast"/>
          <w:jc w:val="center"/>
        </w:trPr>
        <w:tc>
          <w:tcPr>
            <w:tcW w:w="942" w:type="dxa"/>
            <w:tcBorders>
              <w:top w:val="single" w:color="000000" w:sz="4" w:space="0"/>
              <w:left w:val="single" w:color="000000" w:sz="4" w:space="0"/>
              <w:bottom w:val="single" w:color="000000" w:sz="4" w:space="0"/>
              <w:right w:val="single" w:color="000000" w:sz="4" w:space="0"/>
            </w:tcBorders>
            <w:vAlign w:val="center"/>
          </w:tcPr>
          <w:p w14:paraId="61ACEF28">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序号</w:t>
            </w:r>
          </w:p>
        </w:tc>
        <w:tc>
          <w:tcPr>
            <w:tcW w:w="1440" w:type="dxa"/>
            <w:tcBorders>
              <w:top w:val="single" w:color="000000" w:sz="4" w:space="0"/>
              <w:left w:val="single" w:color="000000" w:sz="4" w:space="0"/>
              <w:bottom w:val="single" w:color="000000" w:sz="4" w:space="0"/>
              <w:right w:val="single" w:color="000000" w:sz="4" w:space="0"/>
            </w:tcBorders>
            <w:vAlign w:val="center"/>
          </w:tcPr>
          <w:p w14:paraId="2471E8D0">
            <w:pPr>
              <w:widowControl/>
              <w:spacing w:line="320" w:lineRule="exact"/>
              <w:jc w:val="center"/>
              <w:textAlignment w:val="center"/>
              <w:rPr>
                <w:rFonts w:cs="宋体" w:asciiTheme="minorEastAsia" w:hAnsiTheme="minorEastAsia"/>
                <w:b/>
                <w:bCs/>
                <w:color w:val="000000"/>
                <w:kern w:val="0"/>
                <w:sz w:val="28"/>
                <w:szCs w:val="28"/>
                <w:lang w:bidi="ar"/>
              </w:rPr>
            </w:pPr>
            <w:r>
              <w:rPr>
                <w:rFonts w:hint="eastAsia" w:cs="宋体" w:asciiTheme="minorEastAsia" w:hAnsiTheme="minorEastAsia"/>
                <w:b/>
                <w:bCs/>
                <w:color w:val="000000"/>
                <w:kern w:val="0"/>
                <w:sz w:val="28"/>
                <w:szCs w:val="28"/>
                <w:lang w:bidi="ar"/>
              </w:rPr>
              <w:t>问题来源</w:t>
            </w:r>
          </w:p>
        </w:tc>
        <w:tc>
          <w:tcPr>
            <w:tcW w:w="4905" w:type="dxa"/>
            <w:tcBorders>
              <w:top w:val="single" w:color="000000" w:sz="4" w:space="0"/>
              <w:left w:val="single" w:color="000000" w:sz="4" w:space="0"/>
              <w:bottom w:val="single" w:color="000000" w:sz="4" w:space="0"/>
              <w:right w:val="single" w:color="000000" w:sz="4" w:space="0"/>
            </w:tcBorders>
            <w:vAlign w:val="center"/>
          </w:tcPr>
          <w:p w14:paraId="70C72497">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反馈问题</w:t>
            </w:r>
          </w:p>
        </w:tc>
        <w:tc>
          <w:tcPr>
            <w:tcW w:w="1575" w:type="dxa"/>
            <w:tcBorders>
              <w:top w:val="single" w:color="000000" w:sz="4" w:space="0"/>
              <w:left w:val="single" w:color="000000" w:sz="4" w:space="0"/>
              <w:bottom w:val="single" w:color="000000" w:sz="4" w:space="0"/>
              <w:right w:val="single" w:color="000000" w:sz="4" w:space="0"/>
            </w:tcBorders>
            <w:noWrap/>
            <w:vAlign w:val="center"/>
          </w:tcPr>
          <w:p w14:paraId="54B1B5C6">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责任单位</w:t>
            </w:r>
          </w:p>
        </w:tc>
        <w:tc>
          <w:tcPr>
            <w:tcW w:w="5760" w:type="dxa"/>
            <w:tcBorders>
              <w:top w:val="single" w:color="000000" w:sz="4" w:space="0"/>
              <w:left w:val="single" w:color="000000" w:sz="4" w:space="0"/>
              <w:bottom w:val="single" w:color="000000" w:sz="4" w:space="0"/>
              <w:right w:val="single" w:color="000000" w:sz="4" w:space="0"/>
            </w:tcBorders>
            <w:noWrap/>
            <w:vAlign w:val="center"/>
          </w:tcPr>
          <w:p w14:paraId="5846CA06">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整改进展</w:t>
            </w:r>
          </w:p>
        </w:tc>
        <w:tc>
          <w:tcPr>
            <w:tcW w:w="805" w:type="dxa"/>
            <w:tcBorders>
              <w:top w:val="single" w:color="000000" w:sz="4" w:space="0"/>
              <w:left w:val="single" w:color="000000" w:sz="4" w:space="0"/>
              <w:bottom w:val="single" w:color="000000" w:sz="4" w:space="0"/>
              <w:right w:val="single" w:color="000000" w:sz="4" w:space="0"/>
            </w:tcBorders>
            <w:vAlign w:val="center"/>
          </w:tcPr>
          <w:p w14:paraId="6351AAB3">
            <w:pPr>
              <w:widowControl/>
              <w:spacing w:line="320" w:lineRule="exact"/>
              <w:jc w:val="center"/>
              <w:textAlignment w:val="center"/>
              <w:rPr>
                <w:rFonts w:cs="宋体" w:asciiTheme="minorEastAsia" w:hAnsiTheme="minorEastAsia"/>
                <w:b/>
                <w:bCs/>
                <w:color w:val="000000"/>
                <w:sz w:val="28"/>
                <w:szCs w:val="28"/>
              </w:rPr>
            </w:pPr>
            <w:r>
              <w:rPr>
                <w:rFonts w:hint="eastAsia" w:cs="宋体" w:asciiTheme="minorEastAsia" w:hAnsiTheme="minorEastAsia"/>
                <w:b/>
                <w:bCs/>
                <w:color w:val="000000"/>
                <w:kern w:val="0"/>
                <w:sz w:val="28"/>
                <w:szCs w:val="28"/>
                <w:lang w:bidi="ar"/>
              </w:rPr>
              <w:t>是否销号</w:t>
            </w:r>
          </w:p>
        </w:tc>
      </w:tr>
      <w:tr w14:paraId="6506A375">
        <w:tblPrEx>
          <w:tblCellMar>
            <w:top w:w="0" w:type="dxa"/>
            <w:left w:w="108" w:type="dxa"/>
            <w:bottom w:w="0" w:type="dxa"/>
            <w:right w:w="108" w:type="dxa"/>
          </w:tblCellMar>
        </w:tblPrEx>
        <w:trPr>
          <w:trHeight w:val="459" w:hRule="atLeast"/>
          <w:jc w:val="center"/>
        </w:trPr>
        <w:tc>
          <w:tcPr>
            <w:tcW w:w="942" w:type="dxa"/>
            <w:tcBorders>
              <w:top w:val="single" w:color="000000" w:sz="4" w:space="0"/>
              <w:left w:val="single" w:color="000000" w:sz="4" w:space="0"/>
              <w:bottom w:val="single" w:color="000000" w:sz="4" w:space="0"/>
              <w:right w:val="single" w:color="000000" w:sz="4" w:space="0"/>
            </w:tcBorders>
            <w:vAlign w:val="center"/>
          </w:tcPr>
          <w:p w14:paraId="248E2516">
            <w:pPr>
              <w:spacing w:line="280" w:lineRule="exact"/>
              <w:jc w:val="center"/>
              <w:rPr>
                <w:rFonts w:asciiTheme="minorEastAsia" w:hAnsiTheme="minorEastAsia"/>
                <w:color w:val="000000"/>
                <w:sz w:val="24"/>
              </w:rPr>
            </w:pPr>
            <w:r>
              <w:rPr>
                <w:rFonts w:hint="eastAsia" w:asciiTheme="minorEastAsia" w:hAnsiTheme="minorEastAsia"/>
                <w:color w:val="000000"/>
                <w:sz w:val="24"/>
              </w:rPr>
              <w:t>1</w:t>
            </w:r>
          </w:p>
        </w:tc>
        <w:tc>
          <w:tcPr>
            <w:tcW w:w="1440" w:type="dxa"/>
            <w:tcBorders>
              <w:top w:val="single" w:color="000000" w:sz="4" w:space="0"/>
              <w:left w:val="single" w:color="000000" w:sz="4" w:space="0"/>
              <w:bottom w:val="single" w:color="000000" w:sz="4" w:space="0"/>
              <w:right w:val="single" w:color="000000" w:sz="4" w:space="0"/>
            </w:tcBorders>
            <w:vAlign w:val="center"/>
          </w:tcPr>
          <w:p w14:paraId="64F0358B">
            <w:pPr>
              <w:spacing w:line="280" w:lineRule="exact"/>
              <w:jc w:val="center"/>
              <w:rPr>
                <w:rFonts w:cs="宋体" w:asciiTheme="minorEastAsia" w:hAnsiTheme="minorEastAsia"/>
                <w:b/>
                <w:bCs/>
                <w:color w:val="000000"/>
                <w:kern w:val="0"/>
                <w:sz w:val="24"/>
                <w:highlight w:val="yellow"/>
                <w:lang w:bidi="ar"/>
              </w:rPr>
            </w:pPr>
            <w:r>
              <w:rPr>
                <w:rFonts w:hint="eastAsia" w:asciiTheme="minorEastAsia" w:hAnsiTheme="minorEastAsia"/>
                <w:color w:val="000000"/>
                <w:sz w:val="24"/>
                <w:lang w:val="en-US" w:eastAsia="zh-CN"/>
              </w:rPr>
              <w:t>2025年省生态环境警示片披露问题</w:t>
            </w:r>
          </w:p>
        </w:tc>
        <w:tc>
          <w:tcPr>
            <w:tcW w:w="4905" w:type="dxa"/>
            <w:tcBorders>
              <w:top w:val="single" w:color="000000" w:sz="4" w:space="0"/>
              <w:left w:val="single" w:color="000000" w:sz="4" w:space="0"/>
              <w:bottom w:val="single" w:color="000000" w:sz="4" w:space="0"/>
              <w:right w:val="single" w:color="000000" w:sz="4" w:space="0"/>
            </w:tcBorders>
            <w:vAlign w:val="center"/>
          </w:tcPr>
          <w:p w14:paraId="05FBA712">
            <w:pPr>
              <w:spacing w:line="280" w:lineRule="exact"/>
              <w:jc w:val="both"/>
              <w:rPr>
                <w:rFonts w:cs="宋体" w:asciiTheme="minorEastAsia" w:hAnsiTheme="minorEastAsia"/>
                <w:b/>
                <w:bCs/>
                <w:color w:val="000000"/>
                <w:kern w:val="0"/>
                <w:sz w:val="24"/>
                <w:lang w:bidi="ar"/>
              </w:rPr>
            </w:pPr>
            <w:r>
              <w:rPr>
                <w:rFonts w:hint="eastAsia" w:asciiTheme="minorEastAsia" w:hAnsiTheme="minorEastAsia"/>
                <w:color w:val="000000"/>
                <w:sz w:val="24"/>
                <w:lang w:val="en-US" w:eastAsia="zh-CN"/>
              </w:rPr>
              <w:t>江西省开盛矿业有限责任公司朱溪铜矿将大量脱水尾矿砂与土料混合违规堆存在尾矿库外部西南侧土料堆存区，并用黄土覆盖；堆存区部分尾砂裸露，被雨水冲刷进入周边山林。景德镇佳顺矿业有限公司寺前石灰岩矿周边群众多次反映矿山开采扬尘、噪声和震动等问题，均未得到妥善解决。现场发现，企业运输车辆进出未经冲洗平台，破碎车间、物料输送廊道粉尘收集不到位，粉尘扬撒严重；大量废渣沿山体倾倒，经雨水冲刷排入河中；矿山开采爆破震动扰民，附近村民部分房屋开裂严重。</w:t>
            </w:r>
          </w:p>
        </w:tc>
        <w:tc>
          <w:tcPr>
            <w:tcW w:w="1575" w:type="dxa"/>
            <w:tcBorders>
              <w:top w:val="single" w:color="000000" w:sz="4" w:space="0"/>
              <w:left w:val="single" w:color="000000" w:sz="4" w:space="0"/>
              <w:bottom w:val="single" w:color="000000" w:sz="4" w:space="0"/>
              <w:right w:val="single" w:color="000000" w:sz="4" w:space="0"/>
            </w:tcBorders>
            <w:noWrap/>
            <w:vAlign w:val="center"/>
          </w:tcPr>
          <w:p w14:paraId="117CF367">
            <w:pPr>
              <w:spacing w:line="280" w:lineRule="exact"/>
              <w:jc w:val="center"/>
              <w:rPr>
                <w:rFonts w:cs="宋体" w:asciiTheme="minorEastAsia" w:hAnsiTheme="minorEastAsia"/>
                <w:b/>
                <w:bCs/>
                <w:color w:val="000000"/>
                <w:kern w:val="0"/>
                <w:sz w:val="24"/>
                <w:lang w:bidi="ar"/>
              </w:rPr>
            </w:pPr>
            <w:r>
              <w:rPr>
                <w:rFonts w:hint="eastAsia" w:asciiTheme="minorEastAsia" w:hAnsiTheme="minorEastAsia"/>
                <w:color w:val="000000"/>
                <w:sz w:val="24"/>
              </w:rPr>
              <w:t>浮梁县政府</w:t>
            </w:r>
          </w:p>
        </w:tc>
        <w:tc>
          <w:tcPr>
            <w:tcW w:w="5760" w:type="dxa"/>
            <w:tcBorders>
              <w:top w:val="single" w:color="000000" w:sz="4" w:space="0"/>
              <w:left w:val="single" w:color="000000" w:sz="4" w:space="0"/>
              <w:bottom w:val="single" w:color="000000" w:sz="4" w:space="0"/>
              <w:right w:val="single" w:color="000000" w:sz="4" w:space="0"/>
            </w:tcBorders>
            <w:noWrap/>
            <w:vAlign w:val="center"/>
          </w:tcPr>
          <w:p w14:paraId="7D4C539B">
            <w:pPr>
              <w:spacing w:line="280" w:lineRule="exact"/>
              <w:jc w:val="both"/>
              <w:rPr>
                <w:rFonts w:hint="eastAsia" w:asciiTheme="minorEastAsia" w:hAnsiTheme="minorEastAsia"/>
                <w:color w:val="000000"/>
                <w:sz w:val="24"/>
              </w:rPr>
            </w:pPr>
            <w:r>
              <w:rPr>
                <w:rFonts w:hint="eastAsia" w:asciiTheme="minorEastAsia" w:hAnsiTheme="minorEastAsia"/>
                <w:color w:val="000000"/>
                <w:sz w:val="24"/>
              </w:rPr>
              <w:t>1.将江西省开盛矿业有限责任公司朱溪铜矿堆放区域的尾砂转移至尾矿库内规范堆存。2.规范景德镇佳顺矿业有限公司车辆进出冲洗，对进出场道路加强洒水喷淋，强化进场道路扬尘管控；对破碎车间、物料输送廊道密闭不到位处进行封堵和加固，减少粉尘逸散。</w:t>
            </w:r>
          </w:p>
          <w:p w14:paraId="3416D9A5">
            <w:pPr>
              <w:spacing w:line="280" w:lineRule="exact"/>
              <w:jc w:val="both"/>
              <w:rPr>
                <w:rFonts w:hint="eastAsia" w:ascii="仿宋_GB2312" w:hAnsi="仿宋_GB2312" w:eastAsia="仿宋_GB2312" w:cs="仿宋_GB2312"/>
                <w:sz w:val="32"/>
                <w:szCs w:val="32"/>
              </w:rPr>
            </w:pPr>
            <w:r>
              <w:rPr>
                <w:rFonts w:hint="eastAsia" w:asciiTheme="minorEastAsia" w:hAnsiTheme="minorEastAsia"/>
                <w:color w:val="000000"/>
                <w:sz w:val="24"/>
              </w:rPr>
              <w:t>3.完善景德镇佳顺矿业有限公司成品堆料场地排水设施，补足临时覆盖，增加场地沉沙池容量，增设挡墙等拦挡设施。4.景德镇佳顺矿业有限公司优化爆破方案，合理控制爆破时间、炸药使用量及爆破深孔数值；建立企业、爆破公司与村委会及村民沟通机制。</w:t>
            </w:r>
          </w:p>
          <w:p w14:paraId="41555C9C">
            <w:pPr>
              <w:spacing w:line="280" w:lineRule="exact"/>
              <w:jc w:val="center"/>
              <w:rPr>
                <w:rFonts w:cs="宋体" w:asciiTheme="minorEastAsia" w:hAnsiTheme="minorEastAsia"/>
                <w:b/>
                <w:bCs/>
                <w:color w:val="000000"/>
                <w:kern w:val="0"/>
                <w:sz w:val="24"/>
                <w:lang w:bidi="ar"/>
              </w:rPr>
            </w:pPr>
          </w:p>
        </w:tc>
        <w:tc>
          <w:tcPr>
            <w:tcW w:w="805" w:type="dxa"/>
            <w:tcBorders>
              <w:top w:val="single" w:color="000000" w:sz="4" w:space="0"/>
              <w:left w:val="single" w:color="000000" w:sz="4" w:space="0"/>
              <w:bottom w:val="single" w:color="000000" w:sz="4" w:space="0"/>
              <w:right w:val="single" w:color="000000" w:sz="4" w:space="0"/>
            </w:tcBorders>
            <w:vAlign w:val="center"/>
          </w:tcPr>
          <w:p w14:paraId="6BE02717">
            <w:pPr>
              <w:spacing w:line="280" w:lineRule="exact"/>
              <w:jc w:val="center"/>
              <w:rPr>
                <w:rFonts w:asciiTheme="minorEastAsia" w:hAnsiTheme="minorEastAsia"/>
                <w:color w:val="000000"/>
                <w:sz w:val="24"/>
              </w:rPr>
            </w:pPr>
            <w:r>
              <w:rPr>
                <w:rFonts w:hint="eastAsia" w:asciiTheme="minorEastAsia" w:hAnsiTheme="minorEastAsia"/>
                <w:color w:val="000000"/>
                <w:sz w:val="24"/>
              </w:rPr>
              <w:t>是</w:t>
            </w:r>
          </w:p>
        </w:tc>
      </w:tr>
    </w:tbl>
    <w:p w14:paraId="73A239BC">
      <w:pPr>
        <w:spacing w:line="520" w:lineRule="exact"/>
        <w:rPr>
          <w:rFonts w:ascii="仿宋_GB2312" w:hAnsi="仿宋_GB2312" w:eastAsia="仿宋_GB2312" w:cs="仿宋_GB2312"/>
          <w:sz w:val="32"/>
          <w:szCs w:val="32"/>
        </w:rPr>
      </w:pPr>
    </w:p>
    <w:p w14:paraId="33226E8B">
      <w:pPr>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本公示时间自2026年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日至2026年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 xml:space="preserve">日,对本公示情况有疑问和异议的,请联系市生态文明建设和环境保护委员会办公室,联系电话:0798-8526285。 </w:t>
      </w:r>
    </w:p>
    <w:p w14:paraId="6B8CE06D">
      <w:pPr>
        <w:spacing w:line="520" w:lineRule="exact"/>
        <w:ind w:firstLine="640" w:firstLineChars="200"/>
        <w:rPr>
          <w:rFonts w:hint="eastAsia" w:ascii="仿宋_GB2312" w:hAnsi="仿宋_GB2312" w:eastAsia="仿宋_GB2312" w:cs="仿宋_GB2312"/>
          <w:sz w:val="32"/>
          <w:szCs w:val="3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BF937601-2ED0-469F-B324-03242EAE0F7D}"/>
  </w:font>
  <w:font w:name="方正公文小标宋">
    <w:panose1 w:val="02000500000000000000"/>
    <w:charset w:val="86"/>
    <w:family w:val="auto"/>
    <w:pitch w:val="default"/>
    <w:sig w:usb0="A00002BF" w:usb1="38CF7CFA" w:usb2="00000016" w:usb3="00000000" w:csb0="00040001" w:csb1="00000000"/>
    <w:embedRegular r:id="rId2" w:fontKey="{FB1082FA-40AD-4879-BFCB-E97BFD2266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E74DBA"/>
    <w:rsid w:val="00382864"/>
    <w:rsid w:val="00D6248D"/>
    <w:rsid w:val="06604E4C"/>
    <w:rsid w:val="06CE0079"/>
    <w:rsid w:val="077956A9"/>
    <w:rsid w:val="0E252C04"/>
    <w:rsid w:val="17822E75"/>
    <w:rsid w:val="19202945"/>
    <w:rsid w:val="1ADC0AEE"/>
    <w:rsid w:val="1CB34BBD"/>
    <w:rsid w:val="1DEC729A"/>
    <w:rsid w:val="1F777037"/>
    <w:rsid w:val="22051558"/>
    <w:rsid w:val="22AE0FC2"/>
    <w:rsid w:val="27082C6B"/>
    <w:rsid w:val="2F177EEF"/>
    <w:rsid w:val="2F2443BA"/>
    <w:rsid w:val="2F882B9B"/>
    <w:rsid w:val="3240775C"/>
    <w:rsid w:val="38A5656B"/>
    <w:rsid w:val="39DF785B"/>
    <w:rsid w:val="3A8F302F"/>
    <w:rsid w:val="3F5605BF"/>
    <w:rsid w:val="43803E5D"/>
    <w:rsid w:val="47EA3F9B"/>
    <w:rsid w:val="4A69564B"/>
    <w:rsid w:val="4B6452BE"/>
    <w:rsid w:val="4BD42F98"/>
    <w:rsid w:val="4CF03E01"/>
    <w:rsid w:val="4E1A35DD"/>
    <w:rsid w:val="501E6ED7"/>
    <w:rsid w:val="532760A3"/>
    <w:rsid w:val="536E3CD2"/>
    <w:rsid w:val="549F610D"/>
    <w:rsid w:val="55A32FF3"/>
    <w:rsid w:val="584C2108"/>
    <w:rsid w:val="587D6384"/>
    <w:rsid w:val="58F307D5"/>
    <w:rsid w:val="5E547F68"/>
    <w:rsid w:val="60723C05"/>
    <w:rsid w:val="61CD42B9"/>
    <w:rsid w:val="653B59DE"/>
    <w:rsid w:val="692C5CD5"/>
    <w:rsid w:val="6A9A4778"/>
    <w:rsid w:val="6BA047ED"/>
    <w:rsid w:val="70D25448"/>
    <w:rsid w:val="757953D3"/>
    <w:rsid w:val="75E74DBA"/>
    <w:rsid w:val="76E063E5"/>
    <w:rsid w:val="787709AC"/>
    <w:rsid w:val="797D616D"/>
    <w:rsid w:val="7AAA62D7"/>
    <w:rsid w:val="7F897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719</Words>
  <Characters>752</Characters>
  <Lines>9</Lines>
  <Paragraphs>2</Paragraphs>
  <TotalTime>6</TotalTime>
  <ScaleCrop>false</ScaleCrop>
  <LinksUpToDate>false</LinksUpToDate>
  <CharactersWithSpaces>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2024-12-10T02:38:00Z</dcterms:created>
  <dc:creator>doki</dc:creator>
  <cp:lastModifiedBy>F.er</cp:lastModifiedBy>
  <dcterms:modified xsi:type="dcterms:W3CDTF">2026-10-10T01:49:48Z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9B30829455394384B62502612D7A5E33_13</vt:lpwstr>
  </property>
  <property fmtid="{D5CDD505-2E9C-101B-9397-08002B2CF9AE}" pid="4" name="KSOTemplateDocerSaveRecord">
    <vt:lpwstr>eyJoZGlkIjoiMzAyYjMxNGI0NTU3YjZlOGVmOTQwYTk5OTA5ZDU3YTciLCJ1c2VySWQiOiIyNjI1MDEyMTcifQ==</vt:lpwstr>
  </property>
</Properties>
</file>