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4900" w:type="pct"/>
        <w:tblCellSpacing w:w="0" w:type="dxa"/>
        <w:tblInd w:w="0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140"/>
      </w:tblGrid>
      <w:tr w14:paraId="6A997009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  <w:tblCellSpacing w:w="0" w:type="dxa"/>
        </w:trPr>
        <w:tc>
          <w:tcPr>
            <w:tcW w:w="5000" w:type="pct"/>
            <w:shd w:val="clear" w:color="auto" w:fill="FFFFFF"/>
            <w:vAlign w:val="center"/>
          </w:tcPr>
          <w:p w14:paraId="55DE9513">
            <w:pPr>
              <w:widowControl/>
              <w:spacing w:before="100" w:beforeAutospacing="1" w:after="100" w:afterAutospacing="1"/>
              <w:jc w:val="center"/>
              <w:outlineLvl w:val="1"/>
              <w:rPr>
                <w:rFonts w:ascii="微软雅黑" w:hAnsi="微软雅黑" w:eastAsia="微软雅黑" w:cs="宋体"/>
                <w:b/>
                <w:bCs/>
                <w:color w:val="CC3300"/>
                <w:kern w:val="0"/>
                <w:sz w:val="36"/>
                <w:szCs w:val="36"/>
              </w:rPr>
            </w:pPr>
            <w:bookmarkStart w:id="0" w:name="_GoBack"/>
            <w:r>
              <w:rPr>
                <w:rFonts w:hint="eastAsia" w:ascii="微软雅黑" w:hAnsi="微软雅黑" w:eastAsia="微软雅黑" w:cs="宋体"/>
                <w:b/>
                <w:bCs/>
                <w:color w:val="CC3300"/>
                <w:kern w:val="0"/>
                <w:sz w:val="36"/>
                <w:szCs w:val="36"/>
              </w:rPr>
              <w:t>浮梁县农业生产废弃物收集及综合利用项目</w:t>
            </w:r>
            <w:r>
              <w:rPr>
                <w:rFonts w:hint="eastAsia" w:ascii="微软雅黑" w:hAnsi="微软雅黑" w:eastAsia="微软雅黑" w:cs="宋体"/>
                <w:b/>
                <w:bCs/>
                <w:color w:val="CC3300"/>
                <w:kern w:val="0"/>
                <w:sz w:val="36"/>
                <w:szCs w:val="36"/>
              </w:rPr>
              <w:t>拟审批公示</w:t>
            </w:r>
            <w:bookmarkEnd w:id="0"/>
          </w:p>
        </w:tc>
      </w:tr>
      <w:tr w14:paraId="26FE2DBF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0" w:hRule="atLeast"/>
          <w:tblCellSpacing w:w="0" w:type="dxa"/>
        </w:trPr>
        <w:tc>
          <w:tcPr>
            <w:tcW w:w="5000" w:type="pct"/>
            <w:shd w:val="clear" w:color="auto" w:fill="FFFFFF"/>
          </w:tcPr>
          <w:p w14:paraId="44A394FC">
            <w:pPr>
              <w:widowControl/>
              <w:spacing w:line="375" w:lineRule="atLeast"/>
              <w:ind w:firstLine="480"/>
              <w:rPr>
                <w:rFonts w:hint="eastAsia" w:ascii="微软雅黑" w:hAnsi="微软雅黑" w:eastAsia="微软雅黑" w:cs="宋体"/>
                <w:color w:val="FF0000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根据建设项目环境影响评价审批程序及信息公开的有关规定，我局拟对《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浮梁县农业生产废弃物收集及综合利用项目环境影响报告表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》作出审批意见，现予以公示，</w:t>
            </w:r>
            <w:r>
              <w:rPr>
                <w:rFonts w:hint="eastAsia" w:ascii="微软雅黑" w:hAnsi="微软雅黑" w:eastAsia="微软雅黑" w:cs="宋体"/>
                <w:color w:val="FF0000"/>
                <w:kern w:val="0"/>
                <w:szCs w:val="21"/>
              </w:rPr>
              <w:t>公示期为202</w:t>
            </w:r>
            <w:r>
              <w:rPr>
                <w:rFonts w:hint="eastAsia" w:ascii="微软雅黑" w:hAnsi="微软雅黑" w:eastAsia="微软雅黑" w:cs="宋体"/>
                <w:color w:val="FF0000"/>
                <w:kern w:val="0"/>
                <w:szCs w:val="21"/>
                <w:lang w:val="en-US" w:eastAsia="zh-CN"/>
              </w:rPr>
              <w:t>6</w:t>
            </w:r>
            <w:r>
              <w:rPr>
                <w:rFonts w:hint="eastAsia" w:ascii="微软雅黑" w:hAnsi="微软雅黑" w:eastAsia="微软雅黑" w:cs="宋体"/>
                <w:color w:val="FF0000"/>
                <w:kern w:val="0"/>
                <w:szCs w:val="21"/>
              </w:rPr>
              <w:t>年</w:t>
            </w:r>
            <w:r>
              <w:rPr>
                <w:rFonts w:hint="eastAsia" w:ascii="微软雅黑" w:hAnsi="微软雅黑" w:eastAsia="微软雅黑" w:cs="宋体"/>
                <w:color w:val="FF0000"/>
                <w:kern w:val="0"/>
                <w:szCs w:val="21"/>
                <w:lang w:val="en-US" w:eastAsia="zh-CN"/>
              </w:rPr>
              <w:t>9</w:t>
            </w:r>
            <w:r>
              <w:rPr>
                <w:rFonts w:hint="eastAsia" w:ascii="微软雅黑" w:hAnsi="微软雅黑" w:eastAsia="微软雅黑" w:cs="宋体"/>
                <w:color w:val="FF0000"/>
                <w:kern w:val="0"/>
                <w:szCs w:val="21"/>
              </w:rPr>
              <w:t>月</w:t>
            </w:r>
            <w:r>
              <w:rPr>
                <w:rFonts w:hint="eastAsia" w:ascii="微软雅黑" w:hAnsi="微软雅黑" w:eastAsia="微软雅黑" w:cs="宋体"/>
                <w:color w:val="FF0000"/>
                <w:kern w:val="0"/>
                <w:szCs w:val="21"/>
                <w:lang w:val="en-US" w:eastAsia="zh-CN"/>
              </w:rPr>
              <w:t>20</w:t>
            </w:r>
            <w:r>
              <w:rPr>
                <w:rFonts w:hint="eastAsia" w:ascii="微软雅黑" w:hAnsi="微软雅黑" w:eastAsia="微软雅黑" w:cs="宋体"/>
                <w:color w:val="FF0000"/>
                <w:kern w:val="0"/>
                <w:szCs w:val="21"/>
              </w:rPr>
              <w:t>日-202</w:t>
            </w:r>
            <w:r>
              <w:rPr>
                <w:rFonts w:hint="eastAsia" w:ascii="微软雅黑" w:hAnsi="微软雅黑" w:eastAsia="微软雅黑" w:cs="宋体"/>
                <w:color w:val="FF0000"/>
                <w:kern w:val="0"/>
                <w:szCs w:val="21"/>
                <w:lang w:val="en-US" w:eastAsia="zh-CN"/>
              </w:rPr>
              <w:t>6</w:t>
            </w:r>
            <w:r>
              <w:rPr>
                <w:rFonts w:hint="eastAsia" w:ascii="微软雅黑" w:hAnsi="微软雅黑" w:eastAsia="微软雅黑" w:cs="宋体"/>
                <w:color w:val="FF0000"/>
                <w:kern w:val="0"/>
                <w:szCs w:val="21"/>
              </w:rPr>
              <w:t>年</w:t>
            </w:r>
            <w:r>
              <w:rPr>
                <w:rFonts w:hint="eastAsia" w:ascii="微软雅黑" w:hAnsi="微软雅黑" w:eastAsia="微软雅黑" w:cs="宋体"/>
                <w:color w:val="FF0000"/>
                <w:kern w:val="0"/>
                <w:szCs w:val="21"/>
                <w:lang w:val="en-US" w:eastAsia="zh-CN"/>
              </w:rPr>
              <w:t>9</w:t>
            </w:r>
            <w:r>
              <w:rPr>
                <w:rFonts w:hint="eastAsia" w:ascii="微软雅黑" w:hAnsi="微软雅黑" w:eastAsia="微软雅黑" w:cs="宋体"/>
                <w:color w:val="FF0000"/>
                <w:kern w:val="0"/>
                <w:szCs w:val="21"/>
              </w:rPr>
              <w:t>月</w:t>
            </w:r>
            <w:r>
              <w:rPr>
                <w:rFonts w:hint="eastAsia" w:ascii="微软雅黑" w:hAnsi="微软雅黑" w:eastAsia="微软雅黑" w:cs="宋体"/>
                <w:color w:val="FF0000"/>
                <w:kern w:val="0"/>
                <w:szCs w:val="21"/>
                <w:lang w:val="en-US" w:eastAsia="zh-CN"/>
              </w:rPr>
              <w:t>21</w:t>
            </w:r>
            <w:r>
              <w:rPr>
                <w:rFonts w:hint="eastAsia" w:ascii="微软雅黑" w:hAnsi="微软雅黑" w:eastAsia="微软雅黑" w:cs="宋体"/>
                <w:color w:val="FF0000"/>
                <w:kern w:val="0"/>
                <w:szCs w:val="21"/>
              </w:rPr>
              <w:t>日（</w:t>
            </w:r>
            <w:r>
              <w:rPr>
                <w:rFonts w:hint="eastAsia" w:ascii="微软雅黑" w:hAnsi="微软雅黑" w:eastAsia="微软雅黑" w:cs="宋体"/>
                <w:color w:val="FF0000"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微软雅黑" w:hAnsi="微软雅黑" w:eastAsia="微软雅黑" w:cs="宋体"/>
                <w:color w:val="FF0000"/>
                <w:kern w:val="0"/>
                <w:szCs w:val="21"/>
              </w:rPr>
              <w:t>个工作日）。</w:t>
            </w:r>
          </w:p>
          <w:p w14:paraId="3856EF22">
            <w:pPr>
              <w:widowControl/>
              <w:spacing w:line="375" w:lineRule="atLeast"/>
              <w:ind w:firstLine="480"/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联系地址：浮梁县民福南路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  <w:lang w:val="en-US" w:eastAsia="zh-CN"/>
              </w:rPr>
              <w:t>浮梁生态环境局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，邮编：333400</w:t>
            </w:r>
          </w:p>
          <w:p w14:paraId="33CAD7BF">
            <w:pPr>
              <w:widowControl/>
              <w:spacing w:line="375" w:lineRule="atLeast"/>
              <w:ind w:firstLine="480"/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联系电话：0798-2626887</w:t>
            </w:r>
          </w:p>
          <w:tbl>
            <w:tblPr>
              <w:tblStyle w:val="12"/>
              <w:tblW w:w="0" w:type="auto"/>
              <w:tblInd w:w="0" w:type="dxa"/>
              <w:tblBorders>
                <w:top w:val="outset" w:color="000000" w:sz="6" w:space="0"/>
                <w:left w:val="outset" w:color="000000" w:sz="6" w:space="0"/>
                <w:bottom w:val="outset" w:color="000000" w:sz="6" w:space="0"/>
                <w:right w:val="outset" w:color="000000" w:sz="6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30" w:type="dxa"/>
                <w:left w:w="30" w:type="dxa"/>
                <w:bottom w:w="30" w:type="dxa"/>
                <w:right w:w="30" w:type="dxa"/>
              </w:tblCellMar>
            </w:tblPr>
            <w:tblGrid>
              <w:gridCol w:w="1483"/>
              <w:gridCol w:w="6642"/>
            </w:tblGrid>
            <w:tr w14:paraId="1B86201A">
              <w:tblPrEx>
                <w:tblBorders>
                  <w:top w:val="outset" w:color="000000" w:sz="6" w:space="0"/>
                  <w:left w:val="outset" w:color="000000" w:sz="6" w:space="0"/>
                  <w:bottom w:val="outset" w:color="000000" w:sz="6" w:space="0"/>
                  <w:right w:val="outset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30" w:type="dxa"/>
                  <w:left w:w="30" w:type="dxa"/>
                  <w:bottom w:w="30" w:type="dxa"/>
                  <w:right w:w="30" w:type="dxa"/>
                </w:tblCellMar>
              </w:tblPrEx>
              <w:tc>
                <w:tcPr>
                  <w:tcW w:w="1483" w:type="dxa"/>
                  <w:tcBorders>
                    <w:top w:val="outset" w:color="000000" w:sz="6" w:space="0"/>
                    <w:left w:val="outset" w:color="000000" w:sz="6" w:space="0"/>
                    <w:bottom w:val="outset" w:color="000000" w:sz="6" w:space="0"/>
                    <w:right w:val="outset" w:color="000000" w:sz="6" w:space="0"/>
                  </w:tcBorders>
                </w:tcPr>
                <w:p w14:paraId="7C0D22CF">
                  <w:pPr>
                    <w:widowControl/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  <w:lang w:eastAsia="zh-CN"/>
                    </w:rPr>
                    <w:t>项目名称：</w:t>
                  </w:r>
                </w:p>
              </w:tc>
              <w:tc>
                <w:tcPr>
                  <w:tcW w:w="6642" w:type="dxa"/>
                  <w:tcBorders>
                    <w:top w:val="outset" w:color="000000" w:sz="6" w:space="0"/>
                    <w:left w:val="outset" w:color="000000" w:sz="6" w:space="0"/>
                    <w:bottom w:val="outset" w:color="000000" w:sz="6" w:space="0"/>
                    <w:right w:val="outset" w:color="000000" w:sz="6" w:space="0"/>
                  </w:tcBorders>
                  <w:vAlign w:val="center"/>
                </w:tcPr>
                <w:p w14:paraId="37D6F1B9">
                  <w:pPr>
                    <w:widowControl/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color w:val="000000"/>
                      <w:sz w:val="24"/>
                      <w:highlight w:val="none"/>
                    </w:rPr>
                    <w:t>浮梁县农业生产废弃物收集及综合利用项目</w:t>
                  </w:r>
                </w:p>
              </w:tc>
            </w:tr>
            <w:tr w14:paraId="48E68AE3">
              <w:tblPrEx>
                <w:tblBorders>
                  <w:top w:val="outset" w:color="000000" w:sz="6" w:space="0"/>
                  <w:left w:val="outset" w:color="000000" w:sz="6" w:space="0"/>
                  <w:bottom w:val="outset" w:color="000000" w:sz="6" w:space="0"/>
                  <w:right w:val="outset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30" w:type="dxa"/>
                  <w:left w:w="30" w:type="dxa"/>
                  <w:bottom w:w="30" w:type="dxa"/>
                  <w:right w:w="30" w:type="dxa"/>
                </w:tblCellMar>
              </w:tblPrEx>
              <w:tc>
                <w:tcPr>
                  <w:tcW w:w="1483" w:type="dxa"/>
                  <w:tcBorders>
                    <w:top w:val="outset" w:color="000000" w:sz="6" w:space="0"/>
                    <w:left w:val="outset" w:color="000000" w:sz="6" w:space="0"/>
                    <w:bottom w:val="outset" w:color="000000" w:sz="6" w:space="0"/>
                    <w:right w:val="outset" w:color="000000" w:sz="6" w:space="0"/>
                  </w:tcBorders>
                </w:tcPr>
                <w:p w14:paraId="65B0D05D">
                  <w:pPr>
                    <w:widowControl/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eastAsia="zh-CN"/>
                    </w:rPr>
                    <w:t>建设单位：</w:t>
                  </w:r>
                </w:p>
              </w:tc>
              <w:tc>
                <w:tcPr>
                  <w:tcW w:w="6642" w:type="dxa"/>
                  <w:tcBorders>
                    <w:top w:val="outset" w:color="000000" w:sz="6" w:space="0"/>
                    <w:left w:val="outset" w:color="000000" w:sz="6" w:space="0"/>
                    <w:bottom w:val="outset" w:color="000000" w:sz="6" w:space="0"/>
                    <w:right w:val="outset" w:color="000000" w:sz="6" w:space="0"/>
                  </w:tcBorders>
                  <w:vAlign w:val="center"/>
                </w:tcPr>
                <w:p w14:paraId="15B9BA68">
                  <w:pPr>
                    <w:widowControl/>
                    <w:rPr>
                      <w:rFonts w:hint="default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color w:val="000000"/>
                      <w:sz w:val="24"/>
                      <w:highlight w:val="none"/>
                    </w:rPr>
                    <w:t>浮梁城市公共事业管理有限公司</w:t>
                  </w:r>
                </w:p>
              </w:tc>
            </w:tr>
            <w:tr w14:paraId="54B8B59E">
              <w:tblPrEx>
                <w:tblBorders>
                  <w:top w:val="outset" w:color="000000" w:sz="6" w:space="0"/>
                  <w:left w:val="outset" w:color="000000" w:sz="6" w:space="0"/>
                  <w:bottom w:val="outset" w:color="000000" w:sz="6" w:space="0"/>
                  <w:right w:val="outset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30" w:type="dxa"/>
                  <w:left w:w="30" w:type="dxa"/>
                  <w:bottom w:w="30" w:type="dxa"/>
                  <w:right w:w="30" w:type="dxa"/>
                </w:tblCellMar>
              </w:tblPrEx>
              <w:tc>
                <w:tcPr>
                  <w:tcW w:w="1483" w:type="dxa"/>
                  <w:tcBorders>
                    <w:top w:val="outset" w:color="000000" w:sz="6" w:space="0"/>
                    <w:left w:val="outset" w:color="000000" w:sz="6" w:space="0"/>
                    <w:bottom w:val="outset" w:color="000000" w:sz="6" w:space="0"/>
                    <w:right w:val="outset" w:color="000000" w:sz="6" w:space="0"/>
                  </w:tcBorders>
                </w:tcPr>
                <w:p w14:paraId="0D70E839">
                  <w:pPr>
                    <w:widowControl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建设地址：</w:t>
                  </w:r>
                </w:p>
              </w:tc>
              <w:tc>
                <w:tcPr>
                  <w:tcW w:w="6642" w:type="dxa"/>
                  <w:tcBorders>
                    <w:top w:val="outset" w:color="000000" w:sz="6" w:space="0"/>
                    <w:left w:val="outset" w:color="000000" w:sz="6" w:space="0"/>
                    <w:bottom w:val="outset" w:color="000000" w:sz="6" w:space="0"/>
                    <w:right w:val="outset" w:color="000000" w:sz="6" w:space="0"/>
                  </w:tcBorders>
                  <w:vAlign w:val="center"/>
                </w:tcPr>
                <w:p w14:paraId="7E90BF3F">
                  <w:pPr>
                    <w:widowControl/>
                    <w:rPr>
                      <w:rFonts w:hint="default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color w:val="000000"/>
                      <w:sz w:val="24"/>
                      <w:highlight w:val="none"/>
                      <w:lang w:eastAsia="zh-CN"/>
                    </w:rPr>
                    <w:t>浮梁县三龙镇奋进路北侧</w:t>
                  </w:r>
                </w:p>
              </w:tc>
            </w:tr>
            <w:tr w14:paraId="26DC2757">
              <w:tblPrEx>
                <w:tblBorders>
                  <w:top w:val="outset" w:color="000000" w:sz="6" w:space="0"/>
                  <w:left w:val="outset" w:color="000000" w:sz="6" w:space="0"/>
                  <w:bottom w:val="outset" w:color="000000" w:sz="6" w:space="0"/>
                  <w:right w:val="outset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30" w:type="dxa"/>
                  <w:left w:w="30" w:type="dxa"/>
                  <w:bottom w:w="30" w:type="dxa"/>
                  <w:right w:w="30" w:type="dxa"/>
                </w:tblCellMar>
              </w:tblPrEx>
              <w:tc>
                <w:tcPr>
                  <w:tcW w:w="1483" w:type="dxa"/>
                  <w:tcBorders>
                    <w:top w:val="outset" w:color="000000" w:sz="6" w:space="0"/>
                    <w:left w:val="outset" w:color="000000" w:sz="6" w:space="0"/>
                    <w:bottom w:val="outset" w:color="000000" w:sz="6" w:space="0"/>
                    <w:right w:val="outset" w:color="000000" w:sz="6" w:space="0"/>
                  </w:tcBorders>
                </w:tcPr>
                <w:p w14:paraId="31E16946">
                  <w:pPr>
                    <w:widowControl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环评机构：</w:t>
                  </w:r>
                </w:p>
              </w:tc>
              <w:tc>
                <w:tcPr>
                  <w:tcW w:w="6642" w:type="dxa"/>
                  <w:tcBorders>
                    <w:top w:val="outset" w:color="000000" w:sz="6" w:space="0"/>
                    <w:left w:val="outset" w:color="000000" w:sz="6" w:space="0"/>
                    <w:bottom w:val="outset" w:color="000000" w:sz="6" w:space="0"/>
                    <w:right w:val="outset" w:color="000000" w:sz="6" w:space="0"/>
                  </w:tcBorders>
                  <w:vAlign w:val="center"/>
                </w:tcPr>
                <w:p w14:paraId="30E08560">
                  <w:pPr>
                    <w:widowControl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color w:val="000000"/>
                      <w:sz w:val="24"/>
                      <w:highlight w:val="none"/>
                    </w:rPr>
                    <w:t>江西领航环保有限公司</w:t>
                  </w:r>
                </w:p>
              </w:tc>
            </w:tr>
            <w:tr w14:paraId="0063E0E0">
              <w:tblPrEx>
                <w:tblBorders>
                  <w:top w:val="outset" w:color="000000" w:sz="6" w:space="0"/>
                  <w:left w:val="outset" w:color="000000" w:sz="6" w:space="0"/>
                  <w:bottom w:val="outset" w:color="000000" w:sz="6" w:space="0"/>
                  <w:right w:val="outset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30" w:type="dxa"/>
                  <w:left w:w="30" w:type="dxa"/>
                  <w:bottom w:w="30" w:type="dxa"/>
                  <w:right w:w="30" w:type="dxa"/>
                </w:tblCellMar>
              </w:tblPrEx>
              <w:tc>
                <w:tcPr>
                  <w:tcW w:w="1483" w:type="dxa"/>
                  <w:tcBorders>
                    <w:top w:val="outset" w:color="000000" w:sz="6" w:space="0"/>
                    <w:left w:val="outset" w:color="000000" w:sz="6" w:space="0"/>
                    <w:bottom w:val="outset" w:color="000000" w:sz="6" w:space="0"/>
                    <w:right w:val="outset" w:color="000000" w:sz="6" w:space="0"/>
                  </w:tcBorders>
                </w:tcPr>
                <w:p w14:paraId="1EDBFD38">
                  <w:pPr>
                    <w:widowControl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项目概况:</w:t>
                  </w:r>
                </w:p>
              </w:tc>
              <w:tc>
                <w:tcPr>
                  <w:tcW w:w="6642" w:type="dxa"/>
                  <w:tcBorders>
                    <w:top w:val="outset" w:color="000000" w:sz="6" w:space="0"/>
                    <w:left w:val="outset" w:color="000000" w:sz="6" w:space="0"/>
                    <w:bottom w:val="outset" w:color="000000" w:sz="6" w:space="0"/>
                    <w:right w:val="outset" w:color="000000" w:sz="6" w:space="0"/>
                  </w:tcBorders>
                  <w:vAlign w:val="top"/>
                </w:tcPr>
                <w:p w14:paraId="5CC30166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浮梁城市公共事业管理有限公司拟投资38300.06万元，其中环保投资39万元，占总投资的0.1%，在</w:t>
                  </w:r>
                  <w:r>
                    <w:rPr>
                      <w:rFonts w:hint="eastAsia" w:ascii="Times New Roman" w:hAnsi="Times New Roman" w:eastAsia="宋体" w:cs="Times New Roman"/>
                      <w:color w:val="000000"/>
                      <w:sz w:val="24"/>
                      <w:highlight w:val="none"/>
                      <w:lang w:eastAsia="zh-CN"/>
                    </w:rPr>
                    <w:t>浮梁县三龙镇奋进路北侧</w:t>
                  </w:r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，厂址中心位置地理坐标：东</w:t>
                  </w:r>
                  <w:r>
                    <w:rPr>
                      <w:rFonts w:hint="default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117°7′</w:t>
                  </w:r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46.115</w:t>
                  </w:r>
                  <w:r>
                    <w:rPr>
                      <w:rFonts w:hint="default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"</w:t>
                  </w:r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，北纬</w:t>
                  </w:r>
                  <w:r>
                    <w:rPr>
                      <w:rFonts w:hint="default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29°23′</w:t>
                  </w:r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26.898</w:t>
                  </w:r>
                  <w:r>
                    <w:rPr>
                      <w:rFonts w:hint="default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"</w:t>
                  </w:r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，建设</w:t>
                  </w:r>
                  <w:r>
                    <w:rPr>
                      <w:rFonts w:hint="eastAsia" w:ascii="Times New Roman" w:hAnsi="Times New Roman" w:eastAsia="宋体" w:cs="Times New Roman"/>
                      <w:color w:val="000000"/>
                      <w:sz w:val="24"/>
                      <w:highlight w:val="none"/>
                    </w:rPr>
                    <w:t>浮梁县农业生产废弃物收集及综合利用项目</w:t>
                  </w:r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，项目建成后年产10万吨生物质燃料颗粒。</w:t>
                  </w:r>
                </w:p>
              </w:tc>
            </w:tr>
            <w:tr w14:paraId="7CC99C12">
              <w:tblPrEx>
                <w:tblBorders>
                  <w:top w:val="outset" w:color="000000" w:sz="6" w:space="0"/>
                  <w:left w:val="outset" w:color="000000" w:sz="6" w:space="0"/>
                  <w:bottom w:val="outset" w:color="000000" w:sz="6" w:space="0"/>
                  <w:right w:val="outset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30" w:type="dxa"/>
                  <w:left w:w="30" w:type="dxa"/>
                  <w:bottom w:w="30" w:type="dxa"/>
                  <w:right w:w="30" w:type="dxa"/>
                </w:tblCellMar>
              </w:tblPrEx>
              <w:tc>
                <w:tcPr>
                  <w:tcW w:w="1483" w:type="dxa"/>
                  <w:tcBorders>
                    <w:top w:val="outset" w:color="000000" w:sz="6" w:space="0"/>
                    <w:left w:val="outset" w:color="000000" w:sz="6" w:space="0"/>
                    <w:bottom w:val="outset" w:color="000000" w:sz="6" w:space="0"/>
                    <w:right w:val="outset" w:color="000000" w:sz="6" w:space="0"/>
                  </w:tcBorders>
                </w:tcPr>
                <w:p w14:paraId="386390C8">
                  <w:pPr>
                    <w:widowControl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主要环境影响及预防或者减轻不良环境影响的对策和措施</w:t>
                  </w:r>
                </w:p>
              </w:tc>
              <w:tc>
                <w:tcPr>
                  <w:tcW w:w="6642" w:type="dxa"/>
                  <w:tcBorders>
                    <w:top w:val="outset" w:color="000000" w:sz="6" w:space="0"/>
                    <w:left w:val="outset" w:color="000000" w:sz="6" w:space="0"/>
                    <w:bottom w:val="outset" w:color="000000" w:sz="6" w:space="0"/>
                    <w:right w:val="outset" w:color="000000" w:sz="6" w:space="0"/>
                  </w:tcBorders>
                </w:tcPr>
                <w:p w14:paraId="7494293E">
                  <w:pPr>
                    <w:pStyle w:val="5"/>
                    <w:spacing w:line="240" w:lineRule="auto"/>
                    <w:ind w:left="0" w:leftChars="0" w:firstLine="0" w:firstLineChars="0"/>
                    <w:rPr>
                      <w:rFonts w:hint="eastAsia" w:ascii="宋体" w:hAnsi="宋体" w:eastAsia="宋体" w:cs="宋体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lang w:val="en-US" w:eastAsia="zh-CN"/>
                    </w:rPr>
                    <w:t>1、废气</w:t>
                  </w:r>
                </w:p>
                <w:p w14:paraId="7516F472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default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项目运营期，废气污染源主要为烘干废气、粉碎废气、制粒废气、筛分废气、包装废气、原料卸料和贮存废气。烘干废气</w:t>
                  </w:r>
                  <w:r>
                    <w:rPr>
                      <w:rFonts w:hint="eastAsia" w:ascii="Times New Roman" w:hAnsi="Times New Roman" w:eastAsia="宋体" w:cs="Times New Roman"/>
                      <w:bCs/>
                      <w:color w:val="000000"/>
                      <w:sz w:val="24"/>
                      <w:highlight w:val="none"/>
                      <w:lang w:val="en-US" w:eastAsia="zh-CN"/>
                    </w:rPr>
                    <w:t>经密闭管道收集，收集后的粉尘经布袋除尘器进行处理，最后通过1根15m高排气筒（DA001）排放。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粉碎废气、制粒废气、筛分废气和包装废气通过集气罩收集，收集后的粉尘经布袋除尘器进行处理，最后通过1根15m高排气筒（DA001）排放。</w:t>
                  </w:r>
                  <w:r>
                    <w:rPr>
                      <w:rFonts w:hint="default" w:ascii="宋体" w:hAnsi="宋体" w:eastAsia="宋体" w:cs="宋体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原料卸料和贮存粉尘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经</w:t>
                  </w:r>
                  <w:r>
                    <w:rPr>
                      <w:rFonts w:hint="default" w:ascii="宋体" w:hAnsi="宋体" w:eastAsia="宋体" w:cs="宋体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喷雾降尘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处理后无组织排放</w:t>
                  </w:r>
                  <w:r>
                    <w:rPr>
                      <w:rFonts w:hint="default" w:ascii="宋体" w:hAnsi="宋体" w:eastAsia="宋体" w:cs="宋体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。</w:t>
                  </w:r>
                </w:p>
                <w:p w14:paraId="4ED30077">
                  <w:pPr>
                    <w:pStyle w:val="5"/>
                    <w:numPr>
                      <w:ilvl w:val="0"/>
                      <w:numId w:val="0"/>
                    </w:numPr>
                    <w:ind w:leftChars="0"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  <w:lang w:val="en-US" w:eastAsia="zh-CN"/>
                    </w:rPr>
                    <w:t>2、废水</w:t>
                  </w:r>
                </w:p>
                <w:p w14:paraId="6406BCD3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  <w:r>
                    <w:rPr>
                      <w:rFonts w:hint="default" w:ascii="宋体" w:hAnsi="宋体" w:eastAsia="宋体" w:cs="宋体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项目运营期废水主要为生活污水，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厂区外污水管网建成投运前，生活污水经化粪池处理后用于周边林地清捞施肥，待园区配套管网建成并完成厂区接驳后，</w:t>
                  </w:r>
                  <w:r>
                    <w:rPr>
                      <w:rFonts w:hint="default" w:ascii="宋体" w:hAnsi="宋体" w:eastAsia="宋体" w:cs="宋体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经化粪池预处理达到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三龙</w:t>
                  </w:r>
                  <w:r>
                    <w:rPr>
                      <w:rFonts w:hint="default" w:ascii="宋体" w:hAnsi="宋体" w:eastAsia="宋体" w:cs="宋体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污水处理厂接管标准后，通过污水管网接入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三龙</w:t>
                  </w:r>
                  <w:r>
                    <w:rPr>
                      <w:rFonts w:hint="default" w:ascii="宋体" w:hAnsi="宋体" w:eastAsia="宋体" w:cs="宋体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污水处理厂深度处理达到《城镇污水处理厂污染物排放标准》（GB18918-2002）表1中一级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A</w:t>
                  </w:r>
                  <w:r>
                    <w:rPr>
                      <w:rFonts w:hint="default" w:ascii="宋体" w:hAnsi="宋体" w:eastAsia="宋体" w:cs="宋体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标准。</w:t>
                  </w:r>
                </w:p>
                <w:p w14:paraId="18D93B5F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  <w:lang w:val="en-US" w:eastAsia="zh-CN"/>
                    </w:rPr>
                    <w:t>3、噪声</w:t>
                  </w:r>
                </w:p>
                <w:p w14:paraId="79B67AAA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项目营运期主要噪声源为生产设备、风机等产生的噪声，其声级在80~90dB（A）之间，经过隔声、减振及厂区距离衰减后，厂区边界噪声能够满足《工业企业厂界环境噪声排放标准》（GB12348-2008）2类标准要求。</w:t>
                  </w:r>
                </w:p>
                <w:p w14:paraId="4497093E">
                  <w:pPr>
                    <w:keepNext w:val="0"/>
                    <w:keepLines w:val="0"/>
                    <w:widowControl/>
                    <w:numPr>
                      <w:ilvl w:val="0"/>
                      <w:numId w:val="1"/>
                    </w:numPr>
                    <w:suppressLineNumbers w:val="0"/>
                    <w:spacing w:line="240" w:lineRule="auto"/>
                    <w:jc w:val="left"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  <w:lang w:val="en-US" w:eastAsia="zh-CN"/>
                    </w:rPr>
                    <w:t>固体废物</w:t>
                  </w:r>
                </w:p>
                <w:p w14:paraId="3580729C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本项目生产过程产生的固体废物主要是废包装材料、废金属、不合格品、废布袋、布袋收集尘、废机油、废机油桶、废抹布以及员工生活垃圾。废包装材料、废金属、废布袋、布袋收集尘收集后暂存一般固体废物暂存间（20m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  <w:vertAlign w:val="superscript"/>
                      <w:lang w:val="en-US" w:eastAsia="zh-CN" w:bidi="ar"/>
                    </w:rPr>
                    <w:t>2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）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，外售综合利用，不合格品全部返回原料仓重新制粒，实现内部循环回用。废机油、废机油桶、废抹布收集后统一存放在危险废物暂存库（10m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  <w:vertAlign w:val="superscript"/>
                      <w:lang w:val="en-US" w:eastAsia="zh-CN" w:bidi="ar"/>
                    </w:rPr>
                    <w:t>2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）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，定期交给有资质单位进行处理。生活垃圾应及时集中收集，交由环卫部门统一清运处理。</w:t>
                  </w:r>
                </w:p>
                <w:p w14:paraId="613EAA7F">
                  <w:pPr>
                    <w:pStyle w:val="5"/>
                    <w:numPr>
                      <w:ilvl w:val="0"/>
                      <w:numId w:val="0"/>
                    </w:numPr>
                    <w:spacing w:line="240" w:lineRule="auto"/>
                    <w:ind w:leftChars="0"/>
                    <w:rPr>
                      <w:rFonts w:hint="eastAsia" w:ascii="Times New Roman" w:hAnsi="Times New Roman" w:eastAsia="宋体" w:cs="Times New Roman"/>
                      <w:color w:val="auto"/>
                      <w:kern w:val="2"/>
                      <w:szCs w:val="24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color w:val="auto"/>
                      <w:kern w:val="2"/>
                      <w:szCs w:val="24"/>
                      <w:highlight w:val="none"/>
                      <w:lang w:val="en-US" w:eastAsia="zh-CN" w:bidi="ar-SA"/>
                    </w:rPr>
                    <w:t>5、地下水、土壤环境</w:t>
                  </w:r>
                </w:p>
                <w:p w14:paraId="347A7EEF">
                  <w:pPr>
                    <w:pStyle w:val="5"/>
                    <w:numPr>
                      <w:ilvl w:val="0"/>
                      <w:numId w:val="0"/>
                    </w:numPr>
                    <w:spacing w:line="240" w:lineRule="auto"/>
                    <w:ind w:leftChars="0"/>
                    <w:rPr>
                      <w:rFonts w:hint="eastAsia" w:ascii="Times New Roman" w:hAnsi="Times New Roman" w:eastAsia="宋体" w:cs="Times New Roman"/>
                      <w:color w:val="auto"/>
                      <w:kern w:val="2"/>
                      <w:szCs w:val="24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color w:val="auto"/>
                      <w:kern w:val="2"/>
                      <w:szCs w:val="24"/>
                      <w:highlight w:val="none"/>
                      <w:lang w:val="en-US" w:eastAsia="zh-CN" w:bidi="ar-SA"/>
                    </w:rPr>
                    <w:t>对项目厂区地面分区域进行相应的防腐防渗处理。</w:t>
                  </w:r>
                </w:p>
                <w:p w14:paraId="5356786B">
                  <w:pPr>
                    <w:numPr>
                      <w:ilvl w:val="0"/>
                      <w:numId w:val="0"/>
                    </w:numPr>
                    <w:ind w:leftChars="0"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  <w:lang w:val="en-US" w:eastAsia="zh-CN"/>
                    </w:rPr>
                    <w:t>6、环境风险防范</w:t>
                  </w:r>
                </w:p>
                <w:p w14:paraId="281D4B12">
                  <w:pPr>
                    <w:pStyle w:val="5"/>
                    <w:numPr>
                      <w:ilvl w:val="0"/>
                      <w:numId w:val="0"/>
                    </w:numPr>
                    <w:spacing w:line="240" w:lineRule="auto"/>
                    <w:ind w:leftChars="0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ascii="Times New Roman" w:hAnsi="Times New Roman" w:eastAsia="宋体" w:cs="Times New Roman"/>
                      <w:color w:val="auto"/>
                      <w:kern w:val="2"/>
                      <w:szCs w:val="24"/>
                      <w:highlight w:val="none"/>
                      <w:lang w:val="en-US" w:bidi="ar-SA"/>
                    </w:rPr>
                    <w:t>建设单位应严格落实环评提出</w:t>
                  </w:r>
                  <w:r>
                    <w:rPr>
                      <w:rFonts w:hint="eastAsia" w:ascii="Times New Roman" w:hAnsi="Times New Roman" w:eastAsia="宋体" w:cs="Times New Roman"/>
                      <w:color w:val="auto"/>
                      <w:kern w:val="2"/>
                      <w:szCs w:val="24"/>
                      <w:highlight w:val="none"/>
                      <w:lang w:val="en-US" w:eastAsia="zh-CN" w:bidi="ar-SA"/>
                    </w:rPr>
                    <w:t>的</w:t>
                  </w:r>
                  <w:r>
                    <w:rPr>
                      <w:rFonts w:ascii="Times New Roman" w:hAnsi="Times New Roman" w:eastAsia="宋体" w:cs="Times New Roman"/>
                      <w:color w:val="auto"/>
                      <w:kern w:val="2"/>
                      <w:szCs w:val="24"/>
                      <w:highlight w:val="none"/>
                      <w:lang w:val="en-US" w:bidi="ar-SA"/>
                    </w:rPr>
                    <w:t>各项措施和要求，做好各项风险的预防和应急措施。</w:t>
                  </w:r>
                </w:p>
              </w:tc>
            </w:tr>
          </w:tbl>
          <w:p w14:paraId="52A237BF">
            <w:pPr>
              <w:widowControl/>
              <w:spacing w:line="375" w:lineRule="atLeast"/>
              <w:ind w:firstLine="375"/>
              <w:jc w:val="left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</w:p>
        </w:tc>
      </w:tr>
    </w:tbl>
    <w:p w14:paraId="570A95DE"/>
    <w:p w14:paraId="0F060618">
      <w:pPr>
        <w:bidi w:val="0"/>
        <w:rPr>
          <w:rFonts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 w14:paraId="1FCA444C">
      <w:pPr>
        <w:bidi w:val="0"/>
        <w:rPr>
          <w:lang w:val="en-US" w:eastAsia="zh-CN"/>
        </w:rPr>
      </w:pPr>
    </w:p>
    <w:p w14:paraId="51173F41">
      <w:pPr>
        <w:bidi w:val="0"/>
        <w:rPr>
          <w:lang w:val="en-US" w:eastAsia="zh-CN"/>
        </w:rPr>
      </w:pPr>
    </w:p>
    <w:p w14:paraId="0C8B1C74">
      <w:pPr>
        <w:bidi w:val="0"/>
        <w:rPr>
          <w:lang w:val="en-US" w:eastAsia="zh-CN"/>
        </w:rPr>
      </w:pPr>
    </w:p>
    <w:p w14:paraId="40F396DC">
      <w:pPr>
        <w:bidi w:val="0"/>
        <w:rPr>
          <w:lang w:val="en-US" w:eastAsia="zh-CN"/>
        </w:rPr>
      </w:pPr>
    </w:p>
    <w:p w14:paraId="3D3BB0EA">
      <w:pPr>
        <w:bidi w:val="0"/>
        <w:rPr>
          <w:lang w:val="en-US" w:eastAsia="zh-CN"/>
        </w:rPr>
      </w:pPr>
    </w:p>
    <w:p w14:paraId="6F9AA5D5">
      <w:pPr>
        <w:bidi w:val="0"/>
        <w:rPr>
          <w:lang w:val="en-US" w:eastAsia="zh-CN"/>
        </w:rPr>
      </w:pPr>
    </w:p>
    <w:p w14:paraId="1844EFD4">
      <w:pPr>
        <w:bidi w:val="0"/>
        <w:rPr>
          <w:lang w:val="en-US" w:eastAsia="zh-CN"/>
        </w:rPr>
      </w:pPr>
    </w:p>
    <w:p w14:paraId="2F8E634E">
      <w:pPr>
        <w:bidi w:val="0"/>
        <w:rPr>
          <w:lang w:val="en-US" w:eastAsia="zh-CN"/>
        </w:rPr>
      </w:pPr>
    </w:p>
    <w:p w14:paraId="5A5A64AD">
      <w:pPr>
        <w:bidi w:val="0"/>
        <w:rPr>
          <w:lang w:val="en-US" w:eastAsia="zh-CN"/>
        </w:rPr>
      </w:pPr>
    </w:p>
    <w:p w14:paraId="5618FD67">
      <w:pPr>
        <w:bidi w:val="0"/>
        <w:rPr>
          <w:lang w:val="en-US" w:eastAsia="zh-CN"/>
        </w:rPr>
      </w:pPr>
    </w:p>
    <w:p w14:paraId="7CFCBD05">
      <w:pPr>
        <w:bidi w:val="0"/>
        <w:rPr>
          <w:lang w:val="en-US" w:eastAsia="zh-CN"/>
        </w:rPr>
      </w:pPr>
    </w:p>
    <w:p w14:paraId="58479F61">
      <w:pPr>
        <w:bidi w:val="0"/>
        <w:rPr>
          <w:lang w:val="en-US" w:eastAsia="zh-CN"/>
        </w:rPr>
      </w:pPr>
    </w:p>
    <w:p w14:paraId="2FD51B6B">
      <w:pPr>
        <w:bidi w:val="0"/>
        <w:rPr>
          <w:lang w:val="en-US" w:eastAsia="zh-CN"/>
        </w:rPr>
      </w:pPr>
    </w:p>
    <w:p w14:paraId="421874D5">
      <w:pPr>
        <w:bidi w:val="0"/>
        <w:jc w:val="center"/>
        <w:rPr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ngLiU">
    <w:altName w:val="PMingLiU-ExtB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79FE04"/>
    <w:multiLevelType w:val="singleLevel"/>
    <w:tmpl w:val="5F79FE04"/>
    <w:lvl w:ilvl="0" w:tentative="0">
      <w:start w:val="4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VlYTczNjg2ZGViYWI3ZjUyNGRmMmRkOGI0MWVlMGUifQ=="/>
  </w:docVars>
  <w:rsids>
    <w:rsidRoot w:val="00E805A3"/>
    <w:rsid w:val="0039402E"/>
    <w:rsid w:val="00762E3C"/>
    <w:rsid w:val="00E805A3"/>
    <w:rsid w:val="085B4428"/>
    <w:rsid w:val="085F399E"/>
    <w:rsid w:val="0A8B4C59"/>
    <w:rsid w:val="0BA336E9"/>
    <w:rsid w:val="0C7C6AB8"/>
    <w:rsid w:val="0CFC4683"/>
    <w:rsid w:val="0E3B71C3"/>
    <w:rsid w:val="1786371B"/>
    <w:rsid w:val="1848110F"/>
    <w:rsid w:val="1C7313F8"/>
    <w:rsid w:val="1CD05AAA"/>
    <w:rsid w:val="1E665DA3"/>
    <w:rsid w:val="1EE0798F"/>
    <w:rsid w:val="21353540"/>
    <w:rsid w:val="21716467"/>
    <w:rsid w:val="22046BDF"/>
    <w:rsid w:val="24C37B55"/>
    <w:rsid w:val="28891F69"/>
    <w:rsid w:val="28D94453"/>
    <w:rsid w:val="2A5F21F6"/>
    <w:rsid w:val="2B552083"/>
    <w:rsid w:val="2D617843"/>
    <w:rsid w:val="2DF357BC"/>
    <w:rsid w:val="30CF487C"/>
    <w:rsid w:val="33BC7085"/>
    <w:rsid w:val="365E2D9B"/>
    <w:rsid w:val="38FD64F2"/>
    <w:rsid w:val="390F65AD"/>
    <w:rsid w:val="3AC8077D"/>
    <w:rsid w:val="3C015C8B"/>
    <w:rsid w:val="3D404AB5"/>
    <w:rsid w:val="3E2D42D5"/>
    <w:rsid w:val="409029BC"/>
    <w:rsid w:val="419F3086"/>
    <w:rsid w:val="484425CD"/>
    <w:rsid w:val="486334E9"/>
    <w:rsid w:val="496E0268"/>
    <w:rsid w:val="4CD570C6"/>
    <w:rsid w:val="4D4D0242"/>
    <w:rsid w:val="4D6372B0"/>
    <w:rsid w:val="4D8B1DF5"/>
    <w:rsid w:val="4DCA7480"/>
    <w:rsid w:val="4F67162E"/>
    <w:rsid w:val="4FE20D52"/>
    <w:rsid w:val="5137755A"/>
    <w:rsid w:val="51525C3C"/>
    <w:rsid w:val="51CF544F"/>
    <w:rsid w:val="52321867"/>
    <w:rsid w:val="53B048A1"/>
    <w:rsid w:val="54A275A4"/>
    <w:rsid w:val="54F81F6D"/>
    <w:rsid w:val="569A7B22"/>
    <w:rsid w:val="5F163E54"/>
    <w:rsid w:val="5FF4239D"/>
    <w:rsid w:val="60413681"/>
    <w:rsid w:val="629D09E0"/>
    <w:rsid w:val="65BD3B52"/>
    <w:rsid w:val="68031B8E"/>
    <w:rsid w:val="69DA04B2"/>
    <w:rsid w:val="6A8C37E0"/>
    <w:rsid w:val="6B8C0BFF"/>
    <w:rsid w:val="6B9243C2"/>
    <w:rsid w:val="6D3B1B38"/>
    <w:rsid w:val="6F417C94"/>
    <w:rsid w:val="6F68013D"/>
    <w:rsid w:val="73A905BB"/>
    <w:rsid w:val="74440737"/>
    <w:rsid w:val="7916649B"/>
    <w:rsid w:val="7C5357AF"/>
    <w:rsid w:val="7D0351A7"/>
    <w:rsid w:val="7DC76D29"/>
    <w:rsid w:val="7F083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0" w:semiHidden="0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qFormat="1" w:unhideWhenUsed="0" w:uiPriority="39" w:semiHidden="0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2"/>
    <w:basedOn w:val="1"/>
    <w:next w:val="1"/>
    <w:link w:val="17"/>
    <w:autoRedefine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360" w:lineRule="auto"/>
      <w:outlineLvl w:val="2"/>
    </w:pPr>
    <w:rPr>
      <w:rFonts w:ascii="Times New Roman" w:hAnsi="Times New Roman" w:eastAsia="宋体"/>
      <w:b/>
      <w:sz w:val="24"/>
    </w:rPr>
  </w:style>
  <w:style w:type="paragraph" w:styleId="5">
    <w:name w:val="heading 4"/>
    <w:basedOn w:val="1"/>
    <w:next w:val="1"/>
    <w:autoRedefine/>
    <w:qFormat/>
    <w:uiPriority w:val="9"/>
    <w:pPr>
      <w:keepNext/>
      <w:keepLines/>
      <w:spacing w:line="440" w:lineRule="exact"/>
      <w:ind w:firstLine="200" w:firstLineChars="200"/>
      <w:outlineLvl w:val="3"/>
    </w:pPr>
    <w:rPr>
      <w:rFonts w:ascii="黑体" w:hAnsi="黑体" w:eastAsia="MingLiU" w:cs="Arial Unicode MS"/>
      <w:bCs/>
      <w:sz w:val="24"/>
      <w:szCs w:val="28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1"/>
    <w:next w:val="1"/>
    <w:unhideWhenUsed/>
    <w:qFormat/>
    <w:uiPriority w:val="99"/>
    <w:pPr>
      <w:ind w:firstLine="420" w:firstLineChars="100"/>
    </w:pPr>
    <w:rPr>
      <w:szCs w:val="24"/>
    </w:rPr>
  </w:style>
  <w:style w:type="paragraph" w:styleId="6">
    <w:name w:val="Normal Indent"/>
    <w:basedOn w:val="1"/>
    <w:qFormat/>
    <w:uiPriority w:val="0"/>
    <w:pPr>
      <w:ind w:firstLine="200" w:firstLineChars="200"/>
    </w:pPr>
    <w:rPr>
      <w:sz w:val="28"/>
      <w:szCs w:val="20"/>
    </w:rPr>
  </w:style>
  <w:style w:type="paragraph" w:styleId="7">
    <w:name w:val="Body Text"/>
    <w:basedOn w:val="1"/>
    <w:next w:val="1"/>
    <w:qFormat/>
    <w:uiPriority w:val="0"/>
    <w:pPr>
      <w:widowControl/>
      <w:snapToGrid w:val="0"/>
      <w:spacing w:before="60" w:after="160" w:line="259" w:lineRule="auto"/>
      <w:ind w:right="113"/>
    </w:pPr>
    <w:rPr>
      <w:kern w:val="0"/>
      <w:sz w:val="18"/>
      <w:szCs w:val="20"/>
    </w:rPr>
  </w:style>
  <w:style w:type="paragraph" w:styleId="8">
    <w:name w:val="Body Text Indent"/>
    <w:basedOn w:val="1"/>
    <w:next w:val="1"/>
    <w:qFormat/>
    <w:uiPriority w:val="0"/>
    <w:pPr>
      <w:spacing w:after="120"/>
      <w:ind w:left="420" w:leftChars="200"/>
    </w:pPr>
    <w:rPr>
      <w:kern w:val="0"/>
      <w:sz w:val="24"/>
      <w:szCs w:val="20"/>
    </w:rPr>
  </w:style>
  <w:style w:type="paragraph" w:styleId="9">
    <w:name w:val="toc 5"/>
    <w:basedOn w:val="1"/>
    <w:next w:val="1"/>
    <w:qFormat/>
    <w:uiPriority w:val="39"/>
    <w:pPr>
      <w:ind w:left="960"/>
      <w:jc w:val="left"/>
    </w:pPr>
    <w:rPr>
      <w:sz w:val="18"/>
      <w:szCs w:val="18"/>
    </w:rPr>
  </w:style>
  <w:style w:type="paragraph" w:styleId="10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1">
    <w:name w:val="Body Text First Indent 2"/>
    <w:basedOn w:val="8"/>
    <w:qFormat/>
    <w:uiPriority w:val="0"/>
    <w:pPr>
      <w:ind w:firstLine="420" w:firstLineChars="200"/>
    </w:p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5">
    <w:name w:val="表格"/>
    <w:basedOn w:val="16"/>
    <w:next w:val="1"/>
    <w:qFormat/>
    <w:uiPriority w:val="0"/>
    <w:pPr>
      <w:adjustRightInd w:val="0"/>
      <w:snapToGrid w:val="0"/>
      <w:spacing w:line="360" w:lineRule="exact"/>
      <w:jc w:val="center"/>
    </w:pPr>
    <w:rPr>
      <w:rFonts w:ascii="Times New Roman" w:hAnsi="Times New Roman" w:eastAsia="宋体" w:cs="Times New Roman"/>
      <w:kern w:val="0"/>
      <w:sz w:val="21"/>
      <w:szCs w:val="21"/>
    </w:rPr>
  </w:style>
  <w:style w:type="paragraph" w:customStyle="1" w:styleId="16">
    <w:name w:val="表格内表格正文"/>
    <w:basedOn w:val="1"/>
    <w:qFormat/>
    <w:uiPriority w:val="0"/>
    <w:pPr>
      <w:spacing w:line="240" w:lineRule="auto"/>
      <w:ind w:firstLine="0"/>
      <w:jc w:val="center"/>
    </w:pPr>
    <w:rPr>
      <w:sz w:val="21"/>
      <w:szCs w:val="21"/>
    </w:rPr>
  </w:style>
  <w:style w:type="character" w:customStyle="1" w:styleId="17">
    <w:name w:val="标题 2 字符"/>
    <w:basedOn w:val="14"/>
    <w:link w:val="3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paragraph" w:customStyle="1" w:styleId="18">
    <w:name w:val="Default1"/>
    <w:basedOn w:val="19"/>
    <w:next w:val="1"/>
    <w:autoRedefine/>
    <w:qFormat/>
    <w:uiPriority w:val="0"/>
    <w:rPr>
      <w:rFonts w:cs="宋体"/>
      <w:color w:val="000000"/>
    </w:rPr>
  </w:style>
  <w:style w:type="paragraph" w:customStyle="1" w:styleId="19">
    <w:name w:val="Normal_14_0"/>
    <w:autoRedefine/>
    <w:qFormat/>
    <w:uiPriority w:val="0"/>
    <w:pPr>
      <w:spacing w:before="120" w:after="240"/>
      <w:jc w:val="both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customStyle="1" w:styleId="20">
    <w:name w:val="样式23"/>
    <w:basedOn w:val="1"/>
    <w:qFormat/>
    <w:uiPriority w:val="0"/>
    <w:pPr>
      <w:spacing w:line="360" w:lineRule="auto"/>
      <w:ind w:firstLine="480" w:firstLineChars="200"/>
      <w:jc w:val="left"/>
    </w:pPr>
    <w:rPr>
      <w:rFonts w:ascii="宋体" w:hAnsi="宋体"/>
      <w:color w:val="000000"/>
      <w:kern w:val="0"/>
      <w:sz w:val="24"/>
      <w:szCs w:val="24"/>
    </w:rPr>
  </w:style>
  <w:style w:type="paragraph" w:customStyle="1" w:styleId="21">
    <w:name w:val="样式 正文缩进s4标题4表正文正文非缩进图标题段1Body Text(ch)缩进ALT+Z特点四号正文不..."/>
    <w:basedOn w:val="6"/>
    <w:qFormat/>
    <w:uiPriority w:val="0"/>
    <w:pPr>
      <w:widowControl/>
      <w:adjustRightInd w:val="0"/>
      <w:snapToGrid w:val="0"/>
      <w:spacing w:line="360" w:lineRule="auto"/>
      <w:ind w:firstLine="472"/>
      <w:jc w:val="left"/>
    </w:pPr>
    <w:rPr>
      <w:rFonts w:ascii="宋体" w:hAnsi="宋体"/>
      <w:spacing w:val="-2"/>
      <w:szCs w:val="20"/>
    </w:rPr>
  </w:style>
  <w:style w:type="paragraph" w:customStyle="1" w:styleId="22">
    <w:name w:val="正文格式"/>
    <w:basedOn w:val="1"/>
    <w:qFormat/>
    <w:uiPriority w:val="0"/>
    <w:pPr>
      <w:spacing w:line="360" w:lineRule="auto"/>
      <w:ind w:firstLine="544" w:firstLineChars="200"/>
    </w:pPr>
    <w:rPr>
      <w:rFonts w:cs="MingLiU"/>
      <w:kern w:val="0"/>
      <w:sz w:val="24"/>
    </w:rPr>
  </w:style>
  <w:style w:type="paragraph" w:customStyle="1" w:styleId="23">
    <w:name w:val="文本"/>
    <w:basedOn w:val="1"/>
    <w:qFormat/>
    <w:uiPriority w:val="0"/>
    <w:pPr>
      <w:spacing w:line="360" w:lineRule="auto"/>
      <w:ind w:firstLine="480" w:firstLineChars="200"/>
    </w:pPr>
    <w:rPr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923</Words>
  <Characters>1011</Characters>
  <Lines>9</Lines>
  <Paragraphs>2</Paragraphs>
  <TotalTime>0</TotalTime>
  <ScaleCrop>false</ScaleCrop>
  <LinksUpToDate>false</LinksUpToDate>
  <CharactersWithSpaces>1012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2020-09-25T03:50:00Z</dcterms:created>
  <dc:creator>程 P</dc:creator>
  <cp:lastModifiedBy>弓长火習</cp:lastModifiedBy>
  <dcterms:modified xsi:type="dcterms:W3CDTF">2026-09-20T01:52:32Z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F6F3B869CD244421A14ACB0D23823D18_13</vt:lpwstr>
  </property>
  <property fmtid="{D5CDD505-2E9C-101B-9397-08002B2CF9AE}" pid="4" name="KSOTemplateDocerSaveRecord">
    <vt:lpwstr>eyJoZGlkIjoiNDVlYTczNjg2ZGViYWI3ZjUyNGRmMmRkOGI0MWVlMGUiLCJ1c2VySWQiOiIxMTUwMjMxMzM2In0=</vt:lpwstr>
  </property>
</Properties>
</file>