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4900" w:type="pct"/>
        <w:tblCellSpacing w:w="0" w:type="dxa"/>
        <w:tblInd w:w="0" w:type="dxa"/>
        <w:shd w:val="clear" w:color="auto" w:fill="FFFFFF"/>
        <w:tblLayout w:type="autofit"/>
        <w:tblCellMar>
          <w:top w:w="0" w:type="dxa"/>
          <w:left w:w="0" w:type="dxa"/>
          <w:bottom w:w="0" w:type="dxa"/>
          <w:right w:w="0" w:type="dxa"/>
        </w:tblCellMar>
      </w:tblPr>
      <w:tblGrid>
        <w:gridCol w:w="8140"/>
      </w:tblGrid>
      <w:tr w14:paraId="6A997009">
        <w:tblPrEx>
          <w:shd w:val="clear" w:color="auto" w:fill="FFFFFF"/>
          <w:tblCellMar>
            <w:top w:w="0" w:type="dxa"/>
            <w:left w:w="0" w:type="dxa"/>
            <w:bottom w:w="0" w:type="dxa"/>
            <w:right w:w="0" w:type="dxa"/>
          </w:tblCellMar>
        </w:tblPrEx>
        <w:trPr>
          <w:trHeight w:val="810" w:hRule="atLeast"/>
          <w:tblCellSpacing w:w="0" w:type="dxa"/>
        </w:trPr>
        <w:tc>
          <w:tcPr>
            <w:tcW w:w="5000" w:type="pct"/>
            <w:shd w:val="clear" w:color="auto" w:fill="FFFFFF"/>
            <w:vAlign w:val="center"/>
          </w:tcPr>
          <w:p w14:paraId="55DE9513">
            <w:pPr>
              <w:widowControl/>
              <w:spacing w:before="100" w:beforeAutospacing="1" w:after="100" w:afterAutospacing="1"/>
              <w:jc w:val="center"/>
              <w:outlineLvl w:val="1"/>
              <w:rPr>
                <w:rFonts w:ascii="微软雅黑" w:hAnsi="微软雅黑" w:eastAsia="微软雅黑" w:cs="宋体"/>
                <w:b/>
                <w:bCs/>
                <w:color w:val="CC3300"/>
                <w:kern w:val="0"/>
                <w:sz w:val="36"/>
                <w:szCs w:val="36"/>
              </w:rPr>
            </w:pPr>
            <w:bookmarkStart w:id="0" w:name="_GoBack"/>
            <w:r>
              <w:rPr>
                <w:rFonts w:hint="eastAsia" w:ascii="微软雅黑" w:hAnsi="微软雅黑" w:eastAsia="微软雅黑" w:cs="宋体"/>
                <w:b/>
                <w:bCs/>
                <w:color w:val="CC3300"/>
                <w:kern w:val="0"/>
                <w:sz w:val="36"/>
                <w:szCs w:val="36"/>
                <w:lang w:val="en-US" w:eastAsia="zh-CN"/>
              </w:rPr>
              <w:t>景德镇市森宏精密制造有限公司塑料零部件生产项目</w:t>
            </w:r>
            <w:r>
              <w:rPr>
                <w:rFonts w:hint="eastAsia" w:ascii="微软雅黑" w:hAnsi="微软雅黑" w:eastAsia="微软雅黑" w:cs="宋体"/>
                <w:b/>
                <w:bCs/>
                <w:color w:val="CC3300"/>
                <w:kern w:val="0"/>
                <w:sz w:val="36"/>
                <w:szCs w:val="36"/>
              </w:rPr>
              <w:t>拟审批公示</w:t>
            </w:r>
            <w:bookmarkEnd w:id="0"/>
          </w:p>
        </w:tc>
      </w:tr>
      <w:tr w14:paraId="26FE2DBF">
        <w:tblPrEx>
          <w:shd w:val="clear" w:color="auto" w:fill="FFFFFF"/>
          <w:tblCellMar>
            <w:top w:w="0" w:type="dxa"/>
            <w:left w:w="0" w:type="dxa"/>
            <w:bottom w:w="0" w:type="dxa"/>
            <w:right w:w="0" w:type="dxa"/>
          </w:tblCellMar>
        </w:tblPrEx>
        <w:trPr>
          <w:trHeight w:val="6480" w:hRule="atLeast"/>
          <w:tblCellSpacing w:w="0" w:type="dxa"/>
        </w:trPr>
        <w:tc>
          <w:tcPr>
            <w:tcW w:w="5000" w:type="pct"/>
            <w:shd w:val="clear" w:color="auto" w:fill="FFFFFF"/>
          </w:tcPr>
          <w:p w14:paraId="44A394FC">
            <w:pPr>
              <w:widowControl/>
              <w:spacing w:line="375" w:lineRule="atLeast"/>
              <w:ind w:firstLine="480"/>
              <w:rPr>
                <w:rFonts w:hint="eastAsia" w:ascii="微软雅黑" w:hAnsi="微软雅黑" w:eastAsia="微软雅黑" w:cs="宋体"/>
                <w:color w:val="FF0000"/>
                <w:kern w:val="0"/>
                <w:szCs w:val="21"/>
              </w:rPr>
            </w:pPr>
            <w:r>
              <w:rPr>
                <w:rFonts w:hint="eastAsia" w:ascii="微软雅黑" w:hAnsi="微软雅黑" w:eastAsia="微软雅黑" w:cs="宋体"/>
                <w:color w:val="000000"/>
                <w:kern w:val="0"/>
                <w:szCs w:val="21"/>
              </w:rPr>
              <w:t>根据建设项目环境影响评价审批程序及信息公开的有关规定，我局拟对《</w:t>
            </w:r>
            <w:r>
              <w:rPr>
                <w:rFonts w:hint="eastAsia" w:ascii="微软雅黑" w:hAnsi="微软雅黑" w:eastAsia="微软雅黑" w:cs="宋体"/>
                <w:color w:val="000000"/>
                <w:kern w:val="0"/>
                <w:szCs w:val="21"/>
                <w:lang w:val="en-US" w:eastAsia="zh-CN"/>
              </w:rPr>
              <w:t>景德镇市森宏精密制造有限公司塑料零部件生产项目</w:t>
            </w:r>
            <w:r>
              <w:rPr>
                <w:rFonts w:hint="eastAsia" w:ascii="微软雅黑" w:hAnsi="微软雅黑" w:eastAsia="微软雅黑" w:cs="宋体"/>
                <w:color w:val="000000"/>
                <w:kern w:val="0"/>
                <w:szCs w:val="21"/>
              </w:rPr>
              <w:t>环境影响报告表》作出审批意见，现予以公示，</w:t>
            </w:r>
            <w:r>
              <w:rPr>
                <w:rFonts w:hint="eastAsia" w:ascii="微软雅黑" w:hAnsi="微软雅黑" w:eastAsia="微软雅黑" w:cs="宋体"/>
                <w:color w:val="FF0000"/>
                <w:kern w:val="0"/>
                <w:szCs w:val="21"/>
              </w:rPr>
              <w:t>公示期为202</w:t>
            </w:r>
            <w:r>
              <w:rPr>
                <w:rFonts w:hint="eastAsia" w:ascii="微软雅黑" w:hAnsi="微软雅黑" w:eastAsia="微软雅黑" w:cs="宋体"/>
                <w:color w:val="FF0000"/>
                <w:kern w:val="0"/>
                <w:szCs w:val="21"/>
                <w:lang w:val="en-US" w:eastAsia="zh-CN"/>
              </w:rPr>
              <w:t>6</w:t>
            </w:r>
            <w:r>
              <w:rPr>
                <w:rFonts w:hint="eastAsia" w:ascii="微软雅黑" w:hAnsi="微软雅黑" w:eastAsia="微软雅黑" w:cs="宋体"/>
                <w:color w:val="FF0000"/>
                <w:kern w:val="0"/>
                <w:szCs w:val="21"/>
              </w:rPr>
              <w:t>年</w:t>
            </w:r>
            <w:r>
              <w:rPr>
                <w:rFonts w:hint="eastAsia" w:ascii="微软雅黑" w:hAnsi="微软雅黑" w:eastAsia="微软雅黑" w:cs="宋体"/>
                <w:color w:val="FF0000"/>
                <w:kern w:val="0"/>
                <w:szCs w:val="21"/>
                <w:lang w:val="en-US" w:eastAsia="zh-CN"/>
              </w:rPr>
              <w:t>8</w:t>
            </w:r>
            <w:r>
              <w:rPr>
                <w:rFonts w:hint="eastAsia" w:ascii="微软雅黑" w:hAnsi="微软雅黑" w:eastAsia="微软雅黑" w:cs="宋体"/>
                <w:color w:val="FF0000"/>
                <w:kern w:val="0"/>
                <w:szCs w:val="21"/>
              </w:rPr>
              <w:t>月</w:t>
            </w:r>
            <w:r>
              <w:rPr>
                <w:rFonts w:hint="eastAsia" w:ascii="微软雅黑" w:hAnsi="微软雅黑" w:eastAsia="微软雅黑" w:cs="宋体"/>
                <w:color w:val="FF0000"/>
                <w:kern w:val="0"/>
                <w:szCs w:val="21"/>
                <w:lang w:val="en-US" w:eastAsia="zh-CN"/>
              </w:rPr>
              <w:t>26</w:t>
            </w:r>
            <w:r>
              <w:rPr>
                <w:rFonts w:hint="eastAsia" w:ascii="微软雅黑" w:hAnsi="微软雅黑" w:eastAsia="微软雅黑" w:cs="宋体"/>
                <w:color w:val="FF0000"/>
                <w:kern w:val="0"/>
                <w:szCs w:val="21"/>
              </w:rPr>
              <w:t>日-202</w:t>
            </w:r>
            <w:r>
              <w:rPr>
                <w:rFonts w:hint="eastAsia" w:ascii="微软雅黑" w:hAnsi="微软雅黑" w:eastAsia="微软雅黑" w:cs="宋体"/>
                <w:color w:val="FF0000"/>
                <w:kern w:val="0"/>
                <w:szCs w:val="21"/>
                <w:lang w:val="en-US" w:eastAsia="zh-CN"/>
              </w:rPr>
              <w:t>6</w:t>
            </w:r>
            <w:r>
              <w:rPr>
                <w:rFonts w:hint="eastAsia" w:ascii="微软雅黑" w:hAnsi="微软雅黑" w:eastAsia="微软雅黑" w:cs="宋体"/>
                <w:color w:val="FF0000"/>
                <w:kern w:val="0"/>
                <w:szCs w:val="21"/>
              </w:rPr>
              <w:t>年</w:t>
            </w:r>
            <w:r>
              <w:rPr>
                <w:rFonts w:hint="eastAsia" w:ascii="微软雅黑" w:hAnsi="微软雅黑" w:eastAsia="微软雅黑" w:cs="宋体"/>
                <w:color w:val="FF0000"/>
                <w:kern w:val="0"/>
                <w:szCs w:val="21"/>
                <w:lang w:val="en-US" w:eastAsia="zh-CN"/>
              </w:rPr>
              <w:t>8</w:t>
            </w:r>
            <w:r>
              <w:rPr>
                <w:rFonts w:hint="eastAsia" w:ascii="微软雅黑" w:hAnsi="微软雅黑" w:eastAsia="微软雅黑" w:cs="宋体"/>
                <w:color w:val="FF0000"/>
                <w:kern w:val="0"/>
                <w:szCs w:val="21"/>
              </w:rPr>
              <w:t>月</w:t>
            </w:r>
            <w:r>
              <w:rPr>
                <w:rFonts w:hint="eastAsia" w:ascii="微软雅黑" w:hAnsi="微软雅黑" w:eastAsia="微软雅黑" w:cs="宋体"/>
                <w:color w:val="FF0000"/>
                <w:kern w:val="0"/>
                <w:szCs w:val="21"/>
                <w:lang w:val="en-US" w:eastAsia="zh-CN"/>
              </w:rPr>
              <w:t>27</w:t>
            </w:r>
            <w:r>
              <w:rPr>
                <w:rFonts w:hint="eastAsia" w:ascii="微软雅黑" w:hAnsi="微软雅黑" w:eastAsia="微软雅黑" w:cs="宋体"/>
                <w:color w:val="FF0000"/>
                <w:kern w:val="0"/>
                <w:szCs w:val="21"/>
              </w:rPr>
              <w:t>日（</w:t>
            </w:r>
            <w:r>
              <w:rPr>
                <w:rFonts w:hint="eastAsia" w:ascii="微软雅黑" w:hAnsi="微软雅黑" w:eastAsia="微软雅黑" w:cs="宋体"/>
                <w:color w:val="FF0000"/>
                <w:kern w:val="0"/>
                <w:szCs w:val="21"/>
                <w:lang w:val="en-US" w:eastAsia="zh-CN"/>
              </w:rPr>
              <w:t>2</w:t>
            </w:r>
            <w:r>
              <w:rPr>
                <w:rFonts w:hint="eastAsia" w:ascii="微软雅黑" w:hAnsi="微软雅黑" w:eastAsia="微软雅黑" w:cs="宋体"/>
                <w:color w:val="FF0000"/>
                <w:kern w:val="0"/>
                <w:szCs w:val="21"/>
              </w:rPr>
              <w:t>个工作日）。</w:t>
            </w:r>
          </w:p>
          <w:p w14:paraId="3856EF22">
            <w:pPr>
              <w:widowControl/>
              <w:spacing w:line="375" w:lineRule="atLeast"/>
              <w:ind w:firstLine="480"/>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联系地址：浮梁县民福南路</w:t>
            </w:r>
            <w:r>
              <w:rPr>
                <w:rFonts w:hint="eastAsia" w:ascii="微软雅黑" w:hAnsi="微软雅黑" w:eastAsia="微软雅黑" w:cs="宋体"/>
                <w:color w:val="000000"/>
                <w:kern w:val="0"/>
                <w:szCs w:val="21"/>
                <w:lang w:val="en-US" w:eastAsia="zh-CN"/>
              </w:rPr>
              <w:t>浮梁生态环境局</w:t>
            </w:r>
            <w:r>
              <w:rPr>
                <w:rFonts w:hint="eastAsia" w:ascii="微软雅黑" w:hAnsi="微软雅黑" w:eastAsia="微软雅黑" w:cs="宋体"/>
                <w:color w:val="000000"/>
                <w:kern w:val="0"/>
                <w:szCs w:val="21"/>
              </w:rPr>
              <w:t>，邮编：333400</w:t>
            </w:r>
          </w:p>
          <w:p w14:paraId="33CAD7BF">
            <w:pPr>
              <w:widowControl/>
              <w:spacing w:line="375" w:lineRule="atLeast"/>
              <w:ind w:firstLine="480"/>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联系电话：0798-2626887</w:t>
            </w:r>
          </w:p>
          <w:tbl>
            <w:tblPr>
              <w:tblStyle w:val="10"/>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1483"/>
              <w:gridCol w:w="6642"/>
            </w:tblGrid>
            <w:tr w14:paraId="1B86201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483" w:type="dxa"/>
                  <w:tcBorders>
                    <w:top w:val="outset" w:color="000000" w:sz="6" w:space="0"/>
                    <w:left w:val="outset" w:color="000000" w:sz="6" w:space="0"/>
                    <w:bottom w:val="outset" w:color="000000" w:sz="6" w:space="0"/>
                    <w:right w:val="outset" w:color="000000" w:sz="6" w:space="0"/>
                  </w:tcBorders>
                </w:tcPr>
                <w:p w14:paraId="7C0D22CF">
                  <w:pPr>
                    <w:widowControl/>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项目名称：</w:t>
                  </w:r>
                </w:p>
              </w:tc>
              <w:tc>
                <w:tcPr>
                  <w:tcW w:w="6642" w:type="dxa"/>
                  <w:tcBorders>
                    <w:top w:val="outset" w:color="000000" w:sz="6" w:space="0"/>
                    <w:left w:val="outset" w:color="000000" w:sz="6" w:space="0"/>
                    <w:bottom w:val="outset" w:color="000000" w:sz="6" w:space="0"/>
                    <w:right w:val="outset" w:color="000000" w:sz="6" w:space="0"/>
                  </w:tcBorders>
                  <w:vAlign w:val="center"/>
                </w:tcPr>
                <w:p w14:paraId="37D6F1B9">
                  <w:pPr>
                    <w:widowControl/>
                    <w:rPr>
                      <w:rFonts w:hint="eastAsia" w:ascii="宋体" w:hAnsi="宋体" w:eastAsia="宋体" w:cs="宋体"/>
                      <w:color w:val="auto"/>
                      <w:sz w:val="24"/>
                      <w:szCs w:val="24"/>
                      <w:lang w:eastAsia="zh-CN"/>
                    </w:rPr>
                  </w:pPr>
                  <w:r>
                    <w:rPr>
                      <w:rFonts w:hint="eastAsia" w:ascii="宋体" w:hAnsi="宋体" w:eastAsia="宋体" w:cs="宋体"/>
                      <w:kern w:val="0"/>
                      <w:sz w:val="24"/>
                      <w:szCs w:val="24"/>
                      <w:lang w:val="en-US" w:eastAsia="zh-CN"/>
                    </w:rPr>
                    <w:t>景德镇市森宏精密制造有限公司塑料零部件生产项目</w:t>
                  </w:r>
                </w:p>
              </w:tc>
            </w:tr>
            <w:tr w14:paraId="48E68AE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483" w:type="dxa"/>
                  <w:tcBorders>
                    <w:top w:val="outset" w:color="000000" w:sz="6" w:space="0"/>
                    <w:left w:val="outset" w:color="000000" w:sz="6" w:space="0"/>
                    <w:bottom w:val="outset" w:color="000000" w:sz="6" w:space="0"/>
                    <w:right w:val="outset" w:color="000000" w:sz="6" w:space="0"/>
                  </w:tcBorders>
                </w:tcPr>
                <w:p w14:paraId="65B0D05D">
                  <w:pPr>
                    <w:widowControl/>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建设单位：</w:t>
                  </w:r>
                </w:p>
              </w:tc>
              <w:tc>
                <w:tcPr>
                  <w:tcW w:w="6642" w:type="dxa"/>
                  <w:tcBorders>
                    <w:top w:val="outset" w:color="000000" w:sz="6" w:space="0"/>
                    <w:left w:val="outset" w:color="000000" w:sz="6" w:space="0"/>
                    <w:bottom w:val="outset" w:color="000000" w:sz="6" w:space="0"/>
                    <w:right w:val="outset" w:color="000000" w:sz="6" w:space="0"/>
                  </w:tcBorders>
                  <w:vAlign w:val="center"/>
                </w:tcPr>
                <w:p w14:paraId="15B9BA68">
                  <w:pPr>
                    <w:widowControl/>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景德镇市森宏精密制造有限公司</w:t>
                  </w:r>
                </w:p>
              </w:tc>
            </w:tr>
            <w:tr w14:paraId="54B8B59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483" w:type="dxa"/>
                  <w:tcBorders>
                    <w:top w:val="outset" w:color="000000" w:sz="6" w:space="0"/>
                    <w:left w:val="outset" w:color="000000" w:sz="6" w:space="0"/>
                    <w:bottom w:val="outset" w:color="000000" w:sz="6" w:space="0"/>
                    <w:right w:val="outset" w:color="000000" w:sz="6" w:space="0"/>
                  </w:tcBorders>
                </w:tcPr>
                <w:p w14:paraId="0D70E839">
                  <w:pPr>
                    <w:widowControl/>
                    <w:rPr>
                      <w:rFonts w:ascii="宋体" w:hAnsi="宋体" w:eastAsia="宋体" w:cs="宋体"/>
                      <w:kern w:val="0"/>
                      <w:sz w:val="24"/>
                      <w:szCs w:val="24"/>
                    </w:rPr>
                  </w:pPr>
                  <w:r>
                    <w:rPr>
                      <w:rFonts w:ascii="宋体" w:hAnsi="宋体" w:eastAsia="宋体" w:cs="宋体"/>
                      <w:kern w:val="0"/>
                      <w:sz w:val="24"/>
                      <w:szCs w:val="24"/>
                    </w:rPr>
                    <w:t>建设地址：</w:t>
                  </w:r>
                </w:p>
              </w:tc>
              <w:tc>
                <w:tcPr>
                  <w:tcW w:w="6642" w:type="dxa"/>
                  <w:tcBorders>
                    <w:top w:val="outset" w:color="000000" w:sz="6" w:space="0"/>
                    <w:left w:val="outset" w:color="000000" w:sz="6" w:space="0"/>
                    <w:bottom w:val="outset" w:color="000000" w:sz="6" w:space="0"/>
                    <w:right w:val="outset" w:color="000000" w:sz="6" w:space="0"/>
                  </w:tcBorders>
                  <w:vAlign w:val="center"/>
                </w:tcPr>
                <w:p w14:paraId="7E90BF3F">
                  <w:pPr>
                    <w:widowControl/>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浮梁产业园区二园（北汽配套园）B4厂房</w:t>
                  </w:r>
                </w:p>
              </w:tc>
            </w:tr>
            <w:tr w14:paraId="26DC275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483" w:type="dxa"/>
                  <w:tcBorders>
                    <w:top w:val="outset" w:color="000000" w:sz="6" w:space="0"/>
                    <w:left w:val="outset" w:color="000000" w:sz="6" w:space="0"/>
                    <w:bottom w:val="outset" w:color="000000" w:sz="6" w:space="0"/>
                    <w:right w:val="outset" w:color="000000" w:sz="6" w:space="0"/>
                  </w:tcBorders>
                </w:tcPr>
                <w:p w14:paraId="31E16946">
                  <w:pPr>
                    <w:widowControl/>
                    <w:rPr>
                      <w:rFonts w:ascii="宋体" w:hAnsi="宋体" w:eastAsia="宋体" w:cs="宋体"/>
                      <w:kern w:val="0"/>
                      <w:sz w:val="24"/>
                      <w:szCs w:val="24"/>
                    </w:rPr>
                  </w:pPr>
                  <w:r>
                    <w:rPr>
                      <w:rFonts w:ascii="宋体" w:hAnsi="宋体" w:eastAsia="宋体" w:cs="宋体"/>
                      <w:kern w:val="0"/>
                      <w:sz w:val="24"/>
                      <w:szCs w:val="24"/>
                    </w:rPr>
                    <w:t>环评机构：</w:t>
                  </w:r>
                </w:p>
              </w:tc>
              <w:tc>
                <w:tcPr>
                  <w:tcW w:w="6642" w:type="dxa"/>
                  <w:tcBorders>
                    <w:top w:val="outset" w:color="000000" w:sz="6" w:space="0"/>
                    <w:left w:val="outset" w:color="000000" w:sz="6" w:space="0"/>
                    <w:bottom w:val="outset" w:color="000000" w:sz="6" w:space="0"/>
                    <w:right w:val="outset" w:color="000000" w:sz="6" w:space="0"/>
                  </w:tcBorders>
                  <w:vAlign w:val="center"/>
                </w:tcPr>
                <w:p w14:paraId="30E08560">
                  <w:pPr>
                    <w:keepNext w:val="0"/>
                    <w:keepLines w:val="0"/>
                    <w:widowControl/>
                    <w:suppressLineNumbers w:val="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景德镇市芊芷环保科技有限公司</w:t>
                  </w:r>
                </w:p>
              </w:tc>
            </w:tr>
            <w:tr w14:paraId="0063E0E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483" w:type="dxa"/>
                  <w:tcBorders>
                    <w:top w:val="outset" w:color="000000" w:sz="6" w:space="0"/>
                    <w:left w:val="outset" w:color="000000" w:sz="6" w:space="0"/>
                    <w:bottom w:val="outset" w:color="000000" w:sz="6" w:space="0"/>
                    <w:right w:val="outset" w:color="000000" w:sz="6" w:space="0"/>
                  </w:tcBorders>
                </w:tcPr>
                <w:p w14:paraId="1EDBFD38">
                  <w:pPr>
                    <w:widowControl/>
                    <w:rPr>
                      <w:rFonts w:ascii="宋体" w:hAnsi="宋体" w:eastAsia="宋体" w:cs="宋体"/>
                      <w:kern w:val="0"/>
                      <w:sz w:val="24"/>
                      <w:szCs w:val="24"/>
                    </w:rPr>
                  </w:pPr>
                  <w:r>
                    <w:rPr>
                      <w:rFonts w:ascii="宋体" w:hAnsi="宋体" w:eastAsia="宋体" w:cs="宋体"/>
                      <w:kern w:val="0"/>
                      <w:sz w:val="24"/>
                      <w:szCs w:val="24"/>
                    </w:rPr>
                    <w:t>项目概况:</w:t>
                  </w:r>
                </w:p>
              </w:tc>
              <w:tc>
                <w:tcPr>
                  <w:tcW w:w="6642" w:type="dxa"/>
                  <w:tcBorders>
                    <w:top w:val="outset" w:color="000000" w:sz="6" w:space="0"/>
                    <w:left w:val="outset" w:color="000000" w:sz="6" w:space="0"/>
                    <w:bottom w:val="outset" w:color="000000" w:sz="6" w:space="0"/>
                    <w:right w:val="outset" w:color="000000" w:sz="6" w:space="0"/>
                  </w:tcBorders>
                  <w:vAlign w:val="top"/>
                </w:tcPr>
                <w:p w14:paraId="5CC30166">
                  <w:pPr>
                    <w:keepNext w:val="0"/>
                    <w:keepLines w:val="0"/>
                    <w:widowControl/>
                    <w:suppressLineNumbers w:val="0"/>
                    <w:jc w:val="left"/>
                    <w:rPr>
                      <w:rFonts w:hint="default"/>
                      <w:lang w:val="en-US" w:eastAsia="zh-CN"/>
                    </w:rPr>
                  </w:pPr>
                  <w:r>
                    <w:rPr>
                      <w:rFonts w:hint="eastAsia" w:ascii="宋体" w:hAnsi="宋体" w:eastAsia="宋体" w:cs="宋体"/>
                      <w:kern w:val="0"/>
                      <w:sz w:val="24"/>
                      <w:szCs w:val="24"/>
                      <w:lang w:val="en-US" w:eastAsia="zh-CN"/>
                    </w:rPr>
                    <w:t>景德镇市森宏精密制造有限公司拟投资200万元，其中环保投资20万元，占总投资的10%，租赁浮梁县工业发展有限公司开发建设的B4标准化厂房，厂址中心地理坐标为东经 117度07分50.193秒，北纬29度20分30.242秒，建设景德镇市森宏精密制造有限公司塑料零部件生产项目，项目建成后计划年产塑料零部件1200万件，主要用于冰箱组装。</w:t>
                  </w:r>
                </w:p>
              </w:tc>
            </w:tr>
            <w:tr w14:paraId="7CC99C1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483" w:type="dxa"/>
                  <w:tcBorders>
                    <w:top w:val="outset" w:color="000000" w:sz="6" w:space="0"/>
                    <w:left w:val="outset" w:color="000000" w:sz="6" w:space="0"/>
                    <w:bottom w:val="outset" w:color="000000" w:sz="6" w:space="0"/>
                    <w:right w:val="outset" w:color="000000" w:sz="6" w:space="0"/>
                  </w:tcBorders>
                </w:tcPr>
                <w:p w14:paraId="386390C8">
                  <w:pPr>
                    <w:widowControl/>
                    <w:rPr>
                      <w:rFonts w:ascii="宋体" w:hAnsi="宋体" w:eastAsia="宋体" w:cs="宋体"/>
                      <w:kern w:val="0"/>
                      <w:sz w:val="24"/>
                      <w:szCs w:val="24"/>
                    </w:rPr>
                  </w:pPr>
                  <w:r>
                    <w:rPr>
                      <w:rFonts w:ascii="宋体" w:hAnsi="宋体" w:eastAsia="宋体" w:cs="宋体"/>
                      <w:kern w:val="0"/>
                      <w:sz w:val="24"/>
                      <w:szCs w:val="24"/>
                    </w:rPr>
                    <w:t>主要环境影响及预防或者减轻不良环境影响的对策和措施</w:t>
                  </w:r>
                </w:p>
              </w:tc>
              <w:tc>
                <w:tcPr>
                  <w:tcW w:w="6642" w:type="dxa"/>
                  <w:tcBorders>
                    <w:top w:val="outset" w:color="000000" w:sz="6" w:space="0"/>
                    <w:left w:val="outset" w:color="000000" w:sz="6" w:space="0"/>
                    <w:bottom w:val="outset" w:color="000000" w:sz="6" w:space="0"/>
                    <w:right w:val="outset" w:color="000000" w:sz="6" w:space="0"/>
                  </w:tcBorders>
                </w:tcPr>
                <w:p w14:paraId="7494293E">
                  <w:pPr>
                    <w:pStyle w:val="4"/>
                    <w:spacing w:line="240" w:lineRule="auto"/>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1、废气</w:t>
                  </w:r>
                </w:p>
                <w:p w14:paraId="47B57205">
                  <w:pPr>
                    <w:keepNext w:val="0"/>
                    <w:keepLines w:val="0"/>
                    <w:widowControl/>
                    <w:suppressLineNumbers w:val="0"/>
                    <w:jc w:val="left"/>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项目营运期废气主要为注塑过程产生的有机废气以及破碎过程产生的颗粒物。注塑废气经集气罩收集后通过两级活性炭吸附装置处理后，由1根15m高排气筒（DA001）引至高空排放</w:t>
                  </w:r>
                  <w:r>
                    <w:rPr>
                      <w:rFonts w:hint="eastAsia" w:ascii="宋体" w:hAnsi="宋体" w:eastAsia="宋体" w:cs="宋体"/>
                      <w:kern w:val="0"/>
                      <w:sz w:val="24"/>
                      <w:szCs w:val="24"/>
                      <w:lang w:val="en-US" w:eastAsia="zh-CN"/>
                    </w:rPr>
                    <w:t>；颗粒物经粉碎机自带布袋除尘器收集处理后厂房内无组织排放。</w:t>
                  </w:r>
                </w:p>
                <w:p w14:paraId="4ED30077">
                  <w:pPr>
                    <w:pStyle w:val="4"/>
                    <w:numPr>
                      <w:ilvl w:val="0"/>
                      <w:numId w:val="0"/>
                    </w:numPr>
                    <w:ind w:leftChars="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2、废水</w:t>
                  </w:r>
                </w:p>
                <w:p w14:paraId="0F31A82F">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rPr>
                    <w:t>项目</w:t>
                  </w:r>
                  <w:r>
                    <w:rPr>
                      <w:rFonts w:hint="eastAsia" w:ascii="宋体" w:hAnsi="宋体" w:eastAsia="宋体" w:cs="宋体"/>
                      <w:color w:val="000000"/>
                      <w:kern w:val="0"/>
                      <w:sz w:val="24"/>
                      <w:szCs w:val="24"/>
                      <w:lang w:val="en-US" w:eastAsia="zh-CN"/>
                    </w:rPr>
                    <w:t>废水包括项目间接冷却水和</w:t>
                  </w:r>
                  <w:r>
                    <w:rPr>
                      <w:rFonts w:hint="eastAsia" w:ascii="宋体" w:hAnsi="宋体" w:eastAsia="宋体" w:cs="宋体"/>
                      <w:color w:val="000000"/>
                      <w:kern w:val="0"/>
                      <w:sz w:val="24"/>
                      <w:szCs w:val="24"/>
                      <w:lang w:val="en-US" w:eastAsia="zh-CN" w:bidi="ar"/>
                    </w:rPr>
                    <w:t>生活污水，</w:t>
                  </w:r>
                  <w:r>
                    <w:rPr>
                      <w:rFonts w:hint="eastAsia" w:ascii="宋体" w:hAnsi="宋体" w:eastAsia="宋体" w:cs="宋体"/>
                      <w:color w:val="000000"/>
                      <w:kern w:val="0"/>
                      <w:sz w:val="24"/>
                      <w:szCs w:val="24"/>
                      <w:lang w:val="en-US" w:eastAsia="zh-CN"/>
                    </w:rPr>
                    <w:t>项目间接冷却水通过</w:t>
                  </w:r>
                  <w:r>
                    <w:rPr>
                      <w:rFonts w:hint="eastAsia" w:ascii="宋体" w:hAnsi="宋体" w:eastAsia="宋体" w:cs="宋体"/>
                      <w:color w:val="000000"/>
                      <w:kern w:val="0"/>
                      <w:sz w:val="24"/>
                      <w:szCs w:val="24"/>
                      <w:lang w:val="en-US" w:eastAsia="zh-CN" w:bidi="ar"/>
                    </w:rPr>
                    <w:t>冷却塔+循环水池冷却处理，循环使用，不外排；生活污水依托租用厂房已有化粪池预处理后排入园区污水处理厂深度处理。</w:t>
                  </w:r>
                </w:p>
                <w:p w14:paraId="18D93B5F">
                  <w:pPr>
                    <w:keepNext w:val="0"/>
                    <w:keepLines w:val="0"/>
                    <w:widowControl/>
                    <w:suppressLineNumbers w:val="0"/>
                    <w:jc w:val="left"/>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3、噪声</w:t>
                  </w:r>
                </w:p>
                <w:p w14:paraId="43B64286">
                  <w:pPr>
                    <w:keepNext w:val="0"/>
                    <w:keepLines w:val="0"/>
                    <w:widowControl/>
                    <w:suppressLineNumbers w:val="0"/>
                    <w:jc w:val="left"/>
                    <w:rPr>
                      <w:rFonts w:hint="eastAsia"/>
                      <w:color w:val="auto"/>
                    </w:rPr>
                  </w:pPr>
                  <w:r>
                    <w:rPr>
                      <w:rFonts w:hint="eastAsia" w:ascii="宋体" w:hAnsi="宋体" w:eastAsia="宋体" w:cs="宋体"/>
                      <w:color w:val="000000"/>
                      <w:kern w:val="0"/>
                      <w:sz w:val="24"/>
                      <w:szCs w:val="24"/>
                      <w:lang w:val="en-US" w:eastAsia="zh-CN" w:bidi="ar"/>
                    </w:rPr>
                    <w:t>项目运营期间的噪声主要是生产机械设备工作时产生的噪声，通过选用低噪声设备，采用减震、厂房隔声等措施后，再经距离衰减，可使厂界噪声满足《工业企业厂界环境噪声排放标准》（</w:t>
                  </w:r>
                  <w:r>
                    <w:rPr>
                      <w:rFonts w:hint="default" w:ascii="Times New Roman" w:hAnsi="Times New Roman" w:eastAsia="宋体" w:cs="Times New Roman"/>
                      <w:color w:val="000000"/>
                      <w:kern w:val="0"/>
                      <w:sz w:val="24"/>
                      <w:szCs w:val="24"/>
                      <w:lang w:val="en-US" w:eastAsia="zh-CN" w:bidi="ar"/>
                    </w:rPr>
                    <w:t>GB12348-2008</w:t>
                  </w:r>
                  <w:r>
                    <w:rPr>
                      <w:rFonts w:hint="eastAsia" w:ascii="宋体" w:hAnsi="宋体" w:eastAsia="宋体" w:cs="宋体"/>
                      <w:color w:val="000000"/>
                      <w:kern w:val="0"/>
                      <w:sz w:val="24"/>
                      <w:szCs w:val="24"/>
                      <w:lang w:val="en-US" w:eastAsia="zh-CN" w:bidi="ar"/>
                    </w:rPr>
                    <w:t>）中</w:t>
                  </w:r>
                  <w:r>
                    <w:rPr>
                      <w:rFonts w:hint="eastAsia"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类标准。</w:t>
                  </w:r>
                </w:p>
                <w:p w14:paraId="4497093E">
                  <w:pPr>
                    <w:keepNext w:val="0"/>
                    <w:keepLines w:val="0"/>
                    <w:widowControl/>
                    <w:numPr>
                      <w:ilvl w:val="0"/>
                      <w:numId w:val="1"/>
                    </w:numPr>
                    <w:suppressLineNumbers w:val="0"/>
                    <w:spacing w:line="240" w:lineRule="auto"/>
                    <w:jc w:val="left"/>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固体废物</w:t>
                  </w:r>
                </w:p>
                <w:p w14:paraId="4A80E024">
                  <w:pPr>
                    <w:keepNext w:val="0"/>
                    <w:keepLines w:val="0"/>
                    <w:widowControl/>
                    <w:numPr>
                      <w:ilvl w:val="0"/>
                      <w:numId w:val="0"/>
                    </w:numPr>
                    <w:suppressLineNumbers w:val="0"/>
                    <w:spacing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一般工业固废暂存在符合《固体废物污染环境防治法》相关要求的一般固废暂存间内，定期分类妥善处理，并做好交接转移台账。危险废物暂存于符合《危险废物贮存污染控制标准》（GB18597-2023）和《危险废物收集、贮存、运输技术规范》（HJ2025-2012）要求的危废贮存库内，定期交由有资质的单位处置，并做好交接转移台账。</w:t>
                  </w:r>
                </w:p>
                <w:p w14:paraId="613EAA7F">
                  <w:pPr>
                    <w:keepNext w:val="0"/>
                    <w:keepLines w:val="0"/>
                    <w:widowControl/>
                    <w:numPr>
                      <w:ilvl w:val="0"/>
                      <w:numId w:val="0"/>
                    </w:numPr>
                    <w:suppressLineNumbers w:val="0"/>
                    <w:spacing w:line="240" w:lineRule="auto"/>
                    <w:jc w:val="left"/>
                    <w:rPr>
                      <w:rFonts w:hint="eastAsia" w:ascii="宋体" w:hAnsi="宋体" w:eastAsia="宋体" w:cs="宋体"/>
                      <w:color w:val="000000"/>
                      <w:kern w:val="0"/>
                      <w:sz w:val="24"/>
                      <w:szCs w:val="24"/>
                      <w:lang w:val="en-US" w:eastAsia="zh-CN"/>
                    </w:rPr>
                  </w:pPr>
                  <w:r>
                    <w:rPr>
                      <w:rFonts w:hint="eastAsia" w:ascii="Times New Roman" w:hAnsi="Times New Roman" w:eastAsia="宋体" w:cs="Times New Roman"/>
                      <w:i w:val="0"/>
                      <w:iCs w:val="0"/>
                      <w:color w:val="auto"/>
                      <w:kern w:val="0"/>
                      <w:sz w:val="24"/>
                      <w:szCs w:val="24"/>
                      <w:highlight w:val="none"/>
                      <w:u w:val="none"/>
                      <w:lang w:val="en-US" w:eastAsia="zh-CN" w:bidi="ar"/>
                    </w:rPr>
                    <w:t>5、</w:t>
                  </w:r>
                  <w:r>
                    <w:rPr>
                      <w:rFonts w:hint="eastAsia" w:ascii="宋体" w:hAnsi="宋体" w:eastAsia="宋体" w:cs="宋体"/>
                      <w:color w:val="000000"/>
                      <w:kern w:val="0"/>
                      <w:sz w:val="24"/>
                      <w:szCs w:val="24"/>
                      <w:lang w:val="en-US" w:eastAsia="zh-CN"/>
                    </w:rPr>
                    <w:t>地下水、土壤环境</w:t>
                  </w:r>
                </w:p>
                <w:p w14:paraId="347A7EEF">
                  <w:pPr>
                    <w:keepNext w:val="0"/>
                    <w:keepLines w:val="0"/>
                    <w:widowControl/>
                    <w:suppressLineNumbers w:val="0"/>
                    <w:jc w:val="left"/>
                    <w:rPr>
                      <w:rFonts w:hint="eastAsia" w:ascii="宋体" w:hAnsi="宋体" w:eastAsia="宋体" w:cs="宋体"/>
                      <w:lang w:val="en-US" w:eastAsia="zh-CN"/>
                    </w:rPr>
                  </w:pPr>
                  <w:r>
                    <w:rPr>
                      <w:rFonts w:hint="eastAsia" w:ascii="宋体" w:hAnsi="宋体" w:eastAsia="宋体" w:cs="宋体"/>
                      <w:color w:val="000000"/>
                      <w:kern w:val="0"/>
                      <w:sz w:val="24"/>
                      <w:szCs w:val="24"/>
                      <w:lang w:val="en-US" w:eastAsia="zh-CN" w:bidi="ar"/>
                    </w:rPr>
                    <w:t>对项目厂区地面分区域进行相应的防腐防渗处理</w:t>
                  </w:r>
                  <w:r>
                    <w:rPr>
                      <w:rFonts w:hint="eastAsia" w:ascii="宋体" w:hAnsi="宋体" w:eastAsia="宋体" w:cs="宋体"/>
                      <w:lang w:val="en-US" w:eastAsia="zh-CN"/>
                    </w:rPr>
                    <w:t>。</w:t>
                  </w:r>
                </w:p>
                <w:p w14:paraId="5356786B">
                  <w:pPr>
                    <w:numPr>
                      <w:ilvl w:val="0"/>
                      <w:numId w:val="0"/>
                    </w:numPr>
                    <w:ind w:leftChars="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6、环境风险防范</w:t>
                  </w:r>
                </w:p>
                <w:p w14:paraId="281D4B12">
                  <w:pPr>
                    <w:pStyle w:val="4"/>
                    <w:numPr>
                      <w:ilvl w:val="0"/>
                      <w:numId w:val="0"/>
                    </w:numPr>
                    <w:spacing w:line="240" w:lineRule="auto"/>
                    <w:ind w:leftChars="0"/>
                    <w:rPr>
                      <w:rFonts w:hint="default"/>
                      <w:lang w:val="en-US" w:eastAsia="zh-CN"/>
                    </w:rPr>
                  </w:pPr>
                  <w:r>
                    <w:rPr>
                      <w:rFonts w:ascii="Times New Roman" w:hAnsi="Times New Roman" w:eastAsia="宋体" w:cs="Times New Roman"/>
                      <w:color w:val="auto"/>
                      <w:kern w:val="2"/>
                      <w:szCs w:val="24"/>
                      <w:highlight w:val="none"/>
                      <w:lang w:val="en-US" w:bidi="ar-SA"/>
                    </w:rPr>
                    <w:t>建设单位应严格落实环评提出</w:t>
                  </w:r>
                  <w:r>
                    <w:rPr>
                      <w:rFonts w:hint="eastAsia" w:ascii="Times New Roman" w:hAnsi="Times New Roman" w:eastAsia="宋体" w:cs="Times New Roman"/>
                      <w:color w:val="auto"/>
                      <w:kern w:val="2"/>
                      <w:szCs w:val="24"/>
                      <w:highlight w:val="none"/>
                      <w:lang w:val="en-US" w:eastAsia="zh-CN" w:bidi="ar-SA"/>
                    </w:rPr>
                    <w:t>的</w:t>
                  </w:r>
                  <w:r>
                    <w:rPr>
                      <w:rFonts w:ascii="Times New Roman" w:hAnsi="Times New Roman" w:eastAsia="宋体" w:cs="Times New Roman"/>
                      <w:color w:val="auto"/>
                      <w:kern w:val="2"/>
                      <w:szCs w:val="24"/>
                      <w:highlight w:val="none"/>
                      <w:lang w:val="en-US" w:bidi="ar-SA"/>
                    </w:rPr>
                    <w:t>各项措施和要求，做好各项风险的预防和应急措施。</w:t>
                  </w:r>
                </w:p>
              </w:tc>
            </w:tr>
          </w:tbl>
          <w:p w14:paraId="7D0186BF">
            <w:pPr>
              <w:widowControl/>
              <w:spacing w:line="375" w:lineRule="atLeast"/>
              <w:ind w:firstLine="375"/>
              <w:jc w:val="left"/>
              <w:rPr>
                <w:rFonts w:ascii="微软雅黑" w:hAnsi="微软雅黑" w:eastAsia="微软雅黑" w:cs="宋体"/>
                <w:color w:val="000000"/>
                <w:kern w:val="0"/>
                <w:szCs w:val="21"/>
              </w:rPr>
            </w:pPr>
          </w:p>
        </w:tc>
      </w:tr>
    </w:tbl>
    <w:p w14:paraId="570A95DE"/>
    <w:p w14:paraId="0F060618">
      <w:pPr>
        <w:bidi w:val="0"/>
        <w:rPr>
          <w:rFonts w:asciiTheme="minorHAnsi" w:hAnsiTheme="minorHAnsi" w:eastAsiaTheme="minorEastAsia" w:cstheme="minorBidi"/>
          <w:kern w:val="2"/>
          <w:sz w:val="21"/>
          <w:szCs w:val="22"/>
          <w:lang w:val="en-US" w:eastAsia="zh-CN" w:bidi="ar-SA"/>
        </w:rPr>
      </w:pPr>
    </w:p>
    <w:p w14:paraId="1FCA444C">
      <w:pPr>
        <w:bidi w:val="0"/>
        <w:rPr>
          <w:lang w:val="en-US" w:eastAsia="zh-CN"/>
        </w:rPr>
      </w:pPr>
    </w:p>
    <w:p w14:paraId="51173F41">
      <w:pPr>
        <w:bidi w:val="0"/>
        <w:rPr>
          <w:lang w:val="en-US" w:eastAsia="zh-CN"/>
        </w:rPr>
      </w:pPr>
    </w:p>
    <w:p w14:paraId="0C8B1C74">
      <w:pPr>
        <w:bidi w:val="0"/>
        <w:rPr>
          <w:lang w:val="en-US" w:eastAsia="zh-CN"/>
        </w:rPr>
      </w:pPr>
    </w:p>
    <w:p w14:paraId="40F396DC">
      <w:pPr>
        <w:bidi w:val="0"/>
        <w:rPr>
          <w:lang w:val="en-US" w:eastAsia="zh-CN"/>
        </w:rPr>
      </w:pPr>
    </w:p>
    <w:p w14:paraId="3D3BB0EA">
      <w:pPr>
        <w:bidi w:val="0"/>
        <w:rPr>
          <w:lang w:val="en-US" w:eastAsia="zh-CN"/>
        </w:rPr>
      </w:pPr>
    </w:p>
    <w:p w14:paraId="6F9AA5D5">
      <w:pPr>
        <w:bidi w:val="0"/>
        <w:rPr>
          <w:lang w:val="en-US" w:eastAsia="zh-CN"/>
        </w:rPr>
      </w:pPr>
    </w:p>
    <w:p w14:paraId="1844EFD4">
      <w:pPr>
        <w:bidi w:val="0"/>
        <w:rPr>
          <w:lang w:val="en-US" w:eastAsia="zh-CN"/>
        </w:rPr>
      </w:pPr>
    </w:p>
    <w:p w14:paraId="2F8E634E">
      <w:pPr>
        <w:bidi w:val="0"/>
        <w:rPr>
          <w:lang w:val="en-US" w:eastAsia="zh-CN"/>
        </w:rPr>
      </w:pPr>
    </w:p>
    <w:p w14:paraId="5A5A64AD">
      <w:pPr>
        <w:bidi w:val="0"/>
        <w:rPr>
          <w:lang w:val="en-US" w:eastAsia="zh-CN"/>
        </w:rPr>
      </w:pPr>
    </w:p>
    <w:p w14:paraId="5618FD67">
      <w:pPr>
        <w:bidi w:val="0"/>
        <w:rPr>
          <w:lang w:val="en-US" w:eastAsia="zh-CN"/>
        </w:rPr>
      </w:pPr>
    </w:p>
    <w:p w14:paraId="7CFCBD05">
      <w:pPr>
        <w:bidi w:val="0"/>
        <w:rPr>
          <w:lang w:val="en-US" w:eastAsia="zh-CN"/>
        </w:rPr>
      </w:pPr>
    </w:p>
    <w:p w14:paraId="58479F61">
      <w:pPr>
        <w:bidi w:val="0"/>
        <w:rPr>
          <w:lang w:val="en-US" w:eastAsia="zh-CN"/>
        </w:rPr>
      </w:pPr>
    </w:p>
    <w:p w14:paraId="2FD51B6B">
      <w:pPr>
        <w:bidi w:val="0"/>
        <w:rPr>
          <w:lang w:val="en-US" w:eastAsia="zh-CN"/>
        </w:rPr>
      </w:pPr>
    </w:p>
    <w:p w14:paraId="421874D5">
      <w:pPr>
        <w:bidi w:val="0"/>
        <w:jc w:val="center"/>
        <w:rP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79FE04"/>
    <w:multiLevelType w:val="singleLevel"/>
    <w:tmpl w:val="5F79FE04"/>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VlYTczNjg2ZGViYWI3ZjUyNGRmMmRkOGI0MWVlMGUifQ=="/>
  </w:docVars>
  <w:rsids>
    <w:rsidRoot w:val="00E805A3"/>
    <w:rsid w:val="0039402E"/>
    <w:rsid w:val="00762E3C"/>
    <w:rsid w:val="00E805A3"/>
    <w:rsid w:val="085F399E"/>
    <w:rsid w:val="0A8B4C59"/>
    <w:rsid w:val="0BA336E9"/>
    <w:rsid w:val="0C7C6AB8"/>
    <w:rsid w:val="0CFC4683"/>
    <w:rsid w:val="0E3B71C3"/>
    <w:rsid w:val="1786371B"/>
    <w:rsid w:val="1848110F"/>
    <w:rsid w:val="1C7313F8"/>
    <w:rsid w:val="1CD05AAA"/>
    <w:rsid w:val="1E665DA3"/>
    <w:rsid w:val="1EE0798F"/>
    <w:rsid w:val="21353540"/>
    <w:rsid w:val="21716467"/>
    <w:rsid w:val="22046BDF"/>
    <w:rsid w:val="24C37B55"/>
    <w:rsid w:val="28891F69"/>
    <w:rsid w:val="28D94453"/>
    <w:rsid w:val="2A5F21F6"/>
    <w:rsid w:val="2B552083"/>
    <w:rsid w:val="2D617843"/>
    <w:rsid w:val="2DF357BC"/>
    <w:rsid w:val="30CF487C"/>
    <w:rsid w:val="33BC7085"/>
    <w:rsid w:val="365E2D9B"/>
    <w:rsid w:val="38FD64F2"/>
    <w:rsid w:val="390F65AD"/>
    <w:rsid w:val="3AC8077D"/>
    <w:rsid w:val="3C015C8B"/>
    <w:rsid w:val="3D404AB5"/>
    <w:rsid w:val="3E2D42D5"/>
    <w:rsid w:val="409029BC"/>
    <w:rsid w:val="419F3086"/>
    <w:rsid w:val="484425CD"/>
    <w:rsid w:val="486334E9"/>
    <w:rsid w:val="496E0268"/>
    <w:rsid w:val="4CD570C6"/>
    <w:rsid w:val="4D4D0242"/>
    <w:rsid w:val="4D6372B0"/>
    <w:rsid w:val="4D8B1DF5"/>
    <w:rsid w:val="4DCA7480"/>
    <w:rsid w:val="4F67162E"/>
    <w:rsid w:val="4FE20D52"/>
    <w:rsid w:val="5137755A"/>
    <w:rsid w:val="51525C3C"/>
    <w:rsid w:val="51CF544F"/>
    <w:rsid w:val="52321867"/>
    <w:rsid w:val="54A275A4"/>
    <w:rsid w:val="54F81F6D"/>
    <w:rsid w:val="569A7B22"/>
    <w:rsid w:val="5F163E54"/>
    <w:rsid w:val="5FF4239D"/>
    <w:rsid w:val="60413681"/>
    <w:rsid w:val="629D09E0"/>
    <w:rsid w:val="65BD3B52"/>
    <w:rsid w:val="68031B8E"/>
    <w:rsid w:val="69DA04B2"/>
    <w:rsid w:val="6A8C37E0"/>
    <w:rsid w:val="6B8C0BFF"/>
    <w:rsid w:val="6B9243C2"/>
    <w:rsid w:val="6D3B1B38"/>
    <w:rsid w:val="6F417C94"/>
    <w:rsid w:val="6F68013D"/>
    <w:rsid w:val="73A905BB"/>
    <w:rsid w:val="74440737"/>
    <w:rsid w:val="7916649B"/>
    <w:rsid w:val="7C5357AF"/>
    <w:rsid w:val="7D0351A7"/>
    <w:rsid w:val="7DC76D29"/>
    <w:rsid w:val="7F083A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autoRedefine/>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3">
    <w:name w:val="heading 3"/>
    <w:basedOn w:val="1"/>
    <w:next w:val="1"/>
    <w:unhideWhenUsed/>
    <w:qFormat/>
    <w:uiPriority w:val="0"/>
    <w:pPr>
      <w:keepNext/>
      <w:keepLines/>
      <w:spacing w:beforeLines="0" w:beforeAutospacing="0" w:afterLines="0" w:afterAutospacing="0" w:line="360" w:lineRule="auto"/>
      <w:outlineLvl w:val="2"/>
    </w:pPr>
    <w:rPr>
      <w:rFonts w:ascii="Times New Roman" w:hAnsi="Times New Roman" w:eastAsia="宋体"/>
      <w:b/>
      <w:sz w:val="24"/>
    </w:rPr>
  </w:style>
  <w:style w:type="paragraph" w:styleId="4">
    <w:name w:val="heading 4"/>
    <w:basedOn w:val="1"/>
    <w:next w:val="1"/>
    <w:autoRedefine/>
    <w:qFormat/>
    <w:uiPriority w:val="9"/>
    <w:pPr>
      <w:keepNext/>
      <w:keepLines/>
      <w:spacing w:line="440" w:lineRule="exact"/>
      <w:ind w:firstLine="200" w:firstLineChars="200"/>
      <w:outlineLvl w:val="3"/>
    </w:pPr>
    <w:rPr>
      <w:rFonts w:ascii="黑体" w:hAnsi="黑体" w:eastAsia="MingLiU" w:cs="Arial Unicode MS"/>
      <w:bCs/>
      <w:sz w:val="24"/>
      <w:szCs w:val="28"/>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200" w:firstLineChars="200"/>
    </w:pPr>
    <w:rPr>
      <w:sz w:val="28"/>
      <w:szCs w:val="20"/>
    </w:rPr>
  </w:style>
  <w:style w:type="paragraph" w:styleId="6">
    <w:name w:val="Body Text"/>
    <w:basedOn w:val="1"/>
    <w:next w:val="1"/>
    <w:qFormat/>
    <w:uiPriority w:val="0"/>
    <w:pPr>
      <w:widowControl/>
      <w:snapToGrid w:val="0"/>
      <w:spacing w:before="60" w:after="160" w:line="259" w:lineRule="auto"/>
      <w:ind w:right="113"/>
    </w:pPr>
    <w:rPr>
      <w:kern w:val="0"/>
      <w:sz w:val="18"/>
      <w:szCs w:val="20"/>
    </w:rPr>
  </w:style>
  <w:style w:type="paragraph" w:styleId="7">
    <w:name w:val="Body Text Indent"/>
    <w:basedOn w:val="1"/>
    <w:next w:val="8"/>
    <w:qFormat/>
    <w:uiPriority w:val="0"/>
    <w:pPr>
      <w:spacing w:after="120"/>
      <w:ind w:left="420" w:leftChars="200"/>
    </w:pPr>
    <w:rPr>
      <w:kern w:val="0"/>
      <w:sz w:val="24"/>
      <w:szCs w:val="20"/>
    </w:rPr>
  </w:style>
  <w:style w:type="paragraph" w:styleId="8">
    <w:name w:val="toc 5"/>
    <w:basedOn w:val="1"/>
    <w:next w:val="1"/>
    <w:qFormat/>
    <w:uiPriority w:val="39"/>
    <w:pPr>
      <w:ind w:left="960"/>
      <w:jc w:val="left"/>
    </w:pPr>
    <w:rPr>
      <w:sz w:val="18"/>
      <w:szCs w:val="18"/>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表格"/>
    <w:basedOn w:val="14"/>
    <w:next w:val="1"/>
    <w:qFormat/>
    <w:uiPriority w:val="0"/>
    <w:pPr>
      <w:adjustRightInd w:val="0"/>
      <w:snapToGrid w:val="0"/>
      <w:spacing w:line="360" w:lineRule="exact"/>
      <w:jc w:val="center"/>
    </w:pPr>
    <w:rPr>
      <w:rFonts w:ascii="Times New Roman" w:hAnsi="Times New Roman" w:eastAsia="宋体" w:cs="Times New Roman"/>
      <w:kern w:val="0"/>
      <w:sz w:val="21"/>
      <w:szCs w:val="21"/>
    </w:rPr>
  </w:style>
  <w:style w:type="paragraph" w:customStyle="1" w:styleId="14">
    <w:name w:val="表格内表格正文"/>
    <w:basedOn w:val="1"/>
    <w:qFormat/>
    <w:uiPriority w:val="0"/>
    <w:pPr>
      <w:spacing w:line="240" w:lineRule="auto"/>
      <w:ind w:firstLine="0"/>
      <w:jc w:val="center"/>
    </w:pPr>
    <w:rPr>
      <w:sz w:val="21"/>
      <w:szCs w:val="21"/>
    </w:rPr>
  </w:style>
  <w:style w:type="character" w:customStyle="1" w:styleId="15">
    <w:name w:val="标题 2 字符"/>
    <w:basedOn w:val="12"/>
    <w:link w:val="2"/>
    <w:qFormat/>
    <w:uiPriority w:val="9"/>
    <w:rPr>
      <w:rFonts w:ascii="宋体" w:hAnsi="宋体" w:eastAsia="宋体" w:cs="宋体"/>
      <w:b/>
      <w:bCs/>
      <w:kern w:val="0"/>
      <w:sz w:val="36"/>
      <w:szCs w:val="36"/>
    </w:rPr>
  </w:style>
  <w:style w:type="paragraph" w:customStyle="1" w:styleId="16">
    <w:name w:val="Default1"/>
    <w:basedOn w:val="17"/>
    <w:next w:val="1"/>
    <w:autoRedefine/>
    <w:qFormat/>
    <w:uiPriority w:val="0"/>
    <w:rPr>
      <w:rFonts w:cs="宋体"/>
      <w:color w:val="000000"/>
    </w:rPr>
  </w:style>
  <w:style w:type="paragraph" w:customStyle="1" w:styleId="17">
    <w:name w:val="Normal_14_0"/>
    <w:autoRedefine/>
    <w:qFormat/>
    <w:uiPriority w:val="0"/>
    <w:pPr>
      <w:spacing w:before="120" w:after="240"/>
      <w:jc w:val="both"/>
    </w:pPr>
    <w:rPr>
      <w:rFonts w:ascii="Calibri" w:hAnsi="Calibri" w:eastAsia="Calibri" w:cs="Times New Roman"/>
      <w:sz w:val="22"/>
      <w:szCs w:val="22"/>
      <w:lang w:val="ru-RU" w:eastAsia="en-US" w:bidi="ar-SA"/>
    </w:rPr>
  </w:style>
  <w:style w:type="paragraph" w:customStyle="1" w:styleId="18">
    <w:name w:val="样式23"/>
    <w:basedOn w:val="1"/>
    <w:qFormat/>
    <w:uiPriority w:val="0"/>
    <w:pPr>
      <w:spacing w:line="360" w:lineRule="auto"/>
      <w:ind w:firstLine="480" w:firstLineChars="200"/>
      <w:jc w:val="left"/>
    </w:pPr>
    <w:rPr>
      <w:rFonts w:ascii="宋体" w:hAnsi="宋体"/>
      <w:color w:val="000000"/>
      <w:kern w:val="0"/>
      <w:sz w:val="24"/>
      <w:szCs w:val="24"/>
    </w:rPr>
  </w:style>
  <w:style w:type="paragraph" w:customStyle="1" w:styleId="19">
    <w:name w:val="样式 正文缩进s4标题4表正文正文非缩进图标题段1Body Text(ch)缩进ALT+Z特点四号正文不..."/>
    <w:basedOn w:val="5"/>
    <w:qFormat/>
    <w:uiPriority w:val="0"/>
    <w:pPr>
      <w:widowControl/>
      <w:adjustRightInd w:val="0"/>
      <w:snapToGrid w:val="0"/>
      <w:spacing w:line="360" w:lineRule="auto"/>
      <w:ind w:firstLine="472"/>
      <w:jc w:val="left"/>
    </w:pPr>
    <w:rPr>
      <w:rFonts w:ascii="宋体" w:hAnsi="宋体"/>
      <w:spacing w:val="-2"/>
      <w:szCs w:val="20"/>
    </w:rPr>
  </w:style>
  <w:style w:type="paragraph" w:customStyle="1" w:styleId="20">
    <w:name w:val="正文格式"/>
    <w:basedOn w:val="1"/>
    <w:qFormat/>
    <w:uiPriority w:val="0"/>
    <w:pPr>
      <w:spacing w:line="360" w:lineRule="auto"/>
      <w:ind w:firstLine="544" w:firstLineChars="200"/>
    </w:pPr>
    <w:rPr>
      <w:rFonts w:cs="MingLiU"/>
      <w:kern w:val="0"/>
      <w:sz w:val="24"/>
    </w:rPr>
  </w:style>
  <w:style w:type="paragraph" w:customStyle="1" w:styleId="21">
    <w:name w:val="文本"/>
    <w:basedOn w:val="1"/>
    <w:qFormat/>
    <w:uiPriority w:val="0"/>
    <w:pPr>
      <w:spacing w:line="360" w:lineRule="auto"/>
      <w:ind w:firstLine="480" w:firstLineChars="200"/>
    </w:pPr>
    <w:rPr>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1136</Words>
  <Characters>1244</Characters>
  <Lines>9</Lines>
  <Paragraphs>2</Paragraphs>
  <TotalTime>14</TotalTime>
  <ScaleCrop>false</ScaleCrop>
  <LinksUpToDate>false</LinksUpToDate>
  <CharactersWithSpaces>1244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2020-09-25T03:50:00Z</dcterms:created>
  <dc:creator>程 P</dc:creator>
  <cp:lastModifiedBy>弓长火習</cp:lastModifiedBy>
  <dcterms:modified xsi:type="dcterms:W3CDTF">2026-08-26T08:15:04Z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E45F631C702041D3A5B935DF69A17322_13</vt:lpwstr>
  </property>
  <property fmtid="{D5CDD505-2E9C-101B-9397-08002B2CF9AE}" pid="4" name="KSOTemplateDocerSaveRecord">
    <vt:lpwstr>eyJoZGlkIjoiNDVlYTczNjg2ZGViYWI3ZjUyNGRmMmRkOGI0MWVlMGUiLCJ1c2VySWQiOiIxMTUwMjMxMzM2In0=</vt:lpwstr>
  </property>
</Properties>
</file>