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4900" w:type="pct"/>
        <w:tblCellSpacing w:w="0" w:type="dxa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140"/>
      </w:tblGrid>
      <w:tr w14:paraId="6A99700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tblCellSpacing w:w="0" w:type="dxa"/>
        </w:trPr>
        <w:tc>
          <w:tcPr>
            <w:tcW w:w="5000" w:type="pct"/>
            <w:shd w:val="clear" w:color="auto" w:fill="FFFFFF"/>
            <w:vAlign w:val="center"/>
          </w:tcPr>
          <w:p w14:paraId="55DE9513">
            <w:pPr>
              <w:widowControl/>
              <w:spacing w:before="100" w:beforeAutospacing="1" w:after="100" w:afterAutospacing="1"/>
              <w:jc w:val="center"/>
              <w:outlineLvl w:val="1"/>
              <w:rPr>
                <w:rFonts w:ascii="微软雅黑" w:hAnsi="微软雅黑" w:eastAsia="微软雅黑" w:cs="宋体"/>
                <w:b/>
                <w:bCs/>
                <w:color w:val="CC3300"/>
                <w:kern w:val="0"/>
                <w:sz w:val="36"/>
                <w:szCs w:val="36"/>
              </w:rPr>
            </w:pPr>
            <w:bookmarkStart w:id="0" w:name="_GoBack"/>
            <w:r>
              <w:rPr>
                <w:rFonts w:hint="eastAsia" w:ascii="微软雅黑" w:hAnsi="微软雅黑" w:eastAsia="微软雅黑" w:cs="宋体"/>
                <w:b/>
                <w:bCs/>
                <w:color w:val="CC3300"/>
                <w:kern w:val="0"/>
                <w:sz w:val="36"/>
                <w:szCs w:val="36"/>
                <w:lang w:val="en-US" w:eastAsia="zh-CN"/>
              </w:rPr>
              <w:t>浮梁县祥丰再生资源利用项目</w:t>
            </w:r>
            <w:r>
              <w:rPr>
                <w:rFonts w:hint="eastAsia" w:ascii="微软雅黑" w:hAnsi="微软雅黑" w:eastAsia="微软雅黑" w:cs="宋体"/>
                <w:b/>
                <w:bCs/>
                <w:color w:val="CC3300"/>
                <w:kern w:val="0"/>
                <w:sz w:val="36"/>
                <w:szCs w:val="36"/>
              </w:rPr>
              <w:t>拟审批公示</w:t>
            </w:r>
            <w:bookmarkEnd w:id="0"/>
          </w:p>
        </w:tc>
      </w:tr>
      <w:tr w14:paraId="26FE2DB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0" w:hRule="atLeast"/>
          <w:tblCellSpacing w:w="0" w:type="dxa"/>
        </w:trPr>
        <w:tc>
          <w:tcPr>
            <w:tcW w:w="5000" w:type="pct"/>
            <w:shd w:val="clear" w:color="auto" w:fill="FFFFFF"/>
          </w:tcPr>
          <w:p w14:paraId="44A394FC">
            <w:pPr>
              <w:widowControl/>
              <w:spacing w:line="375" w:lineRule="atLeast"/>
              <w:ind w:firstLine="480"/>
              <w:rPr>
                <w:rFonts w:hint="eastAsia" w:ascii="微软雅黑" w:hAnsi="微软雅黑" w:eastAsia="微软雅黑" w:cs="宋体"/>
                <w:color w:val="FF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根据建设项目环境影响评价审批程序及信息公开的有关规定，我局拟对《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浮梁县祥丰再生资源利用项目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环境影响报告表》作出审批意见，现予以公示，</w:t>
            </w:r>
            <w:r>
              <w:rPr>
                <w:rFonts w:hint="eastAsia" w:ascii="微软雅黑" w:hAnsi="微软雅黑" w:eastAsia="微软雅黑" w:cs="宋体"/>
                <w:color w:val="FF0000"/>
                <w:kern w:val="0"/>
                <w:szCs w:val="21"/>
                <w:lang w:val="en-US" w:eastAsia="zh-CN"/>
              </w:rPr>
              <w:t>公示期为2026年8月4日－2026年8月5日（</w:t>
            </w:r>
            <w:r>
              <w:rPr>
                <w:rFonts w:hint="eastAsia" w:ascii="微软雅黑" w:hAnsi="微软雅黑" w:eastAsia="微软雅黑" w:cs="宋体"/>
                <w:color w:val="FF0000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 w:cs="宋体"/>
                <w:color w:val="FF0000"/>
                <w:kern w:val="0"/>
                <w:szCs w:val="21"/>
              </w:rPr>
              <w:t>个工作日）。</w:t>
            </w:r>
          </w:p>
          <w:p w14:paraId="3856EF22">
            <w:pPr>
              <w:widowControl/>
              <w:spacing w:line="375" w:lineRule="atLeast"/>
              <w:ind w:firstLine="480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联系地址：浮梁县民福南路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浮梁生态环境局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，邮编：333400</w:t>
            </w:r>
          </w:p>
          <w:p w14:paraId="33CAD7BF">
            <w:pPr>
              <w:widowControl/>
              <w:spacing w:line="375" w:lineRule="atLeast"/>
              <w:ind w:firstLine="480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联系电话：0798-2626887</w:t>
            </w:r>
          </w:p>
          <w:tbl>
            <w:tblPr>
              <w:tblStyle w:val="10"/>
              <w:tblW w:w="0" w:type="auto"/>
              <w:tblInd w:w="0" w:type="dxa"/>
              <w:tblBorders>
                <w:top w:val="outset" w:color="000000" w:sz="6" w:space="0"/>
                <w:left w:val="outset" w:color="000000" w:sz="6" w:space="0"/>
                <w:bottom w:val="outset" w:color="000000" w:sz="6" w:space="0"/>
                <w:right w:val="outset" w:color="000000" w:sz="6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30" w:type="dxa"/>
                <w:left w:w="30" w:type="dxa"/>
                <w:bottom w:w="30" w:type="dxa"/>
                <w:right w:w="30" w:type="dxa"/>
              </w:tblCellMar>
            </w:tblPr>
            <w:tblGrid>
              <w:gridCol w:w="1483"/>
              <w:gridCol w:w="6642"/>
            </w:tblGrid>
            <w:tr w14:paraId="1B86201A"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none" w:color="auto" w:sz="0" w:space="0"/>
                  <w:insideV w:val="none" w:color="auto" w:sz="0" w:space="0"/>
                </w:tblBorders>
              </w:tblPrEx>
              <w:tc>
                <w:tcPr>
                  <w:tcW w:w="1483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</w:tcPr>
                <w:p w14:paraId="7C0D22CF">
                  <w:pPr>
                    <w:widowControl/>
                    <w:rPr>
                      <w:rFonts w:hint="eastAsia" w:ascii="宋体" w:hAnsi="宋体" w:eastAsia="宋体" w:cs="宋体"/>
                      <w:color w:val="auto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sz w:val="24"/>
                      <w:szCs w:val="24"/>
                      <w:lang w:eastAsia="zh-CN"/>
                    </w:rPr>
                    <w:t>项目名称：</w:t>
                  </w:r>
                </w:p>
              </w:tc>
              <w:tc>
                <w:tcPr>
                  <w:tcW w:w="6642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 w14:paraId="37D6F1B9"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color w:val="auto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lang w:val="en-US" w:eastAsia="zh-CN"/>
                    </w:rPr>
                    <w:t>浮梁县祥丰再生资源利用项目</w:t>
                  </w:r>
                </w:p>
              </w:tc>
            </w:tr>
            <w:tr w14:paraId="48E68AE3"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none" w:color="auto" w:sz="0" w:space="0"/>
                  <w:insideV w:val="none" w:color="auto" w:sz="0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c>
                <w:tcPr>
                  <w:tcW w:w="1483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</w:tcPr>
                <w:p w14:paraId="65B0D05D">
                  <w:pPr>
                    <w:widowControl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lang w:eastAsia="zh-CN"/>
                    </w:rPr>
                    <w:t>建设单位：</w:t>
                  </w:r>
                </w:p>
              </w:tc>
              <w:tc>
                <w:tcPr>
                  <w:tcW w:w="6642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 w14:paraId="15B9BA68"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default" w:ascii="宋体" w:hAnsi="宋体" w:eastAsia="宋体" w:cs="宋体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lang w:val="en-US" w:eastAsia="zh-CN"/>
                    </w:rPr>
                    <w:t>浮梁县祥丰再生资源经营部</w:t>
                  </w:r>
                </w:p>
              </w:tc>
            </w:tr>
            <w:tr w14:paraId="54B8B59E"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none" w:color="auto" w:sz="0" w:space="0"/>
                  <w:insideV w:val="none" w:color="auto" w:sz="0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c>
                <w:tcPr>
                  <w:tcW w:w="1483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</w:tcPr>
                <w:p w14:paraId="0D70E839">
                  <w:pPr>
                    <w:widowControl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  <w:t>建设地址：</w:t>
                  </w:r>
                </w:p>
              </w:tc>
              <w:tc>
                <w:tcPr>
                  <w:tcW w:w="6642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 w14:paraId="7E90BF3F"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default" w:ascii="宋体" w:hAnsi="宋体" w:eastAsia="宋体" w:cs="宋体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lang w:val="en-US" w:eastAsia="zh-CN"/>
                    </w:rPr>
                    <w:t>景德镇市浮梁县三龙镇杨家村</w:t>
                  </w:r>
                </w:p>
              </w:tc>
            </w:tr>
            <w:tr w14:paraId="26DC2757"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none" w:color="auto" w:sz="0" w:space="0"/>
                  <w:insideV w:val="none" w:color="auto" w:sz="0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c>
                <w:tcPr>
                  <w:tcW w:w="1483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</w:tcPr>
                <w:p w14:paraId="31E16946">
                  <w:pPr>
                    <w:widowControl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  <w:t>环评机构：</w:t>
                  </w:r>
                </w:p>
              </w:tc>
              <w:tc>
                <w:tcPr>
                  <w:tcW w:w="6642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 w14:paraId="30E08560"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lang w:val="en-US" w:eastAsia="zh-CN"/>
                    </w:rPr>
                    <w:t>南昌尚易环保有限公司</w:t>
                  </w:r>
                </w:p>
              </w:tc>
            </w:tr>
            <w:tr w14:paraId="0063E0E0"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none" w:color="auto" w:sz="0" w:space="0"/>
                  <w:insideV w:val="none" w:color="auto" w:sz="0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c>
                <w:tcPr>
                  <w:tcW w:w="1483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</w:tcPr>
                <w:p w14:paraId="1EDBFD38">
                  <w:pPr>
                    <w:widowControl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  <w:t>项目概况:</w:t>
                  </w:r>
                </w:p>
              </w:tc>
              <w:tc>
                <w:tcPr>
                  <w:tcW w:w="6642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top"/>
                </w:tcPr>
                <w:p w14:paraId="5CC30166"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default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lang w:val="en-US" w:eastAsia="zh-CN"/>
                    </w:rPr>
                    <w:t>浮梁县祥丰再生资源经营部拟投资630万元，其中环保投资 45 万元，占总投资的 7.14%，在景德镇市浮梁县三龙镇杨家村，厂址中心地理坐标为北纬29°25'53.716"，东经 117°10'33.175"建设浮梁县祥丰再生资源利用项目，主要建设内容包括生产车间、原料堆场、成品堆场、办公区、环保工程等，建成后可年产瓷粉1万吨，瓷土1万吨。</w:t>
                  </w:r>
                </w:p>
              </w:tc>
            </w:tr>
            <w:tr w14:paraId="7CC99C12"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none" w:color="auto" w:sz="0" w:space="0"/>
                  <w:insideV w:val="none" w:color="auto" w:sz="0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c>
                <w:tcPr>
                  <w:tcW w:w="1483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</w:tcPr>
                <w:p w14:paraId="386390C8">
                  <w:pPr>
                    <w:widowControl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  <w:t>主要环境影响及预防或者减轻不良环境影响的对策和措施</w:t>
                  </w:r>
                </w:p>
              </w:tc>
              <w:tc>
                <w:tcPr>
                  <w:tcW w:w="6642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</w:tcPr>
                <w:p w14:paraId="7494293E">
                  <w:pPr>
                    <w:pStyle w:val="4"/>
                    <w:spacing w:line="240" w:lineRule="auto"/>
                    <w:ind w:left="0" w:leftChars="0" w:firstLine="0" w:firstLineChars="0"/>
                    <w:rPr>
                      <w:rFonts w:hint="eastAsia" w:ascii="宋体" w:hAnsi="宋体" w:eastAsia="宋体" w:cs="宋体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lang w:val="en-US" w:eastAsia="zh-CN"/>
                    </w:rPr>
                    <w:t>1、废气</w:t>
                  </w:r>
                </w:p>
                <w:p w14:paraId="23B91AC4"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default" w:ascii="宋体" w:hAnsi="宋体" w:eastAsia="宋体" w:cs="宋体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default" w:ascii="宋体" w:hAnsi="宋体" w:eastAsia="宋体" w:cs="宋体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项目运输过程中的粉尘通过洒水抑尘、车辆遮盖，厂区地面硬化，以及清扫进行处理，在厂区出入口设置清洗平台，以便减少车辆扬尘；卸料工序、投料工序粉尘通过洒水抑尘处理；破碎粉尘经集气罩+布袋除尘器处理后通过15m高排气筒DA001排放。</w:t>
                  </w:r>
                </w:p>
                <w:p w14:paraId="4ED30077">
                  <w:pPr>
                    <w:pStyle w:val="4"/>
                    <w:numPr>
                      <w:ilvl w:val="0"/>
                      <w:numId w:val="0"/>
                    </w:numPr>
                    <w:ind w:leftChars="0"/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2、废水</w:t>
                  </w:r>
                </w:p>
                <w:p w14:paraId="6A576741"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default" w:ascii="宋体" w:hAnsi="宋体" w:eastAsia="宋体" w:cs="宋体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default" w:ascii="宋体" w:hAnsi="宋体" w:eastAsia="宋体" w:cs="宋体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项目场地及车辆冲洗废水经沉淀池（1m</w:t>
                  </w:r>
                  <w:r>
                    <w:rPr>
                      <w:rFonts w:hint="default" w:ascii="宋体" w:hAnsi="宋体" w:eastAsia="宋体" w:cs="宋体"/>
                      <w:color w:val="000000"/>
                      <w:kern w:val="0"/>
                      <w:sz w:val="24"/>
                      <w:szCs w:val="24"/>
                      <w:vertAlign w:val="superscript"/>
                      <w:lang w:val="en-US" w:eastAsia="zh-CN"/>
                    </w:rPr>
                    <w:t>3</w:t>
                  </w:r>
                  <w:r>
                    <w:rPr>
                      <w:rFonts w:hint="default" w:ascii="宋体" w:hAnsi="宋体" w:eastAsia="宋体" w:cs="宋体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）沉淀处理后回用于场地及车辆冲洗，不外排；球磨废水经沉淀池（30m</w:t>
                  </w:r>
                  <w:r>
                    <w:rPr>
                      <w:rFonts w:hint="default" w:ascii="宋体" w:hAnsi="宋体" w:eastAsia="宋体" w:cs="宋体"/>
                      <w:color w:val="000000"/>
                      <w:kern w:val="0"/>
                      <w:sz w:val="24"/>
                      <w:szCs w:val="24"/>
                      <w:vertAlign w:val="superscript"/>
                      <w:lang w:val="en-US" w:eastAsia="zh-CN"/>
                    </w:rPr>
                    <w:t>3</w:t>
                  </w:r>
                  <w:r>
                    <w:rPr>
                      <w:rFonts w:hint="default" w:ascii="宋体" w:hAnsi="宋体" w:eastAsia="宋体" w:cs="宋体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）沉淀处理后回用于球磨工序；初期雨水经雨水导排沟汇入初期雨水沉淀池（20m</w:t>
                  </w:r>
                  <w:r>
                    <w:rPr>
                      <w:rFonts w:hint="default" w:ascii="宋体" w:hAnsi="宋体" w:eastAsia="宋体" w:cs="宋体"/>
                      <w:color w:val="000000"/>
                      <w:kern w:val="0"/>
                      <w:sz w:val="24"/>
                      <w:szCs w:val="24"/>
                      <w:vertAlign w:val="superscript"/>
                      <w:lang w:val="en-US" w:eastAsia="zh-CN"/>
                    </w:rPr>
                    <w:t>3</w:t>
                  </w:r>
                  <w:r>
                    <w:rPr>
                      <w:rFonts w:hint="default" w:ascii="宋体" w:hAnsi="宋体" w:eastAsia="宋体" w:cs="宋体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）沉淀后回用于球磨工序，不外排；生活污水设置化粪池（1m</w:t>
                  </w:r>
                  <w:r>
                    <w:rPr>
                      <w:rFonts w:hint="default" w:ascii="宋体" w:hAnsi="宋体" w:eastAsia="宋体" w:cs="宋体"/>
                      <w:color w:val="000000"/>
                      <w:kern w:val="0"/>
                      <w:sz w:val="24"/>
                      <w:szCs w:val="24"/>
                      <w:vertAlign w:val="superscript"/>
                      <w:lang w:val="en-US" w:eastAsia="zh-CN"/>
                    </w:rPr>
                    <w:t>3</w:t>
                  </w:r>
                  <w:r>
                    <w:rPr>
                      <w:rFonts w:hint="default" w:ascii="宋体" w:hAnsi="宋体" w:eastAsia="宋体" w:cs="宋体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）处理，定期清掏，用于农肥。</w:t>
                  </w:r>
                </w:p>
                <w:p w14:paraId="18D93B5F"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3、噪声</w:t>
                  </w:r>
                </w:p>
                <w:p w14:paraId="5F0A570C"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default" w:ascii="宋体" w:hAnsi="宋体" w:eastAsia="宋体" w:cs="宋体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default" w:ascii="宋体" w:hAnsi="宋体" w:eastAsia="宋体" w:cs="宋体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项目通过选用低噪声设备、基础减振、合理布局、厂房隔声等措施进行处理后，对外环境影响较小。</w:t>
                  </w:r>
                </w:p>
                <w:p w14:paraId="1C929A40">
                  <w:pPr>
                    <w:keepNext w:val="0"/>
                    <w:keepLines w:val="0"/>
                    <w:widowControl/>
                    <w:numPr>
                      <w:ilvl w:val="0"/>
                      <w:numId w:val="1"/>
                    </w:numPr>
                    <w:suppressLineNumbers w:val="0"/>
                    <w:spacing w:line="240" w:lineRule="auto"/>
                    <w:jc w:val="left"/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固体废物</w:t>
                  </w:r>
                </w:p>
                <w:p w14:paraId="34903128"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Times New Roman" w:hAnsi="Times New Roman" w:eastAsia="宋体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i w:val="0"/>
                      <w:iCs w:val="0"/>
                      <w:color w:val="auto"/>
                      <w:kern w:val="0"/>
                      <w:sz w:val="24"/>
                      <w:szCs w:val="24"/>
                      <w:highlight w:val="none"/>
                      <w:u w:val="none"/>
                      <w:lang w:val="en-US" w:eastAsia="zh-CN" w:bidi="ar"/>
                    </w:rPr>
                    <w:t>项目设置一般固废间（20m2），沉淀污泥、收集粉尘外售综合利用；设置危废间（10m2），废机油、废机油桶委托有资质单位处理；生活垃圾由环卫部门处理。</w:t>
                  </w:r>
                </w:p>
                <w:p w14:paraId="613EAA7F">
                  <w:pPr>
                    <w:pStyle w:val="4"/>
                    <w:numPr>
                      <w:ilvl w:val="0"/>
                      <w:numId w:val="2"/>
                    </w:numPr>
                    <w:ind w:left="0" w:leftChars="0" w:firstLine="0" w:firstLineChars="0"/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地下水、土壤环境</w:t>
                  </w:r>
                </w:p>
                <w:p w14:paraId="347A7EEF">
                  <w:pPr>
                    <w:pStyle w:val="4"/>
                    <w:numPr>
                      <w:ilvl w:val="0"/>
                      <w:numId w:val="0"/>
                    </w:numPr>
                    <w:spacing w:line="240" w:lineRule="auto"/>
                    <w:ind w:leftChars="0"/>
                    <w:rPr>
                      <w:rFonts w:hint="eastAsia" w:ascii="宋体" w:hAnsi="宋体" w:eastAsia="宋体" w:cs="宋体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lang w:val="en-US" w:eastAsia="zh-CN"/>
                    </w:rPr>
                    <w:t>一般工业固体废物贮存过程应满足相应防扬尘、防雨淋、防渗漏等环境保护要求。危险固体废物执行《危险废物贮存污染物控制标准》（GB18597-2023）。</w:t>
                  </w:r>
                </w:p>
                <w:p w14:paraId="5356786B">
                  <w:pPr>
                    <w:numPr>
                      <w:ilvl w:val="0"/>
                      <w:numId w:val="2"/>
                    </w:numPr>
                    <w:ind w:left="0" w:leftChars="0" w:firstLine="0" w:firstLineChars="0"/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环境风险防范</w:t>
                  </w:r>
                </w:p>
                <w:p w14:paraId="281D4B12">
                  <w:pPr>
                    <w:pStyle w:val="4"/>
                    <w:numPr>
                      <w:ilvl w:val="0"/>
                      <w:numId w:val="0"/>
                    </w:numPr>
                    <w:spacing w:line="240" w:lineRule="auto"/>
                    <w:ind w:leftChars="0"/>
                    <w:rPr>
                      <w:rFonts w:hint="default"/>
                      <w:lang w:val="en-US" w:eastAsia="zh-CN"/>
                    </w:rPr>
                  </w:pPr>
                  <w:r>
                    <w:rPr>
                      <w:rFonts w:ascii="Times New Roman" w:hAnsi="Times New Roman" w:eastAsia="宋体" w:cs="Times New Roman"/>
                      <w:color w:val="auto"/>
                      <w:kern w:val="2"/>
                      <w:szCs w:val="24"/>
                      <w:highlight w:val="none"/>
                      <w:lang w:val="en-US" w:bidi="ar-SA"/>
                    </w:rPr>
                    <w:t>建设单位应严格落实环评提出</w:t>
                  </w:r>
                  <w:r>
                    <w:rPr>
                      <w:rFonts w:hint="eastAsia" w:ascii="Times New Roman" w:hAnsi="Times New Roman" w:eastAsia="宋体" w:cs="Times New Roman"/>
                      <w:color w:val="auto"/>
                      <w:kern w:val="2"/>
                      <w:szCs w:val="24"/>
                      <w:highlight w:val="none"/>
                      <w:lang w:val="en-US" w:eastAsia="zh-CN" w:bidi="ar-SA"/>
                    </w:rPr>
                    <w:t>的</w:t>
                  </w:r>
                  <w:r>
                    <w:rPr>
                      <w:rFonts w:ascii="Times New Roman" w:hAnsi="Times New Roman" w:eastAsia="宋体" w:cs="Times New Roman"/>
                      <w:color w:val="auto"/>
                      <w:kern w:val="2"/>
                      <w:szCs w:val="24"/>
                      <w:highlight w:val="none"/>
                      <w:lang w:val="en-US" w:bidi="ar-SA"/>
                    </w:rPr>
                    <w:t>各项措施和要求，做好各项风险的预防和应急措施。</w:t>
                  </w:r>
                </w:p>
              </w:tc>
            </w:tr>
          </w:tbl>
          <w:p w14:paraId="052BF854">
            <w:pPr>
              <w:widowControl/>
              <w:spacing w:line="375" w:lineRule="atLeast"/>
              <w:ind w:firstLine="375"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</w:p>
        </w:tc>
      </w:tr>
    </w:tbl>
    <w:p w14:paraId="570A95DE"/>
    <w:p w14:paraId="0F060618">
      <w:pPr>
        <w:bidi w:val="0"/>
        <w:rPr>
          <w:rFonts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 w14:paraId="1FCA444C">
      <w:pPr>
        <w:bidi w:val="0"/>
        <w:rPr>
          <w:lang w:val="en-US" w:eastAsia="zh-CN"/>
        </w:rPr>
      </w:pPr>
    </w:p>
    <w:p w14:paraId="51173F41">
      <w:pPr>
        <w:bidi w:val="0"/>
        <w:rPr>
          <w:lang w:val="en-US" w:eastAsia="zh-CN"/>
        </w:rPr>
      </w:pPr>
    </w:p>
    <w:p w14:paraId="0C8B1C74">
      <w:pPr>
        <w:bidi w:val="0"/>
        <w:rPr>
          <w:lang w:val="en-US" w:eastAsia="zh-CN"/>
        </w:rPr>
      </w:pPr>
    </w:p>
    <w:p w14:paraId="40F396DC">
      <w:pPr>
        <w:bidi w:val="0"/>
        <w:rPr>
          <w:lang w:val="en-US" w:eastAsia="zh-CN"/>
        </w:rPr>
      </w:pPr>
    </w:p>
    <w:p w14:paraId="3D3BB0EA">
      <w:pPr>
        <w:bidi w:val="0"/>
        <w:rPr>
          <w:lang w:val="en-US" w:eastAsia="zh-CN"/>
        </w:rPr>
      </w:pPr>
    </w:p>
    <w:p w14:paraId="6F9AA5D5">
      <w:pPr>
        <w:bidi w:val="0"/>
        <w:rPr>
          <w:lang w:val="en-US" w:eastAsia="zh-CN"/>
        </w:rPr>
      </w:pPr>
    </w:p>
    <w:p w14:paraId="1844EFD4">
      <w:pPr>
        <w:bidi w:val="0"/>
        <w:rPr>
          <w:lang w:val="en-US" w:eastAsia="zh-CN"/>
        </w:rPr>
      </w:pPr>
    </w:p>
    <w:p w14:paraId="2F8E634E">
      <w:pPr>
        <w:bidi w:val="0"/>
        <w:rPr>
          <w:lang w:val="en-US" w:eastAsia="zh-CN"/>
        </w:rPr>
      </w:pPr>
    </w:p>
    <w:p w14:paraId="5A5A64AD">
      <w:pPr>
        <w:bidi w:val="0"/>
        <w:rPr>
          <w:lang w:val="en-US" w:eastAsia="zh-CN"/>
        </w:rPr>
      </w:pPr>
    </w:p>
    <w:p w14:paraId="5618FD67">
      <w:pPr>
        <w:bidi w:val="0"/>
        <w:rPr>
          <w:lang w:val="en-US" w:eastAsia="zh-CN"/>
        </w:rPr>
      </w:pPr>
    </w:p>
    <w:p w14:paraId="7CFCBD05">
      <w:pPr>
        <w:bidi w:val="0"/>
        <w:rPr>
          <w:lang w:val="en-US" w:eastAsia="zh-CN"/>
        </w:rPr>
      </w:pPr>
    </w:p>
    <w:p w14:paraId="58479F61">
      <w:pPr>
        <w:bidi w:val="0"/>
        <w:rPr>
          <w:lang w:val="en-US" w:eastAsia="zh-CN"/>
        </w:rPr>
      </w:pPr>
    </w:p>
    <w:p w14:paraId="2FD51B6B">
      <w:pPr>
        <w:bidi w:val="0"/>
        <w:rPr>
          <w:lang w:val="en-US" w:eastAsia="zh-CN"/>
        </w:rPr>
      </w:pPr>
    </w:p>
    <w:p w14:paraId="421874D5">
      <w:pPr>
        <w:bidi w:val="0"/>
        <w:jc w:val="center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C98877"/>
    <w:multiLevelType w:val="singleLevel"/>
    <w:tmpl w:val="03C98877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5F79FE04"/>
    <w:multiLevelType w:val="singleLevel"/>
    <w:tmpl w:val="5F79FE04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VlYTczNjg2ZGViYWI3ZjUyNGRmMmRkOGI0MWVlMGUifQ=="/>
  </w:docVars>
  <w:rsids>
    <w:rsidRoot w:val="00E805A3"/>
    <w:rsid w:val="00762E3C"/>
    <w:rsid w:val="00E805A3"/>
    <w:rsid w:val="085F399E"/>
    <w:rsid w:val="0A8B4C59"/>
    <w:rsid w:val="0BA336E9"/>
    <w:rsid w:val="0C7C6AB8"/>
    <w:rsid w:val="0CFC4683"/>
    <w:rsid w:val="0E3B71C3"/>
    <w:rsid w:val="1786371B"/>
    <w:rsid w:val="1848110F"/>
    <w:rsid w:val="1C7313F8"/>
    <w:rsid w:val="1CD05AAA"/>
    <w:rsid w:val="1E665DA3"/>
    <w:rsid w:val="1EE0798F"/>
    <w:rsid w:val="21353540"/>
    <w:rsid w:val="21716467"/>
    <w:rsid w:val="22046BDF"/>
    <w:rsid w:val="24C37B55"/>
    <w:rsid w:val="28891F69"/>
    <w:rsid w:val="28D94453"/>
    <w:rsid w:val="2A5F21F6"/>
    <w:rsid w:val="2B552083"/>
    <w:rsid w:val="2D617843"/>
    <w:rsid w:val="2DF357BC"/>
    <w:rsid w:val="30CF487C"/>
    <w:rsid w:val="33BC7085"/>
    <w:rsid w:val="365E2D9B"/>
    <w:rsid w:val="38FD64F2"/>
    <w:rsid w:val="390F65AD"/>
    <w:rsid w:val="3AC8077D"/>
    <w:rsid w:val="3C015C8B"/>
    <w:rsid w:val="3D404AB5"/>
    <w:rsid w:val="3E2D42D5"/>
    <w:rsid w:val="409029BC"/>
    <w:rsid w:val="419F3086"/>
    <w:rsid w:val="484425CD"/>
    <w:rsid w:val="486334E9"/>
    <w:rsid w:val="496E0268"/>
    <w:rsid w:val="4CD570C6"/>
    <w:rsid w:val="4D4D0242"/>
    <w:rsid w:val="4D6372B0"/>
    <w:rsid w:val="4D8B1DF5"/>
    <w:rsid w:val="4F67162E"/>
    <w:rsid w:val="4FE20D52"/>
    <w:rsid w:val="5137755A"/>
    <w:rsid w:val="51525C3C"/>
    <w:rsid w:val="51CF544F"/>
    <w:rsid w:val="52321867"/>
    <w:rsid w:val="54A275A4"/>
    <w:rsid w:val="569A7B22"/>
    <w:rsid w:val="58E36856"/>
    <w:rsid w:val="5F163E54"/>
    <w:rsid w:val="5FF4239D"/>
    <w:rsid w:val="60413681"/>
    <w:rsid w:val="629D09E0"/>
    <w:rsid w:val="65BD3B52"/>
    <w:rsid w:val="68031B8E"/>
    <w:rsid w:val="69DA04B2"/>
    <w:rsid w:val="6A8C37E0"/>
    <w:rsid w:val="6B8C0BFF"/>
    <w:rsid w:val="6B9243C2"/>
    <w:rsid w:val="6D3B1B38"/>
    <w:rsid w:val="6F417C94"/>
    <w:rsid w:val="6F68013D"/>
    <w:rsid w:val="73A905BB"/>
    <w:rsid w:val="74440737"/>
    <w:rsid w:val="7916649B"/>
    <w:rsid w:val="7C5357AF"/>
    <w:rsid w:val="7D0351A7"/>
    <w:rsid w:val="7DC76D29"/>
    <w:rsid w:val="7F08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semiHidden="0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qFormat="1" w:unhideWhenUsed="0" w:uiPriority="39" w:semiHidden="0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5"/>
    <w:autoRedefine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2"/>
    </w:pPr>
    <w:rPr>
      <w:rFonts w:ascii="Times New Roman" w:hAnsi="Times New Roman" w:eastAsia="宋体"/>
      <w:b/>
      <w:sz w:val="24"/>
    </w:rPr>
  </w:style>
  <w:style w:type="paragraph" w:styleId="4">
    <w:name w:val="heading 4"/>
    <w:basedOn w:val="1"/>
    <w:next w:val="1"/>
    <w:autoRedefine/>
    <w:qFormat/>
    <w:uiPriority w:val="9"/>
    <w:pPr>
      <w:keepNext/>
      <w:keepLines/>
      <w:spacing w:line="440" w:lineRule="exact"/>
      <w:ind w:firstLine="200" w:firstLineChars="200"/>
      <w:outlineLvl w:val="3"/>
    </w:pPr>
    <w:rPr>
      <w:rFonts w:ascii="黑体" w:hAnsi="黑体" w:eastAsia="MingLiU" w:cs="Arial Unicode MS"/>
      <w:bCs/>
      <w:sz w:val="24"/>
      <w:szCs w:val="28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200" w:firstLineChars="200"/>
    </w:pPr>
    <w:rPr>
      <w:sz w:val="28"/>
      <w:szCs w:val="20"/>
    </w:rPr>
  </w:style>
  <w:style w:type="paragraph" w:styleId="6">
    <w:name w:val="Body Text"/>
    <w:basedOn w:val="1"/>
    <w:next w:val="1"/>
    <w:qFormat/>
    <w:uiPriority w:val="0"/>
    <w:pPr>
      <w:widowControl/>
      <w:snapToGrid w:val="0"/>
      <w:spacing w:before="60" w:after="160" w:line="259" w:lineRule="auto"/>
      <w:ind w:right="113"/>
    </w:pPr>
    <w:rPr>
      <w:kern w:val="0"/>
      <w:sz w:val="18"/>
      <w:szCs w:val="20"/>
    </w:rPr>
  </w:style>
  <w:style w:type="paragraph" w:styleId="7">
    <w:name w:val="Body Text Indent"/>
    <w:basedOn w:val="1"/>
    <w:next w:val="8"/>
    <w:qFormat/>
    <w:uiPriority w:val="0"/>
    <w:pPr>
      <w:spacing w:after="120"/>
      <w:ind w:left="420" w:leftChars="200"/>
    </w:pPr>
    <w:rPr>
      <w:kern w:val="0"/>
      <w:sz w:val="24"/>
      <w:szCs w:val="20"/>
    </w:rPr>
  </w:style>
  <w:style w:type="paragraph" w:styleId="8">
    <w:name w:val="toc 5"/>
    <w:basedOn w:val="1"/>
    <w:next w:val="1"/>
    <w:qFormat/>
    <w:uiPriority w:val="39"/>
    <w:pPr>
      <w:ind w:left="960"/>
      <w:jc w:val="left"/>
    </w:pPr>
    <w:rPr>
      <w:sz w:val="18"/>
      <w:szCs w:val="18"/>
    </w:rPr>
  </w:style>
  <w:style w:type="paragraph" w:styleId="9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表格"/>
    <w:basedOn w:val="14"/>
    <w:next w:val="1"/>
    <w:qFormat/>
    <w:uiPriority w:val="0"/>
    <w:pPr>
      <w:adjustRightInd w:val="0"/>
      <w:snapToGrid w:val="0"/>
      <w:spacing w:line="360" w:lineRule="exact"/>
      <w:jc w:val="center"/>
    </w:pPr>
    <w:rPr>
      <w:rFonts w:ascii="Times New Roman" w:hAnsi="Times New Roman" w:eastAsia="宋体" w:cs="Times New Roman"/>
      <w:kern w:val="0"/>
      <w:sz w:val="21"/>
      <w:szCs w:val="21"/>
    </w:rPr>
  </w:style>
  <w:style w:type="paragraph" w:customStyle="1" w:styleId="14">
    <w:name w:val="表格内表格正文"/>
    <w:basedOn w:val="1"/>
    <w:qFormat/>
    <w:uiPriority w:val="0"/>
    <w:pPr>
      <w:spacing w:line="240" w:lineRule="auto"/>
      <w:ind w:firstLine="0"/>
      <w:jc w:val="center"/>
    </w:pPr>
    <w:rPr>
      <w:sz w:val="21"/>
      <w:szCs w:val="21"/>
    </w:rPr>
  </w:style>
  <w:style w:type="character" w:customStyle="1" w:styleId="15">
    <w:name w:val="标题 2 字符"/>
    <w:basedOn w:val="12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customStyle="1" w:styleId="16">
    <w:name w:val="Default1"/>
    <w:basedOn w:val="17"/>
    <w:next w:val="1"/>
    <w:autoRedefine/>
    <w:qFormat/>
    <w:uiPriority w:val="0"/>
    <w:rPr>
      <w:rFonts w:cs="宋体"/>
      <w:color w:val="000000"/>
    </w:rPr>
  </w:style>
  <w:style w:type="paragraph" w:customStyle="1" w:styleId="17">
    <w:name w:val="Normal_14_0"/>
    <w:autoRedefine/>
    <w:qFormat/>
    <w:uiPriority w:val="0"/>
    <w:pPr>
      <w:spacing w:before="120" w:after="240"/>
      <w:jc w:val="both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18">
    <w:name w:val="样式23"/>
    <w:basedOn w:val="1"/>
    <w:qFormat/>
    <w:uiPriority w:val="0"/>
    <w:pPr>
      <w:spacing w:line="360" w:lineRule="auto"/>
      <w:ind w:firstLine="480" w:firstLineChars="200"/>
      <w:jc w:val="left"/>
    </w:pPr>
    <w:rPr>
      <w:rFonts w:ascii="宋体" w:hAnsi="宋体"/>
      <w:color w:val="000000"/>
      <w:kern w:val="0"/>
      <w:sz w:val="24"/>
      <w:szCs w:val="24"/>
    </w:rPr>
  </w:style>
  <w:style w:type="paragraph" w:customStyle="1" w:styleId="19">
    <w:name w:val="样式 正文缩进s4标题4表正文正文非缩进图标题段1Body Text(ch)缩进ALT+Z特点四号正文不..."/>
    <w:basedOn w:val="5"/>
    <w:qFormat/>
    <w:uiPriority w:val="0"/>
    <w:pPr>
      <w:widowControl/>
      <w:adjustRightInd w:val="0"/>
      <w:snapToGrid w:val="0"/>
      <w:spacing w:line="360" w:lineRule="auto"/>
      <w:ind w:firstLine="472"/>
      <w:jc w:val="left"/>
    </w:pPr>
    <w:rPr>
      <w:rFonts w:ascii="宋体" w:hAnsi="宋体"/>
      <w:spacing w:val="-2"/>
      <w:szCs w:val="20"/>
    </w:rPr>
  </w:style>
  <w:style w:type="paragraph" w:customStyle="1" w:styleId="20">
    <w:name w:val="正文格式"/>
    <w:basedOn w:val="1"/>
    <w:qFormat/>
    <w:uiPriority w:val="0"/>
    <w:pPr>
      <w:spacing w:line="360" w:lineRule="auto"/>
      <w:ind w:firstLine="544" w:firstLineChars="200"/>
    </w:pPr>
    <w:rPr>
      <w:rFonts w:cs="MingLiU"/>
      <w:kern w:val="0"/>
      <w:sz w:val="24"/>
    </w:rPr>
  </w:style>
  <w:style w:type="paragraph" w:customStyle="1" w:styleId="21">
    <w:name w:val="文本"/>
    <w:basedOn w:val="1"/>
    <w:qFormat/>
    <w:uiPriority w:val="0"/>
    <w:pPr>
      <w:spacing w:line="360" w:lineRule="auto"/>
      <w:ind w:firstLine="480" w:firstLineChars="200"/>
    </w:pPr>
    <w:rPr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1117</Words>
  <Characters>1212</Characters>
  <Lines>9</Lines>
  <Paragraphs>2</Paragraphs>
  <TotalTime>1</TotalTime>
  <ScaleCrop>false</ScaleCrop>
  <LinksUpToDate>false</LinksUpToDate>
  <CharactersWithSpaces>1216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2020-09-25T03:50:00Z</dcterms:created>
  <dc:creator>程 P</dc:creator>
  <cp:lastModifiedBy>弓长火習</cp:lastModifiedBy>
  <dcterms:modified xsi:type="dcterms:W3CDTF">2026-08-04T06:09:22Z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6BCB4C950AD24278BBD7B0F34624904E_13</vt:lpwstr>
  </property>
  <property fmtid="{D5CDD505-2E9C-101B-9397-08002B2CF9AE}" pid="4" name="KSOTemplateDocerSaveRecord">
    <vt:lpwstr>eyJoZGlkIjoiNDVlYTczNjg2ZGViYWI3ZjUyNGRmMmRkOGI0MWVlMGUiLCJ1c2VySWQiOiIxMTUwMjMxMzM2In0=</vt:lpwstr>
  </property>
</Properties>
</file>