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6A997009">
        <w:tblPrEx>
          <w:shd w:val="clear" w:color="auto" w:fill="FFFFFF"/>
        </w:tblPrEx>
        <w:trPr>
          <w:trHeight w:val="810" w:hRule="atLeast"/>
          <w:tblCellSpacing w:w="0" w:type="dxa"/>
        </w:trPr>
        <w:tc>
          <w:tcPr>
            <w:tcW w:w="5000" w:type="pct"/>
            <w:shd w:val="clear" w:color="auto" w:fill="FFFFFF"/>
            <w:vAlign w:val="center"/>
          </w:tcPr>
          <w:p w14:paraId="55DE9513">
            <w:pPr>
              <w:widowControl/>
              <w:spacing w:before="100" w:beforeAutospacing="1" w:after="100" w:afterAutospacing="1"/>
              <w:jc w:val="center"/>
              <w:outlineLvl w:val="1"/>
              <w:rPr>
                <w:rFonts w:ascii="微软雅黑" w:hAnsi="微软雅黑" w:eastAsia="微软雅黑" w:cs="宋体"/>
                <w:b/>
                <w:bCs/>
                <w:color w:val="CC3300"/>
                <w:kern w:val="0"/>
                <w:sz w:val="36"/>
                <w:szCs w:val="36"/>
              </w:rPr>
            </w:pPr>
            <w:r>
              <w:rPr>
                <w:rFonts w:hint="eastAsia" w:ascii="微软雅黑" w:hAnsi="微软雅黑" w:eastAsia="微软雅黑" w:cs="宋体"/>
                <w:b/>
                <w:bCs/>
                <w:color w:val="CC3300"/>
                <w:kern w:val="0"/>
                <w:sz w:val="36"/>
                <w:szCs w:val="36"/>
                <w:lang w:val="en-US" w:eastAsia="zh-CN"/>
              </w:rPr>
              <w:t>景德镇市荣信陶瓷原料有限公司日用陶瓷原料生产项目</w:t>
            </w:r>
            <w:r>
              <w:rPr>
                <w:rFonts w:hint="eastAsia" w:ascii="微软雅黑" w:hAnsi="微软雅黑" w:eastAsia="微软雅黑" w:cs="宋体"/>
                <w:b/>
                <w:bCs/>
                <w:color w:val="CC3300"/>
                <w:kern w:val="0"/>
                <w:sz w:val="36"/>
                <w:szCs w:val="36"/>
              </w:rPr>
              <w:t>拟审批公示</w:t>
            </w:r>
          </w:p>
        </w:tc>
      </w:tr>
      <w:tr w14:paraId="26FE2DBF">
        <w:tblPrEx>
          <w:shd w:val="clear" w:color="auto" w:fill="FFFFFF"/>
          <w:tblCellMar>
            <w:top w:w="0" w:type="dxa"/>
            <w:left w:w="0" w:type="dxa"/>
            <w:bottom w:w="0" w:type="dxa"/>
            <w:right w:w="0" w:type="dxa"/>
          </w:tblCellMar>
        </w:tblPrEx>
        <w:trPr>
          <w:trHeight w:val="6480" w:hRule="atLeast"/>
          <w:tblCellSpacing w:w="0" w:type="dxa"/>
        </w:trPr>
        <w:tc>
          <w:tcPr>
            <w:tcW w:w="5000" w:type="pct"/>
            <w:shd w:val="clear" w:color="auto" w:fill="FFFFFF"/>
          </w:tcPr>
          <w:p w14:paraId="44A394FC">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根据建设项目环境影响评价审批程序及信息公开的有关规定，我局拟对《</w:t>
            </w:r>
            <w:r>
              <w:rPr>
                <w:rFonts w:hint="eastAsia" w:ascii="微软雅黑" w:hAnsi="微软雅黑" w:eastAsia="微软雅黑" w:cs="宋体"/>
                <w:color w:val="000000"/>
                <w:kern w:val="0"/>
                <w:szCs w:val="21"/>
                <w:lang w:val="en-US" w:eastAsia="zh-CN"/>
              </w:rPr>
              <w:t>景德镇市荣信陶瓷原料有限公司日用陶瓷原料生产项目</w:t>
            </w:r>
            <w:r>
              <w:rPr>
                <w:rFonts w:hint="eastAsia" w:ascii="微软雅黑" w:hAnsi="微软雅黑" w:eastAsia="微软雅黑" w:cs="宋体"/>
                <w:color w:val="000000"/>
                <w:kern w:val="0"/>
                <w:szCs w:val="21"/>
              </w:rPr>
              <w:t>环境影响报告表》作出审批意见，现予以公示，</w:t>
            </w:r>
            <w:r>
              <w:rPr>
                <w:rFonts w:hint="eastAsia" w:ascii="微软雅黑" w:hAnsi="微软雅黑" w:eastAsia="微软雅黑" w:cs="宋体"/>
                <w:color w:val="FF0000"/>
                <w:kern w:val="0"/>
                <w:szCs w:val="21"/>
              </w:rPr>
              <w:t>公示期为202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3</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12</w:t>
            </w:r>
            <w:r>
              <w:rPr>
                <w:rFonts w:hint="eastAsia" w:ascii="微软雅黑" w:hAnsi="微软雅黑" w:eastAsia="微软雅黑" w:cs="宋体"/>
                <w:color w:val="FF0000"/>
                <w:kern w:val="0"/>
                <w:szCs w:val="21"/>
              </w:rPr>
              <w:t>日-202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3</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13</w:t>
            </w:r>
            <w:r>
              <w:rPr>
                <w:rFonts w:hint="eastAsia" w:ascii="微软雅黑" w:hAnsi="微软雅黑" w:eastAsia="微软雅黑" w:cs="宋体"/>
                <w:color w:val="FF0000"/>
                <w:kern w:val="0"/>
                <w:szCs w:val="21"/>
              </w:rPr>
              <w:t>日（</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个工作日）。</w:t>
            </w:r>
          </w:p>
          <w:p w14:paraId="3856EF22">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val="en-US" w:eastAsia="zh-CN"/>
              </w:rPr>
              <w:t>浮梁生态环境局</w:t>
            </w:r>
            <w:r>
              <w:rPr>
                <w:rFonts w:hint="eastAsia" w:ascii="微软雅黑" w:hAnsi="微软雅黑" w:eastAsia="微软雅黑" w:cs="宋体"/>
                <w:color w:val="000000"/>
                <w:kern w:val="0"/>
                <w:szCs w:val="21"/>
              </w:rPr>
              <w:t>，邮编：333400</w:t>
            </w:r>
          </w:p>
          <w:p w14:paraId="33CAD7B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10"/>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83"/>
              <w:gridCol w:w="6642"/>
            </w:tblGrid>
            <w:tr w14:paraId="1B8620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7C0D22CF">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642" w:type="dxa"/>
                  <w:tcBorders>
                    <w:top w:val="outset" w:color="000000" w:sz="6" w:space="0"/>
                    <w:left w:val="outset" w:color="000000" w:sz="6" w:space="0"/>
                    <w:bottom w:val="outset" w:color="000000" w:sz="6" w:space="0"/>
                    <w:right w:val="outset" w:color="000000" w:sz="6" w:space="0"/>
                  </w:tcBorders>
                  <w:vAlign w:val="center"/>
                </w:tcPr>
                <w:p w14:paraId="37D6F1B9">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kern w:val="0"/>
                      <w:sz w:val="24"/>
                      <w:szCs w:val="24"/>
                      <w:lang w:val="en-US" w:eastAsia="zh-CN"/>
                    </w:rPr>
                    <w:t>景德镇市荣信陶瓷原料有限公司日用陶瓷原料生产项目</w:t>
                  </w:r>
                </w:p>
              </w:tc>
            </w:tr>
            <w:tr w14:paraId="48E68A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65B0D05D">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建设单位：</w:t>
                  </w:r>
                </w:p>
              </w:tc>
              <w:tc>
                <w:tcPr>
                  <w:tcW w:w="6642" w:type="dxa"/>
                  <w:tcBorders>
                    <w:top w:val="outset" w:color="000000" w:sz="6" w:space="0"/>
                    <w:left w:val="outset" w:color="000000" w:sz="6" w:space="0"/>
                    <w:bottom w:val="outset" w:color="000000" w:sz="6" w:space="0"/>
                    <w:right w:val="outset" w:color="000000" w:sz="6" w:space="0"/>
                  </w:tcBorders>
                  <w:vAlign w:val="center"/>
                </w:tcPr>
                <w:p w14:paraId="15B9BA68">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景德镇市荣信陶瓷原料有限公司</w:t>
                  </w:r>
                </w:p>
              </w:tc>
            </w:tr>
            <w:tr w14:paraId="54B8B5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0D70E839">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642" w:type="dxa"/>
                  <w:tcBorders>
                    <w:top w:val="outset" w:color="000000" w:sz="6" w:space="0"/>
                    <w:left w:val="outset" w:color="000000" w:sz="6" w:space="0"/>
                    <w:bottom w:val="outset" w:color="000000" w:sz="6" w:space="0"/>
                    <w:right w:val="outset" w:color="000000" w:sz="6" w:space="0"/>
                  </w:tcBorders>
                  <w:vAlign w:val="center"/>
                </w:tcPr>
                <w:p w14:paraId="7E90BF3F">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江西省景德镇市浮梁县浮梁产业园（三龙镇纬五路）</w:t>
                  </w:r>
                </w:p>
              </w:tc>
            </w:tr>
            <w:tr w14:paraId="26DC27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1E16946">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642" w:type="dxa"/>
                  <w:tcBorders>
                    <w:top w:val="outset" w:color="000000" w:sz="6" w:space="0"/>
                    <w:left w:val="outset" w:color="000000" w:sz="6" w:space="0"/>
                    <w:bottom w:val="outset" w:color="000000" w:sz="6" w:space="0"/>
                    <w:right w:val="outset" w:color="000000" w:sz="6" w:space="0"/>
                  </w:tcBorders>
                  <w:vAlign w:val="center"/>
                </w:tcPr>
                <w:p w14:paraId="30E08560">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南昌齐力环保咨询有限公司</w:t>
                  </w:r>
                </w:p>
              </w:tc>
            </w:tr>
            <w:tr w14:paraId="0063E0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1EDBFD38">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642" w:type="dxa"/>
                  <w:tcBorders>
                    <w:top w:val="outset" w:color="000000" w:sz="6" w:space="0"/>
                    <w:left w:val="outset" w:color="000000" w:sz="6" w:space="0"/>
                    <w:bottom w:val="outset" w:color="000000" w:sz="6" w:space="0"/>
                    <w:right w:val="outset" w:color="000000" w:sz="6" w:space="0"/>
                  </w:tcBorders>
                  <w:vAlign w:val="top"/>
                </w:tcPr>
                <w:p w14:paraId="5CC30166">
                  <w:pPr>
                    <w:keepNext w:val="0"/>
                    <w:keepLines w:val="0"/>
                    <w:widowControl/>
                    <w:suppressLineNumbers w:val="0"/>
                    <w:jc w:val="left"/>
                    <w:rPr>
                      <w:rFonts w:hint="default"/>
                      <w:lang w:val="en-US" w:eastAsia="zh-CN"/>
                    </w:rPr>
                  </w:pPr>
                  <w:r>
                    <w:rPr>
                      <w:rFonts w:hint="eastAsia" w:ascii="宋体" w:hAnsi="宋体" w:eastAsia="宋体" w:cs="宋体"/>
                      <w:kern w:val="0"/>
                      <w:sz w:val="24"/>
                      <w:szCs w:val="24"/>
                      <w:lang w:val="en-US" w:eastAsia="zh-CN"/>
                    </w:rPr>
                    <w:t>景德镇市荣信陶瓷原料有限公司拟投资500万元，其中环保投资40万，占比8%，在江西省景德镇市浮梁县浮梁产业园（三龙镇纬五路），地理坐标为东经 117°7′34.291″，北纬 29°20′26.680″，租赁景德镇万腾汽配有限公司空置厂房，建筑面积约</w:t>
                  </w:r>
                  <w:bookmarkStart w:id="0" w:name="_GoBack"/>
                  <w:bookmarkEnd w:id="0"/>
                  <w:r>
                    <w:rPr>
                      <w:rFonts w:hint="eastAsia" w:ascii="宋体" w:hAnsi="宋体" w:eastAsia="宋体" w:cs="宋体"/>
                      <w:kern w:val="0"/>
                      <w:sz w:val="24"/>
                      <w:szCs w:val="24"/>
                      <w:lang w:val="en-US" w:eastAsia="zh-CN"/>
                    </w:rPr>
                    <w:t>4300m</w:t>
                  </w:r>
                  <w:r>
                    <w:rPr>
                      <w:rFonts w:hint="eastAsia" w:ascii="宋体" w:hAnsi="宋体" w:eastAsia="宋体" w:cs="宋体"/>
                      <w:kern w:val="0"/>
                      <w:sz w:val="24"/>
                      <w:szCs w:val="24"/>
                      <w:vertAlign w:val="superscript"/>
                      <w:lang w:val="en-US" w:eastAsia="zh-CN"/>
                    </w:rPr>
                    <w:t>2</w:t>
                  </w:r>
                  <w:r>
                    <w:rPr>
                      <w:rFonts w:hint="eastAsia" w:ascii="宋体" w:hAnsi="宋体" w:eastAsia="宋体" w:cs="宋体"/>
                      <w:kern w:val="0"/>
                      <w:sz w:val="24"/>
                      <w:szCs w:val="24"/>
                      <w:lang w:val="en-US" w:eastAsia="zh-CN"/>
                    </w:rPr>
                    <w:t>，购置设备建设景德镇市荣信陶瓷原料有限公司日用陶瓷原料生产项目，建成后可达年产陶瓷泥料10 万吨及釉料3000吨。</w:t>
                  </w:r>
                </w:p>
              </w:tc>
            </w:tr>
            <w:tr w14:paraId="7CC99C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86390C8">
                  <w:pPr>
                    <w:widowControl/>
                    <w:rPr>
                      <w:rFonts w:ascii="宋体" w:hAnsi="宋体" w:eastAsia="宋体" w:cs="宋体"/>
                      <w:kern w:val="0"/>
                      <w:sz w:val="24"/>
                      <w:szCs w:val="24"/>
                    </w:rPr>
                  </w:pPr>
                  <w:r>
                    <w:rPr>
                      <w:rFonts w:ascii="宋体" w:hAnsi="宋体" w:eastAsia="宋体" w:cs="宋体"/>
                      <w:kern w:val="0"/>
                      <w:sz w:val="24"/>
                      <w:szCs w:val="24"/>
                    </w:rPr>
                    <w:t>主要环境影响及预防或者减轻不良环境影响的对策和措施</w:t>
                  </w:r>
                </w:p>
              </w:tc>
              <w:tc>
                <w:tcPr>
                  <w:tcW w:w="6642" w:type="dxa"/>
                  <w:tcBorders>
                    <w:top w:val="outset" w:color="000000" w:sz="6" w:space="0"/>
                    <w:left w:val="outset" w:color="000000" w:sz="6" w:space="0"/>
                    <w:bottom w:val="outset" w:color="000000" w:sz="6" w:space="0"/>
                    <w:right w:val="outset" w:color="000000" w:sz="6" w:space="0"/>
                  </w:tcBorders>
                </w:tcPr>
                <w:p w14:paraId="7494293E">
                  <w:pPr>
                    <w:pStyle w:val="4"/>
                    <w:spacing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1、废气</w:t>
                  </w:r>
                </w:p>
                <w:p w14:paraId="36F028F4">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废气主要来源于原料装卸、存储粉尘、配料称重、投料粉尘。本项目运输主要采用汽车运输，运输车辆采取车身加盖，防止物料的洒落，厂区内设置汽车冲洗平台，减少建设项目运输时无组织粉尘的产生；项目生产工段均采取湿法生产工艺，生产中装卸、投料等扬尘点均设置喷雾抑尘，原材料堆场均采取喷雾降尘、封闭式堆场减少粉尘产生，建设项目对于无组织排放的扬尘场所采取了喷雾、车间封闭等防尘措施后，可以有效地降低粉尘的无组织排放，粉尘排放浓度均能达到《大气污染物综合排放标准》（GB16297-1996）表2中相关标准限值。</w:t>
                  </w:r>
                </w:p>
                <w:p w14:paraId="4ED30077">
                  <w:pPr>
                    <w:pStyle w:val="4"/>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2、废水</w:t>
                  </w:r>
                </w:p>
                <w:p w14:paraId="24DF7974">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生产用水经沉淀池处理后循环利用，无生产废水外排。生活污水经化粪池处理达到景德镇陶瓷工业园污水处理厂接管标准后，经景德镇陶瓷工业园污水处理厂处理达《城镇污水处理厂污染物排放标准》（GB18918-2002）中一级A标准后排入西河。</w:t>
                  </w:r>
                </w:p>
                <w:p w14:paraId="18D93B5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3、噪声</w:t>
                  </w:r>
                </w:p>
                <w:p w14:paraId="43B64286">
                  <w:pPr>
                    <w:keepNext w:val="0"/>
                    <w:keepLines w:val="0"/>
                    <w:widowControl/>
                    <w:suppressLineNumbers w:val="0"/>
                    <w:jc w:val="left"/>
                    <w:rPr>
                      <w:rFonts w:hint="eastAsia"/>
                      <w:color w:val="auto"/>
                    </w:rPr>
                  </w:pPr>
                  <w:r>
                    <w:rPr>
                      <w:rFonts w:hint="eastAsia" w:ascii="宋体" w:hAnsi="宋体" w:eastAsia="宋体" w:cs="宋体"/>
                      <w:color w:val="000000"/>
                      <w:kern w:val="0"/>
                      <w:sz w:val="24"/>
                      <w:szCs w:val="24"/>
                      <w:lang w:val="en-US" w:eastAsia="zh-CN"/>
                    </w:rPr>
                    <w:t>本项目噪声主要来自球磨机、震动筛、搅拌机、注塞泵、压滤机、空压机等设备运行时产生的机械噪声。通过安装隔声门窗，对高噪声设备安装减振垫、隔板，以及加强生产设备的日常维修管理，并对老化和性能降低的旧设备进行及时更换，可以有效减少噪声强度，确保周围保护目标不受影响。</w:t>
                  </w:r>
                </w:p>
                <w:p w14:paraId="1C929A40">
                  <w:pPr>
                    <w:keepNext w:val="0"/>
                    <w:keepLines w:val="0"/>
                    <w:widowControl/>
                    <w:numPr>
                      <w:ilvl w:val="0"/>
                      <w:numId w:val="1"/>
                    </w:numPr>
                    <w:suppressLineNumbers w:val="0"/>
                    <w:spacing w:line="24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固体废物</w:t>
                  </w:r>
                </w:p>
                <w:p w14:paraId="3490312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产生的固体废物主要为员工的生活垃圾、污泥、除铁渣、瓷泥砂和大颗粒石、废润滑油、废润滑油桶、废抹布和手套。员工的生活垃圾定期交当地环卫部门清运处理；污泥、除铁渣、瓷泥砂和大颗粒石，分类集中收集，定期外售综合利用；收集后暂存于危废暂存间，废润滑油、废润滑油桶、废抹布和手套定期交由有资质单位处理。</w:t>
                  </w:r>
                </w:p>
                <w:p w14:paraId="613EAA7F">
                  <w:pPr>
                    <w:pStyle w:val="4"/>
                    <w:numPr>
                      <w:ilvl w:val="0"/>
                      <w:numId w:val="2"/>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地下水、土壤环境</w:t>
                  </w:r>
                </w:p>
                <w:p w14:paraId="347A7EEF">
                  <w:pPr>
                    <w:pStyle w:val="4"/>
                    <w:numPr>
                      <w:ilvl w:val="0"/>
                      <w:numId w:val="0"/>
                    </w:numPr>
                    <w:spacing w:line="240" w:lineRule="auto"/>
                    <w:ind w:leftChars="0"/>
                    <w:rPr>
                      <w:rFonts w:hint="eastAsia" w:ascii="宋体" w:hAnsi="宋体" w:eastAsia="宋体" w:cs="宋体"/>
                      <w:lang w:val="en-US" w:eastAsia="zh-CN"/>
                    </w:rPr>
                  </w:pPr>
                  <w:r>
                    <w:rPr>
                      <w:rFonts w:hint="eastAsia" w:ascii="宋体" w:hAnsi="宋体" w:eastAsia="宋体" w:cs="宋体"/>
                      <w:lang w:val="en-US" w:eastAsia="zh-CN"/>
                    </w:rPr>
                    <w:t>一般工业固体废物贮存过程应满足相应防扬尘、防雨淋、防渗漏等环境保护要求。危险固体废物执行《危险废物贮存污染物控制标准》（GB18597-2023）。</w:t>
                  </w:r>
                </w:p>
                <w:p w14:paraId="5356786B">
                  <w:pPr>
                    <w:numPr>
                      <w:ilvl w:val="0"/>
                      <w:numId w:val="2"/>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环境风险防范</w:t>
                  </w:r>
                </w:p>
                <w:p w14:paraId="281D4B12">
                  <w:pPr>
                    <w:pStyle w:val="4"/>
                    <w:numPr>
                      <w:ilvl w:val="0"/>
                      <w:numId w:val="0"/>
                    </w:numPr>
                    <w:spacing w:line="240" w:lineRule="auto"/>
                    <w:ind w:leftChars="0"/>
                    <w:rPr>
                      <w:rFonts w:hint="default"/>
                      <w:lang w:val="en-US" w:eastAsia="zh-CN"/>
                    </w:rPr>
                  </w:pPr>
                  <w:r>
                    <w:rPr>
                      <w:rFonts w:ascii="Times New Roman" w:hAnsi="Times New Roman" w:eastAsia="宋体" w:cs="Times New Roman"/>
                      <w:color w:val="auto"/>
                      <w:kern w:val="2"/>
                      <w:szCs w:val="24"/>
                      <w:highlight w:val="none"/>
                      <w:lang w:val="en-US" w:bidi="ar-SA"/>
                    </w:rPr>
                    <w:t>建设单位应严格落实环评提出</w:t>
                  </w:r>
                  <w:r>
                    <w:rPr>
                      <w:rFonts w:hint="eastAsia" w:ascii="Times New Roman" w:hAnsi="Times New Roman" w:eastAsia="宋体" w:cs="Times New Roman"/>
                      <w:color w:val="auto"/>
                      <w:kern w:val="2"/>
                      <w:szCs w:val="24"/>
                      <w:highlight w:val="none"/>
                      <w:lang w:val="en-US" w:eastAsia="zh-CN" w:bidi="ar-SA"/>
                    </w:rPr>
                    <w:t>的</w:t>
                  </w:r>
                  <w:r>
                    <w:rPr>
                      <w:rFonts w:ascii="Times New Roman" w:hAnsi="Times New Roman" w:eastAsia="宋体" w:cs="Times New Roman"/>
                      <w:color w:val="auto"/>
                      <w:kern w:val="2"/>
                      <w:szCs w:val="24"/>
                      <w:highlight w:val="none"/>
                      <w:lang w:val="en-US" w:bidi="ar-SA"/>
                    </w:rPr>
                    <w:t>各项措施和要求，做好各项风险的预防和应急措施。</w:t>
                  </w:r>
                </w:p>
              </w:tc>
            </w:tr>
          </w:tbl>
          <w:p w14:paraId="052BF854">
            <w:pPr>
              <w:widowControl/>
              <w:spacing w:line="375" w:lineRule="atLeast"/>
              <w:ind w:firstLine="375"/>
              <w:jc w:val="left"/>
              <w:rPr>
                <w:rFonts w:ascii="微软雅黑" w:hAnsi="微软雅黑" w:eastAsia="微软雅黑" w:cs="宋体"/>
                <w:color w:val="000000"/>
                <w:kern w:val="0"/>
                <w:szCs w:val="21"/>
              </w:rPr>
            </w:pPr>
          </w:p>
        </w:tc>
      </w:tr>
    </w:tbl>
    <w:p w14:paraId="570A95DE"/>
    <w:p w14:paraId="0F060618">
      <w:pPr>
        <w:bidi w:val="0"/>
        <w:rPr>
          <w:rFonts w:asciiTheme="minorHAnsi" w:hAnsiTheme="minorHAnsi" w:eastAsiaTheme="minorEastAsia" w:cstheme="minorBidi"/>
          <w:kern w:val="2"/>
          <w:sz w:val="21"/>
          <w:szCs w:val="22"/>
          <w:lang w:val="en-US" w:eastAsia="zh-CN" w:bidi="ar-SA"/>
        </w:rPr>
      </w:pPr>
    </w:p>
    <w:p w14:paraId="1FCA444C">
      <w:pPr>
        <w:bidi w:val="0"/>
        <w:rPr>
          <w:lang w:val="en-US" w:eastAsia="zh-CN"/>
        </w:rPr>
      </w:pPr>
    </w:p>
    <w:p w14:paraId="51173F41">
      <w:pPr>
        <w:bidi w:val="0"/>
        <w:rPr>
          <w:lang w:val="en-US" w:eastAsia="zh-CN"/>
        </w:rPr>
      </w:pPr>
    </w:p>
    <w:p w14:paraId="0C8B1C74">
      <w:pPr>
        <w:bidi w:val="0"/>
        <w:rPr>
          <w:lang w:val="en-US" w:eastAsia="zh-CN"/>
        </w:rPr>
      </w:pPr>
    </w:p>
    <w:p w14:paraId="40F396DC">
      <w:pPr>
        <w:bidi w:val="0"/>
        <w:rPr>
          <w:lang w:val="en-US" w:eastAsia="zh-CN"/>
        </w:rPr>
      </w:pPr>
    </w:p>
    <w:p w14:paraId="3D3BB0EA">
      <w:pPr>
        <w:bidi w:val="0"/>
        <w:rPr>
          <w:lang w:val="en-US" w:eastAsia="zh-CN"/>
        </w:rPr>
      </w:pPr>
    </w:p>
    <w:p w14:paraId="6F9AA5D5">
      <w:pPr>
        <w:bidi w:val="0"/>
        <w:rPr>
          <w:lang w:val="en-US" w:eastAsia="zh-CN"/>
        </w:rPr>
      </w:pPr>
    </w:p>
    <w:p w14:paraId="1844EFD4">
      <w:pPr>
        <w:bidi w:val="0"/>
        <w:rPr>
          <w:lang w:val="en-US" w:eastAsia="zh-CN"/>
        </w:rPr>
      </w:pPr>
    </w:p>
    <w:p w14:paraId="2F8E634E">
      <w:pPr>
        <w:bidi w:val="0"/>
        <w:rPr>
          <w:lang w:val="en-US" w:eastAsia="zh-CN"/>
        </w:rPr>
      </w:pPr>
    </w:p>
    <w:p w14:paraId="5A5A64AD">
      <w:pPr>
        <w:bidi w:val="0"/>
        <w:rPr>
          <w:lang w:val="en-US" w:eastAsia="zh-CN"/>
        </w:rPr>
      </w:pPr>
    </w:p>
    <w:p w14:paraId="5618FD67">
      <w:pPr>
        <w:bidi w:val="0"/>
        <w:rPr>
          <w:lang w:val="en-US" w:eastAsia="zh-CN"/>
        </w:rPr>
      </w:pPr>
    </w:p>
    <w:p w14:paraId="7CFCBD05">
      <w:pPr>
        <w:bidi w:val="0"/>
        <w:rPr>
          <w:lang w:val="en-US" w:eastAsia="zh-CN"/>
        </w:rPr>
      </w:pPr>
    </w:p>
    <w:p w14:paraId="58479F61">
      <w:pPr>
        <w:bidi w:val="0"/>
        <w:rPr>
          <w:lang w:val="en-US" w:eastAsia="zh-CN"/>
        </w:rPr>
      </w:pPr>
    </w:p>
    <w:p w14:paraId="2FD51B6B">
      <w:pPr>
        <w:bidi w:val="0"/>
        <w:rPr>
          <w:lang w:val="en-US" w:eastAsia="zh-CN"/>
        </w:rPr>
      </w:pPr>
    </w:p>
    <w:p w14:paraId="421874D5">
      <w:pPr>
        <w:bidi w:val="0"/>
        <w:jc w:val="cente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98877"/>
    <w:multiLevelType w:val="singleLevel"/>
    <w:tmpl w:val="03C98877"/>
    <w:lvl w:ilvl="0" w:tentative="0">
      <w:start w:val="5"/>
      <w:numFmt w:val="decimal"/>
      <w:suff w:val="nothing"/>
      <w:lvlText w:val="%1、"/>
      <w:lvlJc w:val="left"/>
    </w:lvl>
  </w:abstractNum>
  <w:abstractNum w:abstractNumId="1">
    <w:nsid w:val="5F79FE04"/>
    <w:multiLevelType w:val="singleLevel"/>
    <w:tmpl w:val="5F79FE04"/>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5F399E"/>
    <w:rsid w:val="0A8B4C59"/>
    <w:rsid w:val="0BA336E9"/>
    <w:rsid w:val="0C7C6AB8"/>
    <w:rsid w:val="0CFC4683"/>
    <w:rsid w:val="0E3B71C3"/>
    <w:rsid w:val="1786371B"/>
    <w:rsid w:val="1848110F"/>
    <w:rsid w:val="1C7313F8"/>
    <w:rsid w:val="1CD05AAA"/>
    <w:rsid w:val="1E665DA3"/>
    <w:rsid w:val="1EE0798F"/>
    <w:rsid w:val="21716467"/>
    <w:rsid w:val="22046BDF"/>
    <w:rsid w:val="24C37B55"/>
    <w:rsid w:val="28891F69"/>
    <w:rsid w:val="28D94453"/>
    <w:rsid w:val="2A5F21F6"/>
    <w:rsid w:val="2B552083"/>
    <w:rsid w:val="2D617843"/>
    <w:rsid w:val="2DF357BC"/>
    <w:rsid w:val="30CF487C"/>
    <w:rsid w:val="33BC7085"/>
    <w:rsid w:val="365E2D9B"/>
    <w:rsid w:val="38FD64F2"/>
    <w:rsid w:val="390F65AD"/>
    <w:rsid w:val="3AC8077D"/>
    <w:rsid w:val="3C015C8B"/>
    <w:rsid w:val="3D404AB5"/>
    <w:rsid w:val="3E2D42D5"/>
    <w:rsid w:val="409029BC"/>
    <w:rsid w:val="419F3086"/>
    <w:rsid w:val="484425CD"/>
    <w:rsid w:val="486334E9"/>
    <w:rsid w:val="496E0268"/>
    <w:rsid w:val="4CD570C6"/>
    <w:rsid w:val="4D4D0242"/>
    <w:rsid w:val="4D6372B0"/>
    <w:rsid w:val="4D8B1DF5"/>
    <w:rsid w:val="4F67162E"/>
    <w:rsid w:val="4FE20D52"/>
    <w:rsid w:val="5137755A"/>
    <w:rsid w:val="51525C3C"/>
    <w:rsid w:val="51CF544F"/>
    <w:rsid w:val="52321867"/>
    <w:rsid w:val="54A275A4"/>
    <w:rsid w:val="569A7B22"/>
    <w:rsid w:val="5F163E54"/>
    <w:rsid w:val="5FF4239D"/>
    <w:rsid w:val="60413681"/>
    <w:rsid w:val="629D09E0"/>
    <w:rsid w:val="65BD3B52"/>
    <w:rsid w:val="68031B8E"/>
    <w:rsid w:val="69DA04B2"/>
    <w:rsid w:val="6A8C37E0"/>
    <w:rsid w:val="6B8C0BFF"/>
    <w:rsid w:val="6B9243C2"/>
    <w:rsid w:val="6D3B1B38"/>
    <w:rsid w:val="6F68013D"/>
    <w:rsid w:val="73A905BB"/>
    <w:rsid w:val="74440737"/>
    <w:rsid w:val="7916649B"/>
    <w:rsid w:val="7C5357AF"/>
    <w:rsid w:val="7D0351A7"/>
    <w:rsid w:val="7DC76D29"/>
    <w:rsid w:val="7F08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b/>
      <w:sz w:val="24"/>
    </w:rPr>
  </w:style>
  <w:style w:type="paragraph" w:styleId="4">
    <w:name w:val="heading 4"/>
    <w:basedOn w:val="1"/>
    <w:next w:val="1"/>
    <w:autoRedefine/>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sz w:val="28"/>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after="120"/>
      <w:ind w:left="420" w:leftChars="200"/>
    </w:pPr>
    <w:rPr>
      <w:kern w:val="0"/>
      <w:sz w:val="24"/>
      <w:szCs w:val="20"/>
    </w:rPr>
  </w:style>
  <w:style w:type="paragraph" w:styleId="8">
    <w:name w:val="toc 5"/>
    <w:basedOn w:val="1"/>
    <w:next w:val="1"/>
    <w:qFormat/>
    <w:uiPriority w:val="39"/>
    <w:pPr>
      <w:ind w:left="960"/>
      <w:jc w:val="left"/>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
    <w:basedOn w:val="14"/>
    <w:next w:val="1"/>
    <w:qFormat/>
    <w:uiPriority w:val="0"/>
    <w:pPr>
      <w:adjustRightInd w:val="0"/>
      <w:snapToGrid w:val="0"/>
      <w:spacing w:line="360" w:lineRule="exact"/>
      <w:jc w:val="center"/>
    </w:pPr>
    <w:rPr>
      <w:rFonts w:ascii="Times New Roman" w:hAnsi="Times New Roman" w:eastAsia="宋体" w:cs="Times New Roman"/>
      <w:kern w:val="0"/>
      <w:sz w:val="21"/>
      <w:szCs w:val="21"/>
    </w:rPr>
  </w:style>
  <w:style w:type="paragraph" w:customStyle="1" w:styleId="14">
    <w:name w:val="表格内表格正文"/>
    <w:basedOn w:val="1"/>
    <w:qFormat/>
    <w:uiPriority w:val="0"/>
    <w:pPr>
      <w:spacing w:line="240" w:lineRule="auto"/>
      <w:ind w:firstLine="0"/>
      <w:jc w:val="center"/>
    </w:pPr>
    <w:rPr>
      <w:sz w:val="21"/>
      <w:szCs w:val="21"/>
    </w:rPr>
  </w:style>
  <w:style w:type="character" w:customStyle="1" w:styleId="15">
    <w:name w:val="标题 2 字符"/>
    <w:basedOn w:val="12"/>
    <w:link w:val="2"/>
    <w:qFormat/>
    <w:uiPriority w:val="9"/>
    <w:rPr>
      <w:rFonts w:ascii="宋体" w:hAnsi="宋体" w:eastAsia="宋体" w:cs="宋体"/>
      <w:b/>
      <w:bCs/>
      <w:kern w:val="0"/>
      <w:sz w:val="36"/>
      <w:szCs w:val="36"/>
    </w:rPr>
  </w:style>
  <w:style w:type="paragraph" w:customStyle="1" w:styleId="16">
    <w:name w:val="Default1"/>
    <w:basedOn w:val="17"/>
    <w:next w:val="1"/>
    <w:autoRedefine/>
    <w:qFormat/>
    <w:uiPriority w:val="0"/>
    <w:rPr>
      <w:rFonts w:cs="宋体"/>
      <w:color w:val="000000"/>
    </w:rPr>
  </w:style>
  <w:style w:type="paragraph" w:customStyle="1" w:styleId="1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8">
    <w:name w:val="样式23"/>
    <w:basedOn w:val="1"/>
    <w:qFormat/>
    <w:uiPriority w:val="0"/>
    <w:pPr>
      <w:spacing w:line="360" w:lineRule="auto"/>
      <w:ind w:firstLine="480" w:firstLineChars="200"/>
      <w:jc w:val="left"/>
    </w:pPr>
    <w:rPr>
      <w:rFonts w:ascii="宋体" w:hAnsi="宋体"/>
      <w:color w:val="000000"/>
      <w:kern w:val="0"/>
      <w:sz w:val="24"/>
      <w:szCs w:val="24"/>
    </w:rPr>
  </w:style>
  <w:style w:type="paragraph" w:customStyle="1" w:styleId="19">
    <w:name w:val="样式 正文缩进s4标题4表正文正文非缩进图标题段1Body Text(ch)缩进ALT+Z特点四号正文不..."/>
    <w:basedOn w:val="5"/>
    <w:qFormat/>
    <w:uiPriority w:val="0"/>
    <w:pPr>
      <w:widowControl/>
      <w:adjustRightInd w:val="0"/>
      <w:snapToGrid w:val="0"/>
      <w:spacing w:line="360" w:lineRule="auto"/>
      <w:ind w:firstLine="472"/>
      <w:jc w:val="left"/>
    </w:pPr>
    <w:rPr>
      <w:rFonts w:ascii="宋体" w:hAnsi="宋体"/>
      <w:spacing w:val="-2"/>
      <w:szCs w:val="20"/>
    </w:rPr>
  </w:style>
  <w:style w:type="paragraph" w:customStyle="1" w:styleId="20">
    <w:name w:val="正文格式"/>
    <w:basedOn w:val="1"/>
    <w:qFormat/>
    <w:uiPriority w:val="0"/>
    <w:pPr>
      <w:spacing w:line="360" w:lineRule="auto"/>
      <w:ind w:firstLine="544" w:firstLineChars="200"/>
    </w:pPr>
    <w:rPr>
      <w:rFonts w:cs="MingLiU"/>
      <w:kern w:val="0"/>
      <w:sz w:val="24"/>
    </w:rPr>
  </w:style>
  <w:style w:type="paragraph" w:customStyle="1" w:styleId="21">
    <w:name w:val="文本"/>
    <w:basedOn w:val="1"/>
    <w:qFormat/>
    <w:uiPriority w:val="0"/>
    <w:pPr>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1189</Characters>
  <Lines>9</Lines>
  <Paragraphs>2</Paragraphs>
  <TotalTime>53</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弓长火習</cp:lastModifiedBy>
  <dcterms:modified xsi:type="dcterms:W3CDTF">2026-03-12T07:44:14Z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27FABCCCDD974097B2454BF69FFEE8CF_13</vt:lpwstr>
  </property>
  <property fmtid="{D5CDD505-2E9C-101B-9397-08002B2CF9AE}" pid="4" name="KSOTemplateDocerSaveRecord">
    <vt:lpwstr>eyJoZGlkIjoiNDVlYTczNjg2ZGViYWI3ZjUyNGRmMmRkOGI0MWVlMGUiLCJ1c2VySWQiOiIxMTUwMjMxMzM2In0=</vt:lpwstr>
  </property>
</Properties>
</file>