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900F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浮梁县关于第二轮省环境保护督察反馈问题整改销号的公示</w:t>
      </w:r>
    </w:p>
    <w:bookmarkEnd w:id="0"/>
    <w:p w14:paraId="46675B0D">
      <w:pPr>
        <w:jc w:val="center"/>
        <w:rPr>
          <w:rFonts w:hint="eastAsia" w:ascii="方正小标宋简体" w:hAnsi="方正小标宋简体" w:eastAsia="方正小标宋简体" w:cs="方正小标宋简体"/>
          <w:sz w:val="44"/>
          <w:szCs w:val="44"/>
        </w:rPr>
      </w:pPr>
    </w:p>
    <w:p w14:paraId="33C84D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为了进一步贯彻落实环境保护督察问题整改销号管理规范,根据《江西省生态环境保护督察整改</w:t>
      </w:r>
      <w:r>
        <w:rPr>
          <w:rFonts w:hint="eastAsia" w:ascii="仿宋_GB2312" w:hAnsi="仿宋_GB2312" w:eastAsia="仿宋_GB2312" w:cs="仿宋_GB2312"/>
          <w:sz w:val="32"/>
          <w:szCs w:val="32"/>
          <w:lang w:val="en-US" w:eastAsia="zh-CN"/>
        </w:rPr>
        <w:t>工作实施细则</w:t>
      </w:r>
      <w:r>
        <w:rPr>
          <w:rFonts w:hint="eastAsia" w:ascii="仿宋_GB2312" w:hAnsi="仿宋_GB2312" w:eastAsia="仿宋_GB2312" w:cs="仿宋_GB2312"/>
          <w:sz w:val="32"/>
          <w:szCs w:val="32"/>
        </w:rPr>
        <w:t>》(赣办</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和《景德镇市环境保护督察反馈问题整改销号管理办法(试行)》(景环督办字〔2020〕7号)及《浮梁县环境保护督察反馈问题整改销号管理办法(试行)》(浮环委办字〔2021〕60号)要求,现就浮梁县第二轮省环境保护督察反馈问题整改销号情况进行公示如下:</w:t>
      </w:r>
    </w:p>
    <w:tbl>
      <w:tblPr>
        <w:tblStyle w:val="2"/>
        <w:tblW w:w="15427" w:type="dxa"/>
        <w:jc w:val="center"/>
        <w:tblLayout w:type="fixed"/>
        <w:tblCellMar>
          <w:top w:w="0" w:type="dxa"/>
          <w:left w:w="108" w:type="dxa"/>
          <w:bottom w:w="0" w:type="dxa"/>
          <w:right w:w="108" w:type="dxa"/>
        </w:tblCellMar>
      </w:tblPr>
      <w:tblGrid>
        <w:gridCol w:w="634"/>
        <w:gridCol w:w="1155"/>
        <w:gridCol w:w="4934"/>
        <w:gridCol w:w="1559"/>
        <w:gridCol w:w="6521"/>
        <w:gridCol w:w="624"/>
      </w:tblGrid>
      <w:tr w14:paraId="744A371F">
        <w:tblPrEx>
          <w:tblCellMar>
            <w:top w:w="0" w:type="dxa"/>
            <w:left w:w="108" w:type="dxa"/>
            <w:bottom w:w="0" w:type="dxa"/>
            <w:right w:w="108" w:type="dxa"/>
          </w:tblCellMar>
        </w:tblPrEx>
        <w:trPr>
          <w:trHeight w:val="522"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74A9E1DF">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14:paraId="42AB3A3F">
            <w:pPr>
              <w:widowControl/>
              <w:spacing w:line="360" w:lineRule="exact"/>
              <w:ind w:firstLine="0" w:firstLineChars="0"/>
              <w:jc w:val="center"/>
              <w:textAlignment w:val="center"/>
              <w:rPr>
                <w:rFonts w:cs="宋体" w:asciiTheme="minorEastAsia" w:hAnsiTheme="minorEastAsia" w:eastAsiaTheme="minorEastAsia"/>
                <w:b/>
                <w:bCs/>
                <w:color w:val="000000"/>
                <w:kern w:val="0"/>
                <w:sz w:val="20"/>
                <w:lang w:bidi="ar"/>
              </w:rPr>
            </w:pPr>
            <w:r>
              <w:rPr>
                <w:rFonts w:hint="eastAsia" w:cs="宋体" w:asciiTheme="minorEastAsia" w:hAnsiTheme="minorEastAsia" w:eastAsiaTheme="minorEastAsia"/>
                <w:b/>
                <w:bCs/>
                <w:color w:val="000000"/>
                <w:kern w:val="0"/>
                <w:sz w:val="20"/>
                <w:lang w:bidi="ar"/>
              </w:rPr>
              <w:t>问题来源</w:t>
            </w:r>
          </w:p>
        </w:tc>
        <w:tc>
          <w:tcPr>
            <w:tcW w:w="4934" w:type="dxa"/>
            <w:tcBorders>
              <w:top w:val="single" w:color="000000" w:sz="4" w:space="0"/>
              <w:left w:val="single" w:color="000000" w:sz="4" w:space="0"/>
              <w:bottom w:val="single" w:color="000000" w:sz="4" w:space="0"/>
              <w:right w:val="single" w:color="000000" w:sz="4" w:space="0"/>
            </w:tcBorders>
            <w:vAlign w:val="center"/>
          </w:tcPr>
          <w:p w14:paraId="59C415EB">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反馈问题</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6F293D2">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责任单位</w:t>
            </w:r>
          </w:p>
        </w:tc>
        <w:tc>
          <w:tcPr>
            <w:tcW w:w="6521" w:type="dxa"/>
            <w:tcBorders>
              <w:top w:val="single" w:color="000000" w:sz="4" w:space="0"/>
              <w:left w:val="single" w:color="000000" w:sz="4" w:space="0"/>
              <w:bottom w:val="single" w:color="000000" w:sz="4" w:space="0"/>
              <w:right w:val="single" w:color="000000" w:sz="4" w:space="0"/>
            </w:tcBorders>
            <w:noWrap/>
            <w:vAlign w:val="center"/>
          </w:tcPr>
          <w:p w14:paraId="5E45D0E5">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整改进展</w:t>
            </w:r>
          </w:p>
        </w:tc>
        <w:tc>
          <w:tcPr>
            <w:tcW w:w="624" w:type="dxa"/>
            <w:tcBorders>
              <w:top w:val="single" w:color="000000" w:sz="4" w:space="0"/>
              <w:left w:val="single" w:color="000000" w:sz="4" w:space="0"/>
              <w:bottom w:val="single" w:color="000000" w:sz="4" w:space="0"/>
              <w:right w:val="single" w:color="000000" w:sz="4" w:space="0"/>
            </w:tcBorders>
            <w:vAlign w:val="center"/>
          </w:tcPr>
          <w:p w14:paraId="27580127">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是否销号</w:t>
            </w:r>
          </w:p>
        </w:tc>
      </w:tr>
      <w:tr w14:paraId="4AFD3067">
        <w:tblPrEx>
          <w:tblCellMar>
            <w:top w:w="0" w:type="dxa"/>
            <w:left w:w="108" w:type="dxa"/>
            <w:bottom w:w="0" w:type="dxa"/>
            <w:right w:w="108" w:type="dxa"/>
          </w:tblCellMar>
        </w:tblPrEx>
        <w:trPr>
          <w:trHeight w:val="531" w:hRule="atLeast"/>
          <w:jc w:val="center"/>
        </w:trPr>
        <w:tc>
          <w:tcPr>
            <w:tcW w:w="634" w:type="dxa"/>
            <w:tcBorders>
              <w:top w:val="single" w:color="000000" w:sz="4" w:space="0"/>
              <w:left w:val="single" w:color="000000" w:sz="4" w:space="0"/>
              <w:bottom w:val="single" w:color="000000" w:sz="4" w:space="0"/>
              <w:right w:val="single" w:color="000000" w:sz="4" w:space="0"/>
            </w:tcBorders>
            <w:noWrap/>
            <w:vAlign w:val="center"/>
          </w:tcPr>
          <w:p w14:paraId="3904A950">
            <w:pPr>
              <w:spacing w:line="260" w:lineRule="exact"/>
              <w:ind w:firstLine="0" w:firstLineChars="0"/>
              <w:jc w:val="center"/>
              <w:rPr>
                <w:rFonts w:hint="eastAsia" w:asciiTheme="minorEastAsia" w:hAnsiTheme="minorEastAsia" w:eastAsiaTheme="minorEastAsia"/>
                <w:color w:val="000000"/>
                <w:sz w:val="18"/>
                <w:szCs w:val="18"/>
                <w:highlight w:val="none"/>
                <w:lang w:eastAsia="zh-CN"/>
              </w:rPr>
            </w:pPr>
            <w:r>
              <w:rPr>
                <w:rFonts w:hint="eastAsia" w:asciiTheme="minorEastAsia" w:hAnsiTheme="minorEastAsia"/>
                <w:color w:val="000000"/>
                <w:sz w:val="18"/>
                <w:szCs w:val="18"/>
                <w:highlight w:val="none"/>
                <w:lang w:val="en-US" w:eastAsia="zh-CN"/>
              </w:rPr>
              <w:t>1</w:t>
            </w:r>
          </w:p>
        </w:tc>
        <w:tc>
          <w:tcPr>
            <w:tcW w:w="1155" w:type="dxa"/>
            <w:tcBorders>
              <w:top w:val="single" w:color="000000" w:sz="4" w:space="0"/>
              <w:left w:val="single" w:color="000000" w:sz="4" w:space="0"/>
              <w:bottom w:val="single" w:color="000000" w:sz="4" w:space="0"/>
              <w:right w:val="single" w:color="000000" w:sz="4" w:space="0"/>
            </w:tcBorders>
            <w:vAlign w:val="center"/>
          </w:tcPr>
          <w:p w14:paraId="023FEB5C">
            <w:pPr>
              <w:spacing w:line="320" w:lineRule="exact"/>
              <w:ind w:firstLine="0" w:firstLineChars="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2023年省督察反馈问题</w:t>
            </w:r>
          </w:p>
        </w:tc>
        <w:tc>
          <w:tcPr>
            <w:tcW w:w="4934" w:type="dxa"/>
            <w:tcBorders>
              <w:top w:val="single" w:color="000000" w:sz="4" w:space="0"/>
              <w:left w:val="single" w:color="000000" w:sz="4" w:space="0"/>
              <w:bottom w:val="single" w:color="000000" w:sz="4" w:space="0"/>
              <w:right w:val="single" w:color="000000" w:sz="4" w:space="0"/>
            </w:tcBorders>
            <w:vAlign w:val="center"/>
          </w:tcPr>
          <w:p w14:paraId="276C041E">
            <w:pPr>
              <w:spacing w:line="320" w:lineRule="exact"/>
              <w:ind w:firstLine="0" w:firstLineChars="0"/>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农业农村水污染防治不力。《江西省农业生态环境保护条例》对畜禽养殖、水产养殖污染排放物提出明确要求。督察发现，景德镇市德隆良种养殖有限公司养殖废水未经处理直接外排；浮梁县马源坞水库特种水产专业合作社从事甲鱼养殖，养殖尾水未经处理直排下游沟渠。</w:t>
            </w:r>
          </w:p>
        </w:tc>
        <w:tc>
          <w:tcPr>
            <w:tcW w:w="1559" w:type="dxa"/>
            <w:tcBorders>
              <w:top w:val="single" w:color="000000" w:sz="4" w:space="0"/>
              <w:left w:val="single" w:color="000000" w:sz="4" w:space="0"/>
              <w:bottom w:val="single" w:color="000000" w:sz="4" w:space="0"/>
              <w:right w:val="single" w:color="000000" w:sz="4" w:space="0"/>
            </w:tcBorders>
            <w:vAlign w:val="center"/>
          </w:tcPr>
          <w:p w14:paraId="36942335">
            <w:pPr>
              <w:spacing w:line="320" w:lineRule="exact"/>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浮梁县政府</w:t>
            </w:r>
          </w:p>
        </w:tc>
        <w:tc>
          <w:tcPr>
            <w:tcW w:w="6521" w:type="dxa"/>
            <w:tcBorders>
              <w:top w:val="single" w:color="000000" w:sz="4" w:space="0"/>
              <w:left w:val="single" w:color="000000" w:sz="4" w:space="0"/>
              <w:bottom w:val="single" w:color="000000" w:sz="4" w:space="0"/>
              <w:right w:val="single" w:color="000000" w:sz="4" w:space="0"/>
            </w:tcBorders>
            <w:vAlign w:val="center"/>
          </w:tcPr>
          <w:p w14:paraId="2FA33438">
            <w:pPr>
              <w:spacing w:line="320" w:lineRule="exact"/>
              <w:ind w:firstLine="0" w:firstLineChars="0"/>
              <w:jc w:val="left"/>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景德镇市德隆良种养殖有限公司完工建设厌氧罐900吨1座，沼液池3个1500立方米、堆粪棚主体工程。与梦田生态农业有限公司签订了800亩果园沼液消纳协议。粪污处理台账已按整改要求建立；</w:t>
            </w:r>
          </w:p>
          <w:p w14:paraId="14A447A8">
            <w:pPr>
              <w:spacing w:line="320" w:lineRule="exact"/>
              <w:ind w:firstLine="0" w:firstLineChars="0"/>
              <w:jc w:val="left"/>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浮梁县马源坞水库特种水产专业合作社已投资60万元，建成养殖尾水处理设施1530立方米，保障养殖尾水处理设施正常运行。</w:t>
            </w:r>
          </w:p>
        </w:tc>
        <w:tc>
          <w:tcPr>
            <w:tcW w:w="624" w:type="dxa"/>
            <w:tcBorders>
              <w:top w:val="single" w:color="000000" w:sz="4" w:space="0"/>
              <w:left w:val="single" w:color="000000" w:sz="4" w:space="0"/>
              <w:bottom w:val="single" w:color="000000" w:sz="4" w:space="0"/>
              <w:right w:val="single" w:color="000000" w:sz="4" w:space="0"/>
            </w:tcBorders>
            <w:vAlign w:val="center"/>
          </w:tcPr>
          <w:p w14:paraId="7E701A07">
            <w:pPr>
              <w:spacing w:line="260" w:lineRule="exact"/>
              <w:ind w:firstLine="0" w:firstLineChars="0"/>
              <w:jc w:val="center"/>
              <w:rPr>
                <w:rFonts w:asciiTheme="minorEastAsia" w:hAnsiTheme="minorEastAsia" w:eastAsiaTheme="minorEastAsia"/>
                <w:color w:val="000000"/>
                <w:sz w:val="18"/>
                <w:szCs w:val="18"/>
                <w:highlight w:val="none"/>
              </w:rPr>
            </w:pPr>
            <w:r>
              <w:rPr>
                <w:rFonts w:hint="eastAsia" w:asciiTheme="minorEastAsia" w:hAnsiTheme="minorEastAsia" w:eastAsiaTheme="minorEastAsia"/>
                <w:color w:val="000000"/>
                <w:sz w:val="18"/>
                <w:szCs w:val="18"/>
                <w:highlight w:val="none"/>
              </w:rPr>
              <w:t>是</w:t>
            </w:r>
          </w:p>
        </w:tc>
      </w:tr>
      <w:tr w14:paraId="769F8E18">
        <w:tblPrEx>
          <w:tblCellMar>
            <w:top w:w="0" w:type="dxa"/>
            <w:left w:w="108" w:type="dxa"/>
            <w:bottom w:w="0" w:type="dxa"/>
            <w:right w:w="108" w:type="dxa"/>
          </w:tblCellMar>
        </w:tblPrEx>
        <w:trPr>
          <w:trHeight w:val="482" w:hRule="atLeast"/>
          <w:jc w:val="center"/>
        </w:trPr>
        <w:tc>
          <w:tcPr>
            <w:tcW w:w="634" w:type="dxa"/>
            <w:tcBorders>
              <w:top w:val="single" w:color="000000" w:sz="4" w:space="0"/>
              <w:left w:val="single" w:color="000000" w:sz="4" w:space="0"/>
              <w:bottom w:val="single" w:color="000000" w:sz="4" w:space="0"/>
              <w:right w:val="single" w:color="000000" w:sz="4" w:space="0"/>
            </w:tcBorders>
            <w:noWrap/>
            <w:vAlign w:val="center"/>
          </w:tcPr>
          <w:p w14:paraId="2FCB1FB5">
            <w:pPr>
              <w:spacing w:line="260" w:lineRule="exact"/>
              <w:ind w:firstLine="0" w:firstLineChars="0"/>
              <w:jc w:val="center"/>
              <w:rPr>
                <w:rFonts w:hint="eastAsia" w:asciiTheme="minorEastAsia" w:hAnsiTheme="minorEastAsia" w:eastAsiaTheme="minorEastAsia"/>
                <w:color w:val="000000"/>
                <w:sz w:val="18"/>
                <w:szCs w:val="18"/>
                <w:highlight w:val="none"/>
                <w:lang w:eastAsia="zh-CN"/>
              </w:rPr>
            </w:pPr>
            <w:r>
              <w:rPr>
                <w:rFonts w:hint="eastAsia" w:asciiTheme="minorEastAsia" w:hAnsiTheme="minorEastAsia"/>
                <w:color w:val="000000"/>
                <w:sz w:val="18"/>
                <w:szCs w:val="18"/>
                <w:highlight w:val="none"/>
                <w:lang w:val="en-US" w:eastAsia="zh-CN"/>
              </w:rPr>
              <w:t>2</w:t>
            </w:r>
          </w:p>
        </w:tc>
        <w:tc>
          <w:tcPr>
            <w:tcW w:w="1155" w:type="dxa"/>
            <w:tcBorders>
              <w:top w:val="single" w:color="000000" w:sz="4" w:space="0"/>
              <w:left w:val="single" w:color="000000" w:sz="4" w:space="0"/>
              <w:bottom w:val="single" w:color="000000" w:sz="4" w:space="0"/>
              <w:right w:val="single" w:color="000000" w:sz="4" w:space="0"/>
            </w:tcBorders>
            <w:vAlign w:val="center"/>
          </w:tcPr>
          <w:p w14:paraId="5212C467">
            <w:pPr>
              <w:spacing w:line="320" w:lineRule="exact"/>
              <w:ind w:firstLine="0" w:firstLineChars="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2023年省督察反馈问题</w:t>
            </w:r>
          </w:p>
        </w:tc>
        <w:tc>
          <w:tcPr>
            <w:tcW w:w="4934" w:type="dxa"/>
            <w:tcBorders>
              <w:top w:val="single" w:color="000000" w:sz="4" w:space="0"/>
              <w:left w:val="single" w:color="000000" w:sz="4" w:space="0"/>
              <w:bottom w:val="single" w:color="000000" w:sz="4" w:space="0"/>
              <w:right w:val="single" w:color="000000" w:sz="4" w:space="0"/>
            </w:tcBorders>
            <w:vAlign w:val="center"/>
          </w:tcPr>
          <w:p w14:paraId="37DD6574">
            <w:pPr>
              <w:spacing w:line="320" w:lineRule="exact"/>
              <w:ind w:firstLine="0" w:firstLineChars="0"/>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江西省森林公园条例》规定，森林公园内各项建设应当符合总体规划，在森林公园内不得修建破坏景观、污染环境的工程设施。浮梁县省级森林公园多处林地植被遭采伐破坏，部分林地成为建筑堆料场或苗木经营场所。景德镇市大岭森林公园存在新建混凝土拌合站和陶瓷作坊情况；公园内原有的陶瓷厂、养猪场未按照规定有序退出，还存在扩建行为。</w:t>
            </w:r>
          </w:p>
        </w:tc>
        <w:tc>
          <w:tcPr>
            <w:tcW w:w="1559" w:type="dxa"/>
            <w:tcBorders>
              <w:top w:val="single" w:color="000000" w:sz="4" w:space="0"/>
              <w:left w:val="single" w:color="000000" w:sz="4" w:space="0"/>
              <w:bottom w:val="single" w:color="000000" w:sz="4" w:space="0"/>
              <w:right w:val="single" w:color="000000" w:sz="4" w:space="0"/>
            </w:tcBorders>
            <w:vAlign w:val="center"/>
          </w:tcPr>
          <w:p w14:paraId="53A586F7">
            <w:pPr>
              <w:spacing w:line="320" w:lineRule="exact"/>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浮梁县政府</w:t>
            </w:r>
          </w:p>
        </w:tc>
        <w:tc>
          <w:tcPr>
            <w:tcW w:w="6521" w:type="dxa"/>
            <w:tcBorders>
              <w:top w:val="single" w:color="000000" w:sz="4" w:space="0"/>
              <w:left w:val="single" w:color="000000" w:sz="4" w:space="0"/>
              <w:bottom w:val="single" w:color="000000" w:sz="4" w:space="0"/>
              <w:right w:val="single" w:color="000000" w:sz="4" w:space="0"/>
            </w:tcBorders>
            <w:vAlign w:val="center"/>
          </w:tcPr>
          <w:p w14:paraId="6F407D61">
            <w:pPr>
              <w:spacing w:line="320" w:lineRule="exact"/>
              <w:ind w:firstLine="0" w:firstLineChars="0"/>
              <w:jc w:val="left"/>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1.森林公园内建筑及生活垃圾已清理完成；森林公园内农作物及经济树种已清理，并安装了4块警示牌及森林公园公告牌。</w:t>
            </w:r>
          </w:p>
          <w:p w14:paraId="627F8C0A">
            <w:pPr>
              <w:spacing w:line="320" w:lineRule="exact"/>
              <w:ind w:firstLine="0" w:firstLineChars="0"/>
              <w:jc w:val="left"/>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2.“昌景黄”高铁项目已经完工，大岭森林公园内搅拌站已经拆除，已完成复绿。</w:t>
            </w:r>
          </w:p>
          <w:p w14:paraId="2EF5C18E">
            <w:pPr>
              <w:spacing w:line="320" w:lineRule="exact"/>
              <w:ind w:firstLine="0" w:firstLineChars="0"/>
              <w:jc w:val="left"/>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3.陶瓷作坊已经停止生产、养猪场已经退出养殖，原有地块将按大岭森林公园总体规划要求建设。</w:t>
            </w:r>
          </w:p>
        </w:tc>
        <w:tc>
          <w:tcPr>
            <w:tcW w:w="624" w:type="dxa"/>
            <w:tcBorders>
              <w:top w:val="single" w:color="000000" w:sz="4" w:space="0"/>
              <w:left w:val="single" w:color="000000" w:sz="4" w:space="0"/>
              <w:bottom w:val="single" w:color="000000" w:sz="4" w:space="0"/>
              <w:right w:val="single" w:color="000000" w:sz="4" w:space="0"/>
            </w:tcBorders>
            <w:vAlign w:val="center"/>
          </w:tcPr>
          <w:p w14:paraId="0B523C85">
            <w:pPr>
              <w:spacing w:line="260" w:lineRule="exact"/>
              <w:ind w:firstLine="0" w:firstLineChars="0"/>
              <w:jc w:val="center"/>
              <w:rPr>
                <w:rFonts w:asciiTheme="minorEastAsia" w:hAnsiTheme="minorEastAsia" w:eastAsiaTheme="minorEastAsia"/>
                <w:color w:val="000000"/>
                <w:sz w:val="18"/>
                <w:szCs w:val="18"/>
                <w:highlight w:val="none"/>
              </w:rPr>
            </w:pPr>
            <w:r>
              <w:rPr>
                <w:rFonts w:hint="eastAsia" w:asciiTheme="minorEastAsia" w:hAnsiTheme="minorEastAsia" w:eastAsiaTheme="minorEastAsia"/>
                <w:color w:val="000000"/>
                <w:sz w:val="18"/>
                <w:szCs w:val="18"/>
                <w:highlight w:val="none"/>
              </w:rPr>
              <w:t>是</w:t>
            </w:r>
          </w:p>
        </w:tc>
      </w:tr>
    </w:tbl>
    <w:p w14:paraId="6C24AF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本公示时间自2025年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日,对本公示情况有疑问和异议的,请联系市整改办,联系电话:0798-8526285。</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90D4A"/>
    <w:rsid w:val="532E27B3"/>
    <w:rsid w:val="7229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901</Characters>
  <Lines>0</Lines>
  <Paragraphs>0</Paragraphs>
  <TotalTime>2</TotalTime>
  <ScaleCrop>false</ScaleCrop>
  <LinksUpToDate>false</LinksUpToDate>
  <CharactersWithSpaces>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2025-09-17T03:55:00Z</dcterms:created>
  <dc:creator>小蕾</dc:creator>
  <cp:lastModifiedBy>F.er</cp:lastModifiedBy>
  <dcterms:modified xsi:type="dcterms:W3CDTF">2025-09-17T06:33:14Z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18273984B70A4EF1BD7B850DF55F3560_13</vt:lpwstr>
  </property>
  <property fmtid="{D5CDD505-2E9C-101B-9397-08002B2CF9AE}" pid="4" name="KSOTemplateDocerSaveRecord">
    <vt:lpwstr>eyJoZGlkIjoiMDNkMGQzOWFmMTQyYTMxZGRkZGQ1NDc1MjcyMzQ3MTkiLCJ1c2VySWQiOiIyNTc2NDY0OTUifQ==</vt:lpwstr>
  </property>
</Properties>
</file>