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00" w:type="pct"/>
        <w:tblCellSpacing w:w="0" w:type="dxa"/>
        <w:tblInd w:w="0" w:type="dxa"/>
        <w:shd w:val="clear" w:color="auto" w:fill="FFFFFF"/>
        <w:tblLayout w:type="autofit"/>
        <w:tblCellMar>
          <w:top w:w="0" w:type="dxa"/>
          <w:left w:w="0" w:type="dxa"/>
          <w:bottom w:w="0" w:type="dxa"/>
          <w:right w:w="0" w:type="dxa"/>
        </w:tblCellMar>
      </w:tblPr>
      <w:tblGrid>
        <w:gridCol w:w="8140"/>
      </w:tblGrid>
      <w:tr w14:paraId="42C6CEFB">
        <w:tblPrEx>
          <w:shd w:val="clear" w:color="auto" w:fill="FFFFFF"/>
          <w:tblCellMar>
            <w:top w:w="0" w:type="dxa"/>
            <w:left w:w="0" w:type="dxa"/>
            <w:bottom w:w="0" w:type="dxa"/>
            <w:right w:w="0" w:type="dxa"/>
          </w:tblCellMar>
        </w:tblPrEx>
        <w:trPr>
          <w:trHeight w:val="810" w:hRule="atLeast"/>
          <w:tblCellSpacing w:w="0" w:type="dxa"/>
        </w:trPr>
        <w:tc>
          <w:tcPr>
            <w:tcW w:w="0" w:type="auto"/>
            <w:shd w:val="clear" w:color="auto" w:fill="FFFFFF"/>
            <w:vAlign w:val="center"/>
          </w:tcPr>
          <w:p w14:paraId="67D7D1DE">
            <w:pPr>
              <w:widowControl/>
              <w:spacing w:before="100" w:beforeAutospacing="1" w:after="100" w:afterAutospacing="1"/>
              <w:jc w:val="center"/>
              <w:outlineLvl w:val="1"/>
              <w:rPr>
                <w:rFonts w:hint="eastAsia" w:ascii="微软雅黑" w:hAnsi="微软雅黑" w:eastAsia="微软雅黑" w:cs="宋体"/>
                <w:b/>
                <w:bCs/>
                <w:color w:val="CC3300"/>
                <w:kern w:val="0"/>
                <w:sz w:val="36"/>
                <w:szCs w:val="36"/>
              </w:rPr>
            </w:pPr>
            <w:r>
              <w:rPr>
                <w:rFonts w:hint="eastAsia" w:ascii="微软雅黑" w:hAnsi="微软雅黑" w:eastAsia="微软雅黑" w:cs="宋体"/>
                <w:b/>
                <w:bCs/>
                <w:color w:val="CC3300"/>
                <w:kern w:val="0"/>
                <w:sz w:val="36"/>
                <w:szCs w:val="36"/>
              </w:rPr>
              <w:t>浮梁县黄金坑花岗岩饰面石材矿扩深项目</w:t>
            </w:r>
          </w:p>
          <w:p w14:paraId="60945BF6">
            <w:pPr>
              <w:widowControl/>
              <w:spacing w:before="100" w:beforeAutospacing="1" w:after="100" w:afterAutospacing="1"/>
              <w:jc w:val="center"/>
              <w:outlineLvl w:val="1"/>
              <w:rPr>
                <w:rFonts w:ascii="微软雅黑" w:hAnsi="微软雅黑" w:eastAsia="微软雅黑" w:cs="宋体"/>
                <w:b/>
                <w:bCs/>
                <w:color w:val="CC3300"/>
                <w:kern w:val="0"/>
                <w:sz w:val="36"/>
                <w:szCs w:val="36"/>
              </w:rPr>
            </w:pPr>
            <w:r>
              <w:rPr>
                <w:rFonts w:hint="eastAsia" w:ascii="微软雅黑" w:hAnsi="微软雅黑" w:eastAsia="微软雅黑" w:cs="宋体"/>
                <w:b/>
                <w:bCs/>
                <w:color w:val="CC3300"/>
                <w:kern w:val="0"/>
                <w:sz w:val="36"/>
                <w:szCs w:val="36"/>
              </w:rPr>
              <w:t>拟审批公示</w:t>
            </w:r>
          </w:p>
        </w:tc>
      </w:tr>
      <w:tr w14:paraId="1EB47E72">
        <w:tblPrEx>
          <w:shd w:val="clear" w:color="auto" w:fill="FFFFFF"/>
          <w:tblCellMar>
            <w:top w:w="0" w:type="dxa"/>
            <w:left w:w="0" w:type="dxa"/>
            <w:bottom w:w="0" w:type="dxa"/>
            <w:right w:w="0" w:type="dxa"/>
          </w:tblCellMar>
        </w:tblPrEx>
        <w:trPr>
          <w:trHeight w:val="6480" w:hRule="atLeast"/>
          <w:tblCellSpacing w:w="0" w:type="dxa"/>
        </w:trPr>
        <w:tc>
          <w:tcPr>
            <w:tcW w:w="0" w:type="auto"/>
            <w:shd w:val="clear" w:color="auto" w:fill="FFFFFF"/>
          </w:tcPr>
          <w:p w14:paraId="479D3D4D">
            <w:pPr>
              <w:widowControl/>
              <w:spacing w:line="375" w:lineRule="atLeast"/>
              <w:ind w:firstLine="480"/>
              <w:rPr>
                <w:rFonts w:hint="default" w:ascii="Times New Roman" w:hAnsi="Times New Roman" w:eastAsia="宋体" w:cs="Times New Roman"/>
                <w:color w:val="FF0000"/>
                <w:kern w:val="0"/>
                <w:sz w:val="28"/>
                <w:szCs w:val="28"/>
              </w:rPr>
            </w:pPr>
            <w:r>
              <w:rPr>
                <w:rFonts w:hint="default" w:ascii="Times New Roman" w:hAnsi="Times New Roman" w:eastAsia="宋体" w:cs="Times New Roman"/>
                <w:color w:val="000000"/>
                <w:kern w:val="0"/>
                <w:sz w:val="28"/>
                <w:szCs w:val="28"/>
              </w:rPr>
              <w:t>根据建设项目环境影响评价审批程序及信息公开的有关规定，我局拟对《浮梁县黄金坑花岗岩饰面石材矿扩深项目环境影响报告表》作出审批意见，现予以公示，</w:t>
            </w:r>
            <w:r>
              <w:rPr>
                <w:rFonts w:hint="default" w:ascii="Times New Roman" w:hAnsi="Times New Roman" w:eastAsia="宋体" w:cs="Times New Roman"/>
                <w:color w:val="FF0000"/>
                <w:kern w:val="0"/>
                <w:sz w:val="28"/>
                <w:szCs w:val="28"/>
              </w:rPr>
              <w:t>公示期为202</w:t>
            </w:r>
            <w:r>
              <w:rPr>
                <w:rFonts w:hint="default" w:ascii="Times New Roman" w:hAnsi="Times New Roman" w:eastAsia="宋体" w:cs="Times New Roman"/>
                <w:color w:val="FF0000"/>
                <w:kern w:val="0"/>
                <w:sz w:val="28"/>
                <w:szCs w:val="28"/>
                <w:lang w:val="en-US" w:eastAsia="zh-CN"/>
              </w:rPr>
              <w:t>5</w:t>
            </w:r>
            <w:r>
              <w:rPr>
                <w:rFonts w:hint="default" w:ascii="Times New Roman" w:hAnsi="Times New Roman" w:eastAsia="宋体" w:cs="Times New Roman"/>
                <w:color w:val="FF0000"/>
                <w:kern w:val="0"/>
                <w:sz w:val="28"/>
                <w:szCs w:val="28"/>
              </w:rPr>
              <w:t>年</w:t>
            </w:r>
            <w:r>
              <w:rPr>
                <w:rFonts w:hint="default" w:ascii="Times New Roman" w:hAnsi="Times New Roman" w:eastAsia="宋体" w:cs="Times New Roman"/>
                <w:color w:val="FF0000"/>
                <w:kern w:val="0"/>
                <w:sz w:val="28"/>
                <w:szCs w:val="28"/>
                <w:lang w:val="en-US" w:eastAsia="zh-CN"/>
              </w:rPr>
              <w:t>9</w:t>
            </w:r>
            <w:r>
              <w:rPr>
                <w:rFonts w:hint="default" w:ascii="Times New Roman" w:hAnsi="Times New Roman" w:eastAsia="宋体" w:cs="Times New Roman"/>
                <w:color w:val="FF0000"/>
                <w:kern w:val="0"/>
                <w:sz w:val="28"/>
                <w:szCs w:val="28"/>
              </w:rPr>
              <w:t>月</w:t>
            </w:r>
            <w:r>
              <w:rPr>
                <w:rFonts w:hint="default" w:ascii="Times New Roman" w:hAnsi="Times New Roman" w:eastAsia="宋体" w:cs="Times New Roman"/>
                <w:color w:val="FF0000"/>
                <w:kern w:val="0"/>
                <w:sz w:val="28"/>
                <w:szCs w:val="28"/>
                <w:lang w:val="en-US" w:eastAsia="zh-CN"/>
              </w:rPr>
              <w:t>1</w:t>
            </w:r>
            <w:r>
              <w:rPr>
                <w:rFonts w:hint="default" w:ascii="Times New Roman" w:hAnsi="Times New Roman" w:eastAsia="宋体" w:cs="Times New Roman"/>
                <w:color w:val="FF0000"/>
                <w:kern w:val="0"/>
                <w:sz w:val="28"/>
                <w:szCs w:val="28"/>
              </w:rPr>
              <w:t>日-202</w:t>
            </w:r>
            <w:r>
              <w:rPr>
                <w:rFonts w:hint="default" w:ascii="Times New Roman" w:hAnsi="Times New Roman" w:eastAsia="宋体" w:cs="Times New Roman"/>
                <w:color w:val="FF0000"/>
                <w:kern w:val="0"/>
                <w:sz w:val="28"/>
                <w:szCs w:val="28"/>
                <w:lang w:val="en-US" w:eastAsia="zh-CN"/>
              </w:rPr>
              <w:t>5</w:t>
            </w:r>
            <w:r>
              <w:rPr>
                <w:rFonts w:hint="default" w:ascii="Times New Roman" w:hAnsi="Times New Roman" w:eastAsia="宋体" w:cs="Times New Roman"/>
                <w:color w:val="FF0000"/>
                <w:kern w:val="0"/>
                <w:sz w:val="28"/>
                <w:szCs w:val="28"/>
              </w:rPr>
              <w:t>年</w:t>
            </w:r>
            <w:r>
              <w:rPr>
                <w:rFonts w:hint="default" w:ascii="Times New Roman" w:hAnsi="Times New Roman" w:eastAsia="宋体" w:cs="Times New Roman"/>
                <w:color w:val="FF0000"/>
                <w:kern w:val="0"/>
                <w:sz w:val="28"/>
                <w:szCs w:val="28"/>
                <w:lang w:val="en-US" w:eastAsia="zh-CN"/>
              </w:rPr>
              <w:t>9</w:t>
            </w:r>
            <w:r>
              <w:rPr>
                <w:rFonts w:hint="default" w:ascii="Times New Roman" w:hAnsi="Times New Roman" w:eastAsia="宋体" w:cs="Times New Roman"/>
                <w:color w:val="FF0000"/>
                <w:kern w:val="0"/>
                <w:sz w:val="28"/>
                <w:szCs w:val="28"/>
              </w:rPr>
              <w:t>月</w:t>
            </w:r>
            <w:r>
              <w:rPr>
                <w:rFonts w:hint="default" w:ascii="Times New Roman" w:hAnsi="Times New Roman" w:eastAsia="宋体" w:cs="Times New Roman"/>
                <w:color w:val="FF0000"/>
                <w:kern w:val="0"/>
                <w:sz w:val="28"/>
                <w:szCs w:val="28"/>
                <w:lang w:val="en-US" w:eastAsia="zh-CN"/>
              </w:rPr>
              <w:t>2</w:t>
            </w:r>
            <w:r>
              <w:rPr>
                <w:rFonts w:hint="default" w:ascii="Times New Roman" w:hAnsi="Times New Roman" w:eastAsia="宋体" w:cs="Times New Roman"/>
                <w:color w:val="FF0000"/>
                <w:kern w:val="0"/>
                <w:sz w:val="28"/>
                <w:szCs w:val="28"/>
              </w:rPr>
              <w:t>日（2个工作日）。</w:t>
            </w:r>
          </w:p>
          <w:p w14:paraId="773B6D98">
            <w:pPr>
              <w:widowControl/>
              <w:spacing w:line="375" w:lineRule="atLeast"/>
              <w:ind w:firstLine="480"/>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联系地址：浮梁县民福南路</w:t>
            </w:r>
            <w:r>
              <w:rPr>
                <w:rFonts w:hint="default" w:ascii="Times New Roman" w:hAnsi="Times New Roman" w:eastAsia="宋体" w:cs="Times New Roman"/>
                <w:color w:val="000000"/>
                <w:kern w:val="0"/>
                <w:sz w:val="28"/>
                <w:szCs w:val="28"/>
                <w:lang w:val="en-US" w:eastAsia="zh-CN"/>
              </w:rPr>
              <w:t>浮梁生态环境局</w:t>
            </w:r>
            <w:r>
              <w:rPr>
                <w:rFonts w:hint="default" w:ascii="Times New Roman" w:hAnsi="Times New Roman" w:eastAsia="宋体" w:cs="Times New Roman"/>
                <w:color w:val="000000"/>
                <w:kern w:val="0"/>
                <w:sz w:val="28"/>
                <w:szCs w:val="28"/>
              </w:rPr>
              <w:t>，邮编：333400</w:t>
            </w:r>
          </w:p>
          <w:p w14:paraId="5C49BB2B">
            <w:pPr>
              <w:widowControl/>
              <w:spacing w:line="375" w:lineRule="atLeast"/>
              <w:ind w:firstLine="480"/>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联系电话：0798-2626887</w:t>
            </w:r>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483"/>
              <w:gridCol w:w="6642"/>
            </w:tblGrid>
            <w:tr w14:paraId="59D1C69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vAlign w:val="top"/>
                </w:tcPr>
                <w:p w14:paraId="2144B3D8">
                  <w:pPr>
                    <w:widowControl/>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kern w:val="0"/>
                      <w:sz w:val="24"/>
                      <w:szCs w:val="24"/>
                    </w:rPr>
                    <w:t>项目名称：</w:t>
                  </w:r>
                </w:p>
              </w:tc>
              <w:tc>
                <w:tcPr>
                  <w:tcW w:w="6642" w:type="dxa"/>
                  <w:tcBorders>
                    <w:top w:val="outset" w:color="000000" w:sz="6" w:space="0"/>
                    <w:left w:val="outset" w:color="000000" w:sz="6" w:space="0"/>
                    <w:bottom w:val="outset" w:color="000000" w:sz="6" w:space="0"/>
                    <w:right w:val="outset" w:color="000000" w:sz="6" w:space="0"/>
                  </w:tcBorders>
                  <w:vAlign w:val="center"/>
                </w:tcPr>
                <w:p w14:paraId="3DF9BCB2">
                  <w:pPr>
                    <w:keepNext w:val="0"/>
                    <w:keepLines w:val="0"/>
                    <w:widowControl/>
                    <w:suppressLineNumbers w:val="0"/>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000000"/>
                      <w:kern w:val="0"/>
                      <w:sz w:val="24"/>
                      <w:szCs w:val="24"/>
                      <w:lang w:val="en-US" w:eastAsia="zh-CN" w:bidi="ar"/>
                    </w:rPr>
                    <w:t>浮梁县黄金坑花岗岩饰面石材矿扩深项目</w:t>
                  </w:r>
                </w:p>
              </w:tc>
            </w:tr>
            <w:tr w14:paraId="08EC9DB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vAlign w:val="top"/>
                </w:tcPr>
                <w:p w14:paraId="5DDD2885">
                  <w:pPr>
                    <w:widowControl/>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建设单位：</w:t>
                  </w:r>
                </w:p>
              </w:tc>
              <w:tc>
                <w:tcPr>
                  <w:tcW w:w="6642" w:type="dxa"/>
                  <w:tcBorders>
                    <w:top w:val="outset" w:color="000000" w:sz="6" w:space="0"/>
                    <w:left w:val="outset" w:color="000000" w:sz="6" w:space="0"/>
                    <w:bottom w:val="outset" w:color="000000" w:sz="6" w:space="0"/>
                    <w:right w:val="outset" w:color="000000" w:sz="6" w:space="0"/>
                  </w:tcBorders>
                  <w:vAlign w:val="center"/>
                </w:tcPr>
                <w:p w14:paraId="405D8670">
                  <w:pPr>
                    <w:keepNext w:val="0"/>
                    <w:keepLines w:val="0"/>
                    <w:widowControl/>
                    <w:suppressLineNumbers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color w:val="000000"/>
                      <w:kern w:val="0"/>
                      <w:sz w:val="24"/>
                      <w:szCs w:val="24"/>
                      <w:lang w:val="en-US" w:eastAsia="zh-CN" w:bidi="ar"/>
                    </w:rPr>
                    <w:t>景德镇市永鑫矿业有限公司</w:t>
                  </w:r>
                </w:p>
              </w:tc>
            </w:tr>
            <w:tr w14:paraId="77569C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vAlign w:val="top"/>
                </w:tcPr>
                <w:p w14:paraId="0424952A">
                  <w:pPr>
                    <w:widowControl/>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建设地址：</w:t>
                  </w:r>
                </w:p>
              </w:tc>
              <w:tc>
                <w:tcPr>
                  <w:tcW w:w="6642" w:type="dxa"/>
                  <w:tcBorders>
                    <w:top w:val="outset" w:color="000000" w:sz="6" w:space="0"/>
                    <w:left w:val="outset" w:color="000000" w:sz="6" w:space="0"/>
                    <w:bottom w:val="outset" w:color="000000" w:sz="6" w:space="0"/>
                    <w:right w:val="outset" w:color="000000" w:sz="6" w:space="0"/>
                  </w:tcBorders>
                  <w:vAlign w:val="center"/>
                </w:tcPr>
                <w:p w14:paraId="604DF237">
                  <w:pPr>
                    <w:keepNext w:val="0"/>
                    <w:keepLines w:val="0"/>
                    <w:widowControl/>
                    <w:suppressLineNumbers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color w:val="000000"/>
                      <w:kern w:val="0"/>
                      <w:sz w:val="24"/>
                      <w:szCs w:val="24"/>
                      <w:lang w:val="en-US" w:eastAsia="zh-CN" w:bidi="ar"/>
                    </w:rPr>
                    <w:t>江西省景德镇市浮梁县黄坛乡港口村</w:t>
                  </w:r>
                </w:p>
              </w:tc>
            </w:tr>
            <w:tr w14:paraId="10F3244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vAlign w:val="top"/>
                </w:tcPr>
                <w:p w14:paraId="6060CE39">
                  <w:pPr>
                    <w:widowControl/>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环评机构：</w:t>
                  </w:r>
                </w:p>
              </w:tc>
              <w:tc>
                <w:tcPr>
                  <w:tcW w:w="6642" w:type="dxa"/>
                  <w:tcBorders>
                    <w:top w:val="outset" w:color="000000" w:sz="6" w:space="0"/>
                    <w:left w:val="outset" w:color="000000" w:sz="6" w:space="0"/>
                    <w:bottom w:val="outset" w:color="000000" w:sz="6" w:space="0"/>
                    <w:right w:val="outset" w:color="000000" w:sz="6" w:space="0"/>
                  </w:tcBorders>
                  <w:vAlign w:val="center"/>
                </w:tcPr>
                <w:p w14:paraId="7E3D8DFE">
                  <w:pPr>
                    <w:keepNext w:val="0"/>
                    <w:keepLines w:val="0"/>
                    <w:widowControl/>
                    <w:suppressLineNumbers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bidi="ar"/>
                    </w:rPr>
                    <w:t>景德镇景新环保科技有限公司 </w:t>
                  </w:r>
                </w:p>
              </w:tc>
            </w:tr>
            <w:tr w14:paraId="6775F7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vAlign w:val="top"/>
                </w:tcPr>
                <w:p w14:paraId="553AAC58">
                  <w:pPr>
                    <w:widowControl/>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项目概况:</w:t>
                  </w:r>
                </w:p>
              </w:tc>
              <w:tc>
                <w:tcPr>
                  <w:tcW w:w="6642" w:type="dxa"/>
                  <w:tcBorders>
                    <w:top w:val="outset" w:color="000000" w:sz="6" w:space="0"/>
                    <w:left w:val="outset" w:color="000000" w:sz="6" w:space="0"/>
                    <w:bottom w:val="outset" w:color="000000" w:sz="6" w:space="0"/>
                    <w:right w:val="outset" w:color="000000" w:sz="6" w:space="0"/>
                  </w:tcBorders>
                  <w:vAlign w:val="top"/>
                </w:tcPr>
                <w:p w14:paraId="51B58B69">
                  <w:pPr>
                    <w:keepNext w:val="0"/>
                    <w:keepLines w:val="0"/>
                    <w:pageBreakBefore w:val="0"/>
                    <w:widowControl/>
                    <w:suppressLineNumbers w:val="0"/>
                    <w:kinsoku/>
                    <w:wordWrap/>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景德镇市永鑫矿业有限公司拟投资21336万元，其中环保投资</w:t>
                  </w:r>
                  <w:r>
                    <w:rPr>
                      <w:rFonts w:hint="eastAsia" w:ascii="Times New Roman" w:hAnsi="Times New Roman" w:eastAsia="宋体" w:cs="Times New Roman"/>
                      <w:kern w:val="0"/>
                      <w:sz w:val="24"/>
                      <w:szCs w:val="24"/>
                      <w:lang w:val="en-US" w:eastAsia="zh-CN"/>
                    </w:rPr>
                    <w:t>1478.8</w:t>
                  </w:r>
                  <w:r>
                    <w:rPr>
                      <w:rFonts w:hint="default" w:ascii="Times New Roman" w:hAnsi="Times New Roman" w:eastAsia="宋体" w:cs="Times New Roman"/>
                      <w:kern w:val="0"/>
                      <w:sz w:val="24"/>
                      <w:szCs w:val="24"/>
                      <w:lang w:val="en-US" w:eastAsia="zh-CN"/>
                    </w:rPr>
                    <w:t>万元，占总投资的</w:t>
                  </w:r>
                  <w:r>
                    <w:rPr>
                      <w:rFonts w:hint="eastAsia" w:ascii="Times New Roman" w:hAnsi="Times New Roman" w:eastAsia="宋体" w:cs="Times New Roman"/>
                      <w:kern w:val="0"/>
                      <w:sz w:val="24"/>
                      <w:szCs w:val="24"/>
                      <w:lang w:val="en-US" w:eastAsia="zh-CN"/>
                    </w:rPr>
                    <w:t>6.93</w:t>
                  </w:r>
                  <w:r>
                    <w:rPr>
                      <w:rFonts w:hint="default" w:ascii="Times New Roman" w:hAnsi="Times New Roman" w:eastAsia="宋体" w:cs="Times New Roman"/>
                      <w:kern w:val="0"/>
                      <w:sz w:val="24"/>
                      <w:szCs w:val="24"/>
                      <w:lang w:val="en-US" w:eastAsia="zh-CN"/>
                    </w:rPr>
                    <w:t>%，建设浮梁县黄金坑花岗岩饰面石材矿扩深项目。矿区中心地理坐标：东经117度</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lang w:val="en-US" w:eastAsia="zh-CN"/>
                    </w:rPr>
                    <w:t>13.773</w:t>
                  </w:r>
                  <w:r>
                    <w:rPr>
                      <w:rFonts w:hint="default" w:ascii="Times New Roman" w:hAnsi="Times New Roman" w:eastAsia="宋体" w:cs="Times New Roman"/>
                      <w:kern w:val="0"/>
                      <w:sz w:val="24"/>
                      <w:szCs w:val="24"/>
                      <w:lang w:val="en-US" w:eastAsia="zh-CN"/>
                    </w:rPr>
                    <w:t>秒，北纬29度</w:t>
                  </w:r>
                  <w:r>
                    <w:rPr>
                      <w:rFonts w:hint="eastAsia" w:ascii="Times New Roman" w:hAnsi="Times New Roman" w:eastAsia="宋体" w:cs="Times New Roman"/>
                      <w:kern w:val="0"/>
                      <w:sz w:val="24"/>
                      <w:szCs w:val="24"/>
                      <w:lang w:val="en-US" w:eastAsia="zh-CN"/>
                    </w:rPr>
                    <w:t>34</w:t>
                  </w:r>
                  <w:r>
                    <w:rPr>
                      <w:rFonts w:hint="default"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lang w:val="en-US" w:eastAsia="zh-CN"/>
                    </w:rPr>
                    <w:t>15.707</w:t>
                  </w:r>
                  <w:r>
                    <w:rPr>
                      <w:rFonts w:hint="default" w:ascii="Times New Roman" w:hAnsi="Times New Roman" w:eastAsia="宋体" w:cs="Times New Roman"/>
                      <w:kern w:val="0"/>
                      <w:sz w:val="24"/>
                      <w:szCs w:val="24"/>
                      <w:lang w:val="en-US" w:eastAsia="zh-CN"/>
                    </w:rPr>
                    <w:t>秒。项目建成后的矿山开采规模为14.43万m</w:t>
                  </w:r>
                  <w:r>
                    <w:rPr>
                      <w:rFonts w:hint="default" w:ascii="Times New Roman" w:hAnsi="Times New Roman" w:eastAsia="宋体" w:cs="Times New Roman"/>
                      <w:kern w:val="0"/>
                      <w:sz w:val="24"/>
                      <w:szCs w:val="24"/>
                      <w:vertAlign w:val="superscript"/>
                      <w:lang w:val="en-US" w:eastAsia="zh-CN"/>
                    </w:rPr>
                    <w:t>3</w:t>
                  </w:r>
                  <w:r>
                    <w:rPr>
                      <w:rFonts w:hint="default" w:ascii="Times New Roman" w:hAnsi="Times New Roman" w:eastAsia="宋体" w:cs="Times New Roman"/>
                      <w:kern w:val="0"/>
                      <w:sz w:val="24"/>
                      <w:szCs w:val="24"/>
                      <w:lang w:val="en-US" w:eastAsia="zh-CN"/>
                    </w:rPr>
                    <w:t>/年（荒料），露天开采后的原矿直接外售，废石送碎石加工厂处理做作为建筑碎石使用（另行环评不含在本项目内）。项目由主体工程、辅助工程、储运工程、公用工程以及环保工程组成，主体工程中的采矿区依托现有工程；储运工程中的原矿堆场依托现有工程，新增排土场，矿区道路系统依托现有进行扩建；辅助工程中的办公楼依托现有工程；公用工程中的</w:t>
                  </w:r>
                  <w:r>
                    <w:rPr>
                      <w:rFonts w:hint="default" w:ascii="Times New Roman" w:hAnsi="Times New Roman" w:eastAsia="宋体" w:cs="Times New Roman"/>
                      <w:color w:val="000000"/>
                      <w:kern w:val="0"/>
                      <w:sz w:val="24"/>
                      <w:szCs w:val="24"/>
                      <w:lang w:val="en-US" w:eastAsia="zh-CN" w:bidi="ar"/>
                    </w:rPr>
                    <w:t>供电、给水依托现有工程，排水系统、防洪系统、依托现有进行扩建；环保工程针对现有工程的不足进行扩建。</w:t>
                  </w:r>
                </w:p>
              </w:tc>
            </w:tr>
            <w:tr w14:paraId="1DA178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tcPr>
                <w:p w14:paraId="56DF2CE9">
                  <w:pPr>
                    <w:widowControl/>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主要环境影响及预防或者减轻不良环境影响的对策和措施</w:t>
                  </w:r>
                </w:p>
              </w:tc>
              <w:tc>
                <w:tcPr>
                  <w:tcW w:w="6642" w:type="dxa"/>
                  <w:tcBorders>
                    <w:top w:val="outset" w:color="000000" w:sz="6" w:space="0"/>
                    <w:left w:val="outset" w:color="000000" w:sz="6" w:space="0"/>
                    <w:bottom w:val="outset" w:color="000000" w:sz="6" w:space="0"/>
                    <w:right w:val="outset" w:color="000000" w:sz="6" w:space="0"/>
                  </w:tcBorders>
                </w:tcPr>
                <w:p w14:paraId="1F48DA53">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1、废气</w:t>
                  </w:r>
                </w:p>
                <w:p w14:paraId="676518E1">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项目采剥作业扬尘通过雾炮机、洒水车进行喷淋处理，装载扬尘、运输扬尘</w:t>
                  </w:r>
                  <w:r>
                    <w:rPr>
                      <w:rFonts w:hint="eastAsia" w:ascii="Times New Roman" w:hAnsi="Times New Roman" w:eastAsia="宋体" w:cs="Times New Roman"/>
                      <w:kern w:val="0"/>
                      <w:sz w:val="24"/>
                      <w:szCs w:val="24"/>
                      <w:lang w:val="en-US" w:eastAsia="zh-CN"/>
                    </w:rPr>
                    <w:t>、排土场扬尘</w:t>
                  </w:r>
                  <w:r>
                    <w:rPr>
                      <w:rFonts w:hint="default" w:ascii="Times New Roman" w:hAnsi="Times New Roman" w:eastAsia="宋体" w:cs="Times New Roman"/>
                      <w:kern w:val="0"/>
                      <w:sz w:val="24"/>
                      <w:szCs w:val="24"/>
                      <w:lang w:val="en-US" w:eastAsia="zh-CN"/>
                    </w:rPr>
                    <w:t>通过对道路硬化、定期洒水、车辆实行</w:t>
                  </w:r>
                  <w:r>
                    <w:rPr>
                      <w:rFonts w:hint="eastAsia" w:ascii="Times New Roman" w:hAnsi="Times New Roman" w:eastAsia="宋体" w:cs="Times New Roman"/>
                      <w:kern w:val="0"/>
                      <w:sz w:val="24"/>
                      <w:szCs w:val="24"/>
                      <w:lang w:val="en-US" w:eastAsia="zh-CN"/>
                    </w:rPr>
                    <w:t>限速慢行</w:t>
                  </w:r>
                  <w:r>
                    <w:rPr>
                      <w:rFonts w:hint="default" w:ascii="Times New Roman" w:hAnsi="Times New Roman" w:eastAsia="宋体" w:cs="Times New Roman"/>
                      <w:kern w:val="0"/>
                      <w:sz w:val="24"/>
                      <w:szCs w:val="24"/>
                      <w:lang w:val="en-US" w:eastAsia="zh-CN"/>
                    </w:rPr>
                    <w:t>及遮盖篷布等抑尘措施进行处理。</w:t>
                  </w:r>
                </w:p>
                <w:p w14:paraId="48AD5137">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2、废水</w:t>
                  </w:r>
                </w:p>
                <w:p w14:paraId="03ADF61D">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项目淋溶水经截排水沟收集引至沉淀池，车辆冲洗平台废水引至沉淀池，经沉淀池处理后回用于生产工序用作抑尘用水，多余部分达标外排；生活污水经过现有化粪池处理后用于周边农田灌溉，不外排。</w:t>
                  </w:r>
                </w:p>
                <w:p w14:paraId="22123129">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3、噪声</w:t>
                  </w:r>
                </w:p>
                <w:p w14:paraId="4AA01857">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项目噪声主要为生产设备产生的噪声，通过选用低噪声设备及设备保养，车辆禁止超载，减速慢行，禁止鸣笛等措施处理。加强矿区周边绿化，通过距离衰减，保证运营期厂界噪声满足《工业企业厂界环境噪声排放标准》（GB12348-2008）2类标准。</w:t>
                  </w:r>
                </w:p>
                <w:p w14:paraId="38185C75">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4、固体废物</w:t>
                  </w:r>
                </w:p>
                <w:p w14:paraId="0DEBC7CC">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严格按照《中华人民共和国固体废物污染环境防治法》的有关规定妥善处置生产过程中产生的固体废物,并建立台账。</w:t>
                  </w:r>
                </w:p>
                <w:p w14:paraId="57D81B59">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露天开采后的原矿直接外售，废石送碎石加工厂处理做作为建筑碎石使用；表层剥离土部分外售，其余暂存于排土场，回用于复垦；沉淀池污泥压滤后暂存于排土场，回用于复垦；废机油暂存于危废暂存间，委托有资质单位处理；生活垃圾交由环卫部门处理。</w:t>
                  </w:r>
                </w:p>
                <w:p w14:paraId="6A67B24F">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5、生态</w:t>
                  </w:r>
                </w:p>
                <w:p w14:paraId="6F9BCDCF">
                  <w:pPr>
                    <w:keepNext w:val="0"/>
                    <w:keepLines w:val="0"/>
                    <w:pageBreakBefore w:val="0"/>
                    <w:kinsoku/>
                    <w:wordWrap/>
                    <w:overflowPunct/>
                    <w:topLinePunct w:val="0"/>
                    <w:autoSpaceDE/>
                    <w:autoSpaceDN/>
                    <w:bidi w:val="0"/>
                    <w:adjustRightInd w:val="0"/>
                    <w:snapToGrid w:val="0"/>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color w:val="000000"/>
                      <w:kern w:val="0"/>
                      <w:sz w:val="24"/>
                      <w:szCs w:val="24"/>
                      <w:lang w:val="en-US" w:eastAsia="zh-CN" w:bidi="ar"/>
                    </w:rPr>
                    <w:t>严格按照</w:t>
                  </w:r>
                  <w:r>
                    <w:rPr>
                      <w:rFonts w:hint="eastAsia" w:ascii="Times New Roman" w:hAnsi="Times New Roman" w:eastAsia="宋体" w:cs="Times New Roman"/>
                      <w:color w:val="000000"/>
                      <w:kern w:val="0"/>
                      <w:sz w:val="24"/>
                      <w:szCs w:val="24"/>
                      <w:lang w:val="en-US" w:eastAsia="zh-CN" w:bidi="ar"/>
                    </w:rPr>
                    <w:t>已批复的</w:t>
                  </w:r>
                  <w:r>
                    <w:rPr>
                      <w:rFonts w:hint="default" w:ascii="Times New Roman" w:hAnsi="Times New Roman" w:eastAsia="宋体" w:cs="Times New Roman"/>
                      <w:color w:val="000000"/>
                      <w:kern w:val="0"/>
                      <w:sz w:val="24"/>
                      <w:szCs w:val="24"/>
                      <w:lang w:val="zh-CN" w:eastAsia="zh-CN" w:bidi="ar"/>
                    </w:rPr>
                    <w:t>《江西省浮梁县黄金坑矿区饰面用花岗岩矿扩深矿山地质环境保护与土地复垦方案》</w:t>
                  </w:r>
                  <w:r>
                    <w:rPr>
                      <w:rFonts w:hint="eastAsia" w:ascii="Times New Roman" w:hAnsi="Times New Roman" w:eastAsia="宋体" w:cs="Times New Roman"/>
                      <w:color w:val="000000"/>
                      <w:kern w:val="0"/>
                      <w:sz w:val="24"/>
                      <w:szCs w:val="24"/>
                      <w:lang w:val="en-US" w:eastAsia="zh-CN" w:bidi="ar"/>
                    </w:rPr>
                    <w:t>的相关要求</w:t>
                  </w:r>
                  <w:r>
                    <w:rPr>
                      <w:rFonts w:hint="default" w:ascii="Times New Roman" w:hAnsi="Times New Roman" w:eastAsia="宋体" w:cs="Times New Roman"/>
                      <w:color w:val="000000"/>
                      <w:kern w:val="0"/>
                      <w:sz w:val="24"/>
                      <w:szCs w:val="24"/>
                      <w:lang w:val="zh-CN" w:eastAsia="zh-CN" w:bidi="ar"/>
                    </w:rPr>
                    <w:t>进行矿山地质环境保护与土地复垦工作</w:t>
                  </w:r>
                  <w:r>
                    <w:rPr>
                      <w:rFonts w:hint="eastAsia" w:ascii="Times New Roman" w:hAnsi="Times New Roman" w:eastAsia="宋体" w:cs="Times New Roman"/>
                      <w:color w:val="000000"/>
                      <w:kern w:val="0"/>
                      <w:sz w:val="24"/>
                      <w:szCs w:val="24"/>
                      <w:lang w:val="zh-CN" w:eastAsia="zh-CN" w:bidi="ar"/>
                    </w:rPr>
                    <w:t>，</w:t>
                  </w:r>
                  <w:bookmarkStart w:id="0" w:name="_GoBack"/>
                  <w:bookmarkEnd w:id="0"/>
                  <w:r>
                    <w:rPr>
                      <w:rFonts w:hint="default" w:ascii="Times New Roman" w:hAnsi="Times New Roman" w:eastAsia="宋体" w:cs="Times New Roman"/>
                      <w:color w:val="000000"/>
                      <w:kern w:val="0"/>
                      <w:sz w:val="24"/>
                      <w:szCs w:val="24"/>
                      <w:lang w:val="zh-CN" w:eastAsia="zh-CN" w:bidi="ar"/>
                    </w:rPr>
                    <w:t>做到</w:t>
                  </w:r>
                  <w:r>
                    <w:rPr>
                      <w:rFonts w:hint="default" w:ascii="Times New Roman" w:hAnsi="Times New Roman" w:eastAsia="宋体" w:cs="Times New Roman"/>
                      <w:color w:val="000000"/>
                      <w:kern w:val="0"/>
                      <w:sz w:val="24"/>
                      <w:szCs w:val="24"/>
                      <w:lang w:val="en-US" w:eastAsia="zh-CN" w:bidi="ar"/>
                    </w:rPr>
                    <w:t>“边开采、边复垦”。</w:t>
                  </w:r>
                </w:p>
              </w:tc>
            </w:tr>
          </w:tbl>
          <w:p w14:paraId="6C74BDB5">
            <w:pPr>
              <w:widowControl/>
              <w:spacing w:line="375" w:lineRule="atLeast"/>
              <w:ind w:firstLine="375"/>
              <w:jc w:val="left"/>
              <w:rPr>
                <w:rFonts w:ascii="微软雅黑" w:hAnsi="微软雅黑" w:eastAsia="微软雅黑" w:cs="宋体"/>
                <w:color w:val="000000"/>
                <w:kern w:val="0"/>
                <w:szCs w:val="21"/>
              </w:rPr>
            </w:pPr>
          </w:p>
        </w:tc>
      </w:tr>
    </w:tbl>
    <w:p w14:paraId="0C6B4A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yYjMxNGI0NTU3YjZlOGVmOTQwYTk5OTA5ZDU3YTcifQ=="/>
  </w:docVars>
  <w:rsids>
    <w:rsidRoot w:val="00E805A3"/>
    <w:rsid w:val="00762E3C"/>
    <w:rsid w:val="00E805A3"/>
    <w:rsid w:val="085F399E"/>
    <w:rsid w:val="0BA336E9"/>
    <w:rsid w:val="0C457AF6"/>
    <w:rsid w:val="0C7C6AB8"/>
    <w:rsid w:val="0CFC4683"/>
    <w:rsid w:val="0E3B71C3"/>
    <w:rsid w:val="0E626926"/>
    <w:rsid w:val="14317B78"/>
    <w:rsid w:val="1786371B"/>
    <w:rsid w:val="1848110F"/>
    <w:rsid w:val="1C7313F8"/>
    <w:rsid w:val="1CD05AAA"/>
    <w:rsid w:val="1E665DA3"/>
    <w:rsid w:val="1EE0798F"/>
    <w:rsid w:val="22046BDF"/>
    <w:rsid w:val="24C37B55"/>
    <w:rsid w:val="28891F69"/>
    <w:rsid w:val="28D94453"/>
    <w:rsid w:val="2A5F21F6"/>
    <w:rsid w:val="2B552083"/>
    <w:rsid w:val="2D617843"/>
    <w:rsid w:val="2FA33506"/>
    <w:rsid w:val="30CF487C"/>
    <w:rsid w:val="33BC7085"/>
    <w:rsid w:val="38FD64F2"/>
    <w:rsid w:val="390F65AD"/>
    <w:rsid w:val="3C015C8B"/>
    <w:rsid w:val="3D404AB5"/>
    <w:rsid w:val="409029BC"/>
    <w:rsid w:val="419F3086"/>
    <w:rsid w:val="452749C5"/>
    <w:rsid w:val="484425CD"/>
    <w:rsid w:val="496E0268"/>
    <w:rsid w:val="4D4D0242"/>
    <w:rsid w:val="4D6372B0"/>
    <w:rsid w:val="4D8B1DF5"/>
    <w:rsid w:val="4F67162E"/>
    <w:rsid w:val="4FE20D52"/>
    <w:rsid w:val="5137755A"/>
    <w:rsid w:val="51525C3C"/>
    <w:rsid w:val="51CF544F"/>
    <w:rsid w:val="54A275A4"/>
    <w:rsid w:val="569A7B22"/>
    <w:rsid w:val="5F163E54"/>
    <w:rsid w:val="61392E34"/>
    <w:rsid w:val="629D09E0"/>
    <w:rsid w:val="65BD3B52"/>
    <w:rsid w:val="6D2636C9"/>
    <w:rsid w:val="6F6B5112"/>
    <w:rsid w:val="74440737"/>
    <w:rsid w:val="7C5357AF"/>
    <w:rsid w:val="7D0351A7"/>
    <w:rsid w:val="7DC76D29"/>
    <w:rsid w:val="7F083AB5"/>
    <w:rsid w:val="7F5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4"/>
    <w:basedOn w:val="1"/>
    <w:next w:val="1"/>
    <w:qFormat/>
    <w:uiPriority w:val="9"/>
    <w:pPr>
      <w:keepNext/>
      <w:keepLines/>
      <w:spacing w:line="440" w:lineRule="exact"/>
      <w:ind w:firstLine="200" w:firstLineChars="200"/>
      <w:outlineLvl w:val="3"/>
    </w:pPr>
    <w:rPr>
      <w:rFonts w:ascii="黑体" w:hAnsi="黑体" w:eastAsia="MingLiU" w:cs="Arial Unicode MS"/>
      <w:bCs/>
      <w:sz w:val="24"/>
      <w:szCs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rPr>
      <w:kern w:val="0"/>
      <w:sz w:val="24"/>
      <w:szCs w:val="20"/>
    </w:rPr>
  </w:style>
  <w:style w:type="paragraph" w:styleId="5">
    <w:name w:val="toc 5"/>
    <w:basedOn w:val="1"/>
    <w:next w:val="1"/>
    <w:qFormat/>
    <w:uiPriority w:val="39"/>
    <w:pPr>
      <w:ind w:left="96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字符"/>
    <w:basedOn w:val="8"/>
    <w:link w:val="3"/>
    <w:qFormat/>
    <w:uiPriority w:val="9"/>
    <w:rPr>
      <w:rFonts w:ascii="宋体" w:hAnsi="宋体" w:eastAsia="宋体" w:cs="宋体"/>
      <w:b/>
      <w:bCs/>
      <w:kern w:val="0"/>
      <w:sz w:val="36"/>
      <w:szCs w:val="36"/>
    </w:rPr>
  </w:style>
  <w:style w:type="paragraph" w:customStyle="1" w:styleId="10">
    <w:name w:val="Default1"/>
    <w:basedOn w:val="11"/>
    <w:next w:val="1"/>
    <w:autoRedefine/>
    <w:qFormat/>
    <w:uiPriority w:val="0"/>
    <w:rPr>
      <w:rFonts w:cs="宋体"/>
      <w:color w:val="000000"/>
    </w:rPr>
  </w:style>
  <w:style w:type="paragraph" w:customStyle="1" w:styleId="11">
    <w:name w:val="Normal_14_0"/>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1105</Words>
  <Characters>1172</Characters>
  <Lines>9</Lines>
  <Paragraphs>2</Paragraphs>
  <TotalTime>0</TotalTime>
  <ScaleCrop>false</ScaleCrop>
  <LinksUpToDate>false</LinksUpToDate>
  <CharactersWithSpaces>1173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2020-09-25T03:50:00Z</dcterms:created>
  <dc:creator>程 P</dc:creator>
  <cp:lastModifiedBy>媛来如此</cp:lastModifiedBy>
  <dcterms:modified xsi:type="dcterms:W3CDTF">2025-09-01T06:52:32Z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4146CD8186454AE9B513070401846D0C_13</vt:lpwstr>
  </property>
  <property fmtid="{D5CDD505-2E9C-101B-9397-08002B2CF9AE}" pid="4" name="KSOTemplateDocerSaveRecord">
    <vt:lpwstr>eyJoZGlkIjoiNTYxYzFmYjljZWY5ZTg5NmU2YzkyNmFhMmUzOThjNDkiLCJ1c2VySWQiOiIzMjQ5NjAwMjMifQ==</vt:lpwstr>
  </property>
</Properties>
</file>