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0" w:line="224" w:lineRule="auto"/>
        <w:ind w:firstLine="14"/>
        <w:rPr>
          <w:rFonts w:hint="eastAsia" w:ascii="黑体" w:hAnsi="黑体" w:eastAsia="黑体" w:cs="黑体"/>
          <w:sz w:val="34"/>
          <w:szCs w:val="34"/>
          <w:lang w:val="en-US" w:eastAsia="zh-CN"/>
        </w:rPr>
      </w:pPr>
      <w:r>
        <w:rPr>
          <w:rFonts w:ascii="黑体" w:hAnsi="黑体" w:eastAsia="黑体" w:cs="黑体"/>
          <w:spacing w:val="3"/>
          <w:sz w:val="34"/>
          <w:szCs w:val="34"/>
          <w14:textOutline w14:w="6172" w14:cap="flat" w14:cmpd="sng">
            <w14:solidFill>
              <w14:srgbClr w14:val="000000"/>
            </w14:solidFill>
            <w14:prstDash w14:val="solid"/>
            <w14:miter w14:val="0"/>
          </w14:textOutline>
        </w:rPr>
        <w:t>附件</w:t>
      </w:r>
      <w:r>
        <w:rPr>
          <w:rFonts w:hint="eastAsia" w:ascii="黑体" w:hAnsi="黑体" w:eastAsia="黑体" w:cs="黑体"/>
          <w:spacing w:val="3"/>
          <w:sz w:val="34"/>
          <w:szCs w:val="34"/>
          <w:lang w:val="en-US" w:eastAsia="zh-CN"/>
          <w14:textOutline w14:w="6172" w14:cap="flat" w14:cmpd="sng">
            <w14:solidFill>
              <w14:srgbClr w14:val="000000"/>
            </w14:solidFill>
            <w14:prstDash w14:val="solid"/>
            <w14:miter w14:val="0"/>
          </w14:textOutline>
        </w:rPr>
        <w:t>1</w:t>
      </w:r>
    </w:p>
    <w:p>
      <w:pPr>
        <w:spacing w:line="289" w:lineRule="auto"/>
        <w:jc w:val="center"/>
        <w:rPr>
          <w:rFonts w:ascii="Arial"/>
          <w:sz w:val="21"/>
        </w:rPr>
      </w:pPr>
    </w:p>
    <w:p>
      <w:pPr>
        <w:spacing w:line="290" w:lineRule="auto"/>
        <w:jc w:val="center"/>
        <w:rPr>
          <w:rFonts w:ascii="Arial"/>
          <w:sz w:val="21"/>
        </w:rPr>
      </w:pPr>
    </w:p>
    <w:p>
      <w:pPr>
        <w:widowControl w:val="0"/>
        <w:kinsoku/>
        <w:autoSpaceDE/>
        <w:autoSpaceDN/>
        <w:adjustRightInd/>
        <w:snapToGrid/>
        <w:spacing w:line="860" w:lineRule="exact"/>
        <w:jc w:val="center"/>
        <w:textAlignment w:val="auto"/>
        <w:rPr>
          <w:rFonts w:hint="eastAsia" w:ascii="方正大标宋简体" w:hAnsi="Times New Roman" w:eastAsia="方正大标宋简体" w:cs="Times New Roman"/>
          <w:snapToGrid/>
          <w:kern w:val="2"/>
          <w:sz w:val="44"/>
          <w:szCs w:val="44"/>
          <w:lang w:val="en-US" w:eastAsia="zh-CN" w:bidi="ar-SA"/>
        </w:rPr>
      </w:pPr>
      <w:r>
        <w:rPr>
          <w:rFonts w:hint="eastAsia" w:ascii="方正大标宋简体" w:hAnsi="Times New Roman" w:eastAsia="方正大标宋简体" w:cs="Times New Roman"/>
          <w:snapToGrid/>
          <w:kern w:val="2"/>
          <w:sz w:val="44"/>
          <w:szCs w:val="44"/>
          <w:lang w:val="en-US" w:eastAsia="zh-CN" w:bidi="ar-SA"/>
        </w:rPr>
        <w:t>2022年浮梁生态环境局预算公开说明</w:t>
      </w:r>
    </w:p>
    <w:p>
      <w:pPr>
        <w:spacing w:before="143" w:line="219" w:lineRule="auto"/>
        <w:ind w:firstLine="1146"/>
        <w:jc w:val="center"/>
        <w:rPr>
          <w:rFonts w:ascii="宋体" w:hAnsi="宋体" w:eastAsia="宋体" w:cs="宋体"/>
          <w:spacing w:val="2"/>
          <w:sz w:val="44"/>
          <w:szCs w:val="44"/>
          <w14:textOutline w14:w="7988" w14:cap="flat" w14:cmpd="sng">
            <w14:solidFill>
              <w14:srgbClr w14:val="000000"/>
            </w14:solidFill>
            <w14:prstDash w14:val="solid"/>
            <w14:miter w14:val="0"/>
          </w14:textOutline>
        </w:rPr>
      </w:pPr>
    </w:p>
    <w:p>
      <w:pPr>
        <w:spacing w:line="334" w:lineRule="auto"/>
        <w:rPr>
          <w:rFonts w:ascii="Arial"/>
          <w:sz w:val="21"/>
        </w:rPr>
      </w:pPr>
    </w:p>
    <w:p>
      <w:pPr>
        <w:spacing w:line="334" w:lineRule="auto"/>
        <w:rPr>
          <w:rFonts w:hint="eastAsia" w:ascii="Arial" w:eastAsia="宋体"/>
          <w:sz w:val="21"/>
          <w:lang w:eastAsia="zh-CN"/>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目    录</w:t>
      </w:r>
    </w:p>
    <w:p>
      <w:pPr>
        <w:spacing w:line="347" w:lineRule="auto"/>
        <w:rPr>
          <w:rFonts w:ascii="Arial"/>
          <w:sz w:val="21"/>
        </w:rPr>
      </w:pPr>
    </w:p>
    <w:p>
      <w:pPr>
        <w:spacing w:line="347" w:lineRule="auto"/>
        <w:rPr>
          <w:rFonts w:ascii="Arial"/>
          <w:sz w:val="21"/>
        </w:rPr>
      </w:pP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第一部分 浮梁生态环境局概况</w:t>
      </w:r>
    </w:p>
    <w:p>
      <w:pPr>
        <w:keepNext w:val="0"/>
        <w:keepLines w:val="0"/>
        <w:pageBreakBefore w:val="0"/>
        <w:widowControl/>
        <w:kinsoku w:val="0"/>
        <w:wordWrap/>
        <w:overflowPunct/>
        <w:topLinePunct w:val="0"/>
        <w:autoSpaceDE w:val="0"/>
        <w:autoSpaceDN w:val="0"/>
        <w:bidi w:val="0"/>
        <w:adjustRightInd w:val="0"/>
        <w:snapToGrid w:val="0"/>
        <w:spacing w:before="207" w:line="240" w:lineRule="auto"/>
        <w:ind w:firstLine="632" w:firstLineChars="200"/>
        <w:textAlignment w:val="baseline"/>
        <w:rPr>
          <w:rFonts w:ascii="楷体" w:hAnsi="楷体" w:eastAsia="楷体" w:cs="楷体"/>
          <w:sz w:val="32"/>
          <w:szCs w:val="32"/>
        </w:rPr>
      </w:pPr>
      <w:r>
        <w:rPr>
          <w:rFonts w:ascii="楷体" w:hAnsi="楷体" w:eastAsia="楷体" w:cs="楷体"/>
          <w:spacing w:val="-2"/>
          <w:sz w:val="32"/>
          <w:szCs w:val="32"/>
        </w:rPr>
        <w:t>一、部门主要职责</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z w:val="32"/>
          <w:szCs w:val="32"/>
        </w:rPr>
      </w:pPr>
      <w:r>
        <w:rPr>
          <w:rFonts w:ascii="楷体" w:hAnsi="楷体" w:eastAsia="楷体" w:cs="楷体"/>
          <w:spacing w:val="1"/>
          <w:sz w:val="32"/>
          <w:szCs w:val="32"/>
        </w:rPr>
        <w:t>二、机构设置及人员情况</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浮梁生态环境局2022年部门预算表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一、《收支预算总表》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二、《部门收入总表》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三、《部门支出总表》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五、《一般公共预算支出表》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十、《部门整体支出绩效目标表》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pacing w:val="1"/>
          <w:sz w:val="32"/>
          <w:szCs w:val="32"/>
        </w:rPr>
      </w:pPr>
      <w:r>
        <w:rPr>
          <w:rFonts w:hint="eastAsia" w:ascii="楷体" w:hAnsi="楷体" w:eastAsia="楷体" w:cs="楷体"/>
          <w:spacing w:val="1"/>
          <w:sz w:val="32"/>
          <w:szCs w:val="32"/>
        </w:rPr>
        <w:t>十一、《重点项目绩效目标表》</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第三部分 浮梁</w:t>
      </w:r>
      <w:bookmarkStart w:id="0" w:name="_GoBack"/>
      <w:bookmarkEnd w:id="0"/>
      <w:r>
        <w:rPr>
          <w:rFonts w:hint="eastAsia" w:ascii="黑体" w:hAnsi="黑体" w:eastAsia="黑体" w:cs="黑体"/>
          <w:snapToGrid/>
          <w:kern w:val="2"/>
          <w:sz w:val="32"/>
          <w:szCs w:val="32"/>
          <w:lang w:val="en-US" w:eastAsia="zh-CN" w:bidi="ar-SA"/>
        </w:rPr>
        <w:t>生态环境局2022年部门预算情况说明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一、2022年部门预算收支情况说明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二、2022年"三公”经费预算情况说明</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第一部分 浮梁生态环境局概况</w:t>
      </w:r>
    </w:p>
    <w:p>
      <w:pPr>
        <w:keepNext w:val="0"/>
        <w:keepLines w:val="0"/>
        <w:pageBreakBefore w:val="0"/>
        <w:widowControl/>
        <w:kinsoku w:val="0"/>
        <w:wordWrap/>
        <w:overflowPunct/>
        <w:topLinePunct w:val="0"/>
        <w:autoSpaceDE w:val="0"/>
        <w:autoSpaceDN w:val="0"/>
        <w:bidi w:val="0"/>
        <w:adjustRightInd w:val="0"/>
        <w:snapToGrid w:val="0"/>
        <w:spacing w:before="207" w:line="240" w:lineRule="auto"/>
        <w:ind w:firstLine="635" w:firstLineChars="200"/>
        <w:textAlignment w:val="baseline"/>
        <w:rPr>
          <w:rFonts w:hint="eastAsia" w:ascii="楷体" w:hAnsi="楷体" w:eastAsia="楷体" w:cs="楷体"/>
          <w:b/>
          <w:bCs/>
          <w:spacing w:val="-2"/>
          <w:sz w:val="32"/>
          <w:szCs w:val="32"/>
        </w:rPr>
      </w:pPr>
      <w:r>
        <w:rPr>
          <w:rFonts w:hint="eastAsia" w:ascii="楷体" w:hAnsi="楷体" w:eastAsia="楷体" w:cs="楷体"/>
          <w:b/>
          <w:bCs/>
          <w:spacing w:val="-2"/>
          <w:sz w:val="32"/>
          <w:szCs w:val="32"/>
        </w:rPr>
        <w:t>一、</w:t>
      </w:r>
      <w:r>
        <w:rPr>
          <w:rFonts w:hint="eastAsia" w:ascii="楷体" w:hAnsi="楷体" w:eastAsia="楷体" w:cs="楷体"/>
          <w:b/>
          <w:bCs/>
          <w:spacing w:val="-2"/>
          <w:sz w:val="32"/>
          <w:szCs w:val="32"/>
        </w:rPr>
        <w:t>部门主要职责</w:t>
      </w:r>
    </w:p>
    <w:p>
      <w:pPr>
        <w:spacing w:line="360" w:lineRule="auto"/>
        <w:ind w:firstLine="640" w:firstLineChars="200"/>
        <w:rPr>
          <w:rFonts w:hint="eastAsia" w:ascii="楷体" w:hAnsi="楷体" w:eastAsia="楷体" w:cs="楷体"/>
          <w:color w:val="333333"/>
          <w:sz w:val="32"/>
          <w:szCs w:val="32"/>
        </w:rPr>
      </w:pPr>
      <w:r>
        <w:rPr>
          <w:rFonts w:hint="eastAsia" w:ascii="楷体" w:hAnsi="楷体" w:eastAsia="楷体" w:cs="楷体"/>
          <w:color w:val="333333"/>
          <w:sz w:val="32"/>
          <w:szCs w:val="32"/>
        </w:rPr>
        <w:t>（一）贯彻执行生态环境基本制度。贯彻执行国家、省、市生态环境的方针政策、法律法规和各类标准、基准以及技术规范。会同有关部门拟订派驻地生态环境规划、计划和规范性文件并组织实施。会同有关部门编制并监督实施重点区域、流域、饮用水水源地生态环境规划和水功能区划。</w:t>
      </w:r>
    </w:p>
    <w:p>
      <w:pPr>
        <w:spacing w:line="360" w:lineRule="auto"/>
        <w:ind w:firstLine="640" w:firstLineChars="200"/>
        <w:rPr>
          <w:rFonts w:hint="eastAsia" w:ascii="楷体" w:hAnsi="楷体" w:eastAsia="楷体" w:cs="楷体"/>
          <w:color w:val="333333"/>
          <w:sz w:val="32"/>
          <w:szCs w:val="32"/>
        </w:rPr>
      </w:pPr>
      <w:r>
        <w:rPr>
          <w:rFonts w:hint="eastAsia" w:ascii="楷体" w:hAnsi="楷体" w:eastAsia="楷体" w:cs="楷体"/>
          <w:color w:val="333333"/>
          <w:sz w:val="32"/>
          <w:szCs w:val="32"/>
        </w:rPr>
        <w:t>（二）负责生态环境问题的统筹协调和监督管理。牵头协调派驻地范围内环境污染事故和生态破坏事件的调查处理,指导协调园区、乡（镇）对突发生态环境事件的应急、预警工作,牵头实施生态环境损害赔偿制度，协调解决派驻地环境污染纠纷，统筹协调派驻地重点区域、流域生态环境保护工作。</w:t>
      </w:r>
    </w:p>
    <w:p>
      <w:pPr>
        <w:spacing w:line="360" w:lineRule="auto"/>
        <w:ind w:firstLine="640" w:firstLineChars="200"/>
        <w:rPr>
          <w:rFonts w:hint="eastAsia" w:ascii="楷体" w:hAnsi="楷体" w:eastAsia="楷体" w:cs="楷体"/>
          <w:color w:val="333333"/>
          <w:sz w:val="32"/>
          <w:szCs w:val="32"/>
        </w:rPr>
      </w:pPr>
      <w:r>
        <w:rPr>
          <w:rFonts w:hint="eastAsia" w:ascii="楷体" w:hAnsi="楷体" w:eastAsia="楷体" w:cs="楷体"/>
          <w:color w:val="333333"/>
          <w:sz w:val="32"/>
          <w:szCs w:val="32"/>
        </w:rPr>
        <w:t>（三）负责监督管理减排目标的落实。组织拟订并监督实施各类污染物排放总量控制制度，监督实施排污许可证制度，落实国家下达的污染物总量控制指标，监督检查污染物减排任务完成情况，实施生态环境保护目标责任制。</w:t>
      </w:r>
    </w:p>
    <w:p>
      <w:pPr>
        <w:spacing w:line="360" w:lineRule="auto"/>
        <w:ind w:firstLine="640" w:firstLineChars="200"/>
        <w:rPr>
          <w:rFonts w:hint="eastAsia" w:ascii="楷体" w:hAnsi="楷体" w:eastAsia="楷体" w:cs="楷体"/>
          <w:color w:val="333333"/>
          <w:sz w:val="32"/>
          <w:szCs w:val="32"/>
        </w:rPr>
      </w:pPr>
      <w:r>
        <w:rPr>
          <w:rFonts w:hint="eastAsia" w:ascii="楷体" w:hAnsi="楷体" w:eastAsia="楷体" w:cs="楷体"/>
          <w:color w:val="333333"/>
          <w:sz w:val="32"/>
          <w:szCs w:val="32"/>
        </w:rPr>
        <w:t>（四）负责提出全县生态环境领域固定资产投资规模和方向、县级财政性资金安排的意见，配合有关部门做好组织实施和监督工作。参与指导推动循环经济和生态环保产业发展。</w:t>
      </w:r>
    </w:p>
    <w:p>
      <w:pPr>
        <w:spacing w:line="360" w:lineRule="auto"/>
        <w:ind w:firstLine="640" w:firstLineChars="200"/>
        <w:rPr>
          <w:rFonts w:hint="eastAsia" w:ascii="楷体" w:hAnsi="楷体" w:eastAsia="楷体" w:cs="楷体"/>
          <w:color w:val="333333"/>
          <w:sz w:val="32"/>
          <w:szCs w:val="32"/>
        </w:rPr>
      </w:pPr>
      <w:r>
        <w:rPr>
          <w:rFonts w:hint="eastAsia" w:ascii="楷体" w:hAnsi="楷体" w:eastAsia="楷体" w:cs="楷体"/>
          <w:color w:val="333333"/>
          <w:sz w:val="32"/>
          <w:szCs w:val="32"/>
        </w:rPr>
        <w:t>（五）负责环境污染防治的监督管理。拟订大气、水、土壤、噪声、光、恶臭、固体废物、化学品、机动车等的污染防治管理制度并监督实施。会同有关部门监督管理饮用水水源地生态环境保护工作，组织指导城乡生态环境综合整治工作，监督指导农业面源污染治理工作。</w:t>
      </w:r>
    </w:p>
    <w:p>
      <w:pPr>
        <w:spacing w:line="360" w:lineRule="auto"/>
        <w:ind w:firstLine="640" w:firstLineChars="200"/>
        <w:rPr>
          <w:rFonts w:hint="eastAsia" w:ascii="楷体" w:hAnsi="楷体" w:eastAsia="楷体" w:cs="楷体"/>
          <w:color w:val="333333"/>
          <w:sz w:val="32"/>
          <w:szCs w:val="32"/>
        </w:rPr>
      </w:pPr>
      <w:r>
        <w:rPr>
          <w:rFonts w:hint="eastAsia" w:ascii="楷体" w:hAnsi="楷体" w:eastAsia="楷体" w:cs="楷体"/>
          <w:color w:val="333333"/>
          <w:sz w:val="32"/>
          <w:szCs w:val="32"/>
        </w:rPr>
        <w:t>（六）指导协调和监督生态保护修复工作。组织编制生态保护规划，监督对生态环境有影响的自然资源开发利用活动、重要生态环境建设和生态破坏恢复工作。组织制定全县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参与生态保护补偿工作。</w:t>
      </w:r>
    </w:p>
    <w:p>
      <w:pPr>
        <w:spacing w:line="360" w:lineRule="auto"/>
        <w:ind w:firstLine="640" w:firstLineChars="200"/>
        <w:rPr>
          <w:rFonts w:hint="eastAsia" w:ascii="楷体" w:hAnsi="楷体" w:eastAsia="楷体" w:cs="楷体"/>
          <w:color w:val="333333"/>
          <w:sz w:val="32"/>
          <w:szCs w:val="32"/>
        </w:rPr>
      </w:pPr>
      <w:r>
        <w:rPr>
          <w:rFonts w:hint="eastAsia" w:ascii="楷体" w:hAnsi="楷体" w:eastAsia="楷体" w:cs="楷体"/>
          <w:color w:val="333333"/>
          <w:sz w:val="32"/>
          <w:szCs w:val="32"/>
        </w:rPr>
        <w:t>（七）负责核与辐射安全的监督管理。参与核事故应急处理， 负责辐射环境事故应急处理工作，监督管理核设施安全、放射源安全，监督管理核设施、核技术应用、电磁辐射、伴有放射性矿产资源开发利用中的污染防治。</w:t>
      </w:r>
    </w:p>
    <w:p>
      <w:pPr>
        <w:spacing w:line="360" w:lineRule="auto"/>
        <w:ind w:firstLine="640" w:firstLineChars="200"/>
        <w:rPr>
          <w:rFonts w:hint="eastAsia" w:ascii="楷体" w:hAnsi="楷体" w:eastAsia="楷体" w:cs="楷体"/>
          <w:color w:val="333333"/>
          <w:sz w:val="32"/>
          <w:szCs w:val="32"/>
        </w:rPr>
      </w:pPr>
      <w:r>
        <w:rPr>
          <w:rFonts w:hint="eastAsia" w:ascii="楷体" w:hAnsi="楷体" w:eastAsia="楷体" w:cs="楷体"/>
          <w:color w:val="333333"/>
          <w:sz w:val="32"/>
          <w:szCs w:val="32"/>
        </w:rPr>
        <w:t>（八）负责生态环境准入的监督管理。按国家和省、市规定审批或审查重大开发建设区域、规划、项目环境影响评价文件。拟订并组织实施全县生态环境准入清单。</w:t>
      </w:r>
    </w:p>
    <w:p>
      <w:pPr>
        <w:spacing w:line="360" w:lineRule="auto"/>
        <w:ind w:firstLine="640" w:firstLineChars="200"/>
        <w:rPr>
          <w:rFonts w:hint="eastAsia" w:ascii="楷体" w:hAnsi="楷体" w:eastAsia="楷体" w:cs="楷体"/>
          <w:color w:val="333333"/>
          <w:sz w:val="32"/>
          <w:szCs w:val="32"/>
        </w:rPr>
      </w:pPr>
      <w:r>
        <w:rPr>
          <w:rFonts w:hint="eastAsia" w:ascii="楷体" w:hAnsi="楷体" w:eastAsia="楷体" w:cs="楷体"/>
          <w:color w:val="333333"/>
          <w:sz w:val="32"/>
          <w:szCs w:val="32"/>
        </w:rPr>
        <w:t>（九）负责生态环境监测工作。监督实施生态环境监测制度、相关标准和规范，组织实施污染源监督性监测、应急监测、执法监测，按要求做好生态环境质量监测相关工作。建立和实行生态环境质量公告制度，统一发布全县生态环境综合性报告和重大生态环境信息。</w:t>
      </w:r>
    </w:p>
    <w:p>
      <w:pPr>
        <w:spacing w:line="360" w:lineRule="auto"/>
        <w:ind w:firstLine="640" w:firstLineChars="200"/>
        <w:rPr>
          <w:rFonts w:hint="eastAsia" w:ascii="楷体" w:hAnsi="楷体" w:eastAsia="楷体" w:cs="楷体"/>
          <w:color w:val="333333"/>
          <w:sz w:val="32"/>
          <w:szCs w:val="32"/>
        </w:rPr>
      </w:pPr>
      <w:r>
        <w:rPr>
          <w:rFonts w:hint="eastAsia" w:ascii="楷体" w:hAnsi="楷体" w:eastAsia="楷体" w:cs="楷体"/>
          <w:color w:val="333333"/>
          <w:sz w:val="32"/>
          <w:szCs w:val="32"/>
        </w:rPr>
        <w:t>（十）负责应对气候变化工作。综合分析气候变化对全县经济社会发展的影响，组织拟订并协调实施全县应对气候变化及温室气体减排规划和政策。</w:t>
      </w:r>
    </w:p>
    <w:p>
      <w:pPr>
        <w:spacing w:line="360" w:lineRule="auto"/>
        <w:ind w:firstLine="640" w:firstLineChars="200"/>
        <w:rPr>
          <w:rFonts w:hint="eastAsia" w:ascii="楷体" w:hAnsi="楷体" w:eastAsia="楷体" w:cs="楷体"/>
          <w:color w:val="333333"/>
          <w:sz w:val="32"/>
          <w:szCs w:val="32"/>
        </w:rPr>
      </w:pPr>
      <w:r>
        <w:rPr>
          <w:rFonts w:hint="eastAsia" w:ascii="楷体" w:hAnsi="楷体" w:eastAsia="楷体" w:cs="楷体"/>
          <w:color w:val="333333"/>
          <w:sz w:val="32"/>
          <w:szCs w:val="32"/>
        </w:rPr>
        <w:t>（十一）督促和协调生态环境保护督察整改工作。配合中央、省开展生态环境保护督察工作，监督落实生态环境保护督察问题整改，监督生态环境保护党政同责、“一岗双责”落实情况。承担县生态环境保护督察整改工作领导小组办公室日常工作。</w:t>
      </w:r>
    </w:p>
    <w:p>
      <w:pPr>
        <w:spacing w:line="360" w:lineRule="auto"/>
        <w:ind w:firstLine="640" w:firstLineChars="200"/>
        <w:rPr>
          <w:rFonts w:hint="eastAsia" w:ascii="楷体" w:hAnsi="楷体" w:eastAsia="楷体" w:cs="楷体"/>
          <w:color w:val="333333"/>
          <w:sz w:val="32"/>
          <w:szCs w:val="32"/>
        </w:rPr>
      </w:pPr>
      <w:r>
        <w:rPr>
          <w:rFonts w:hint="eastAsia" w:ascii="楷体" w:hAnsi="楷体" w:eastAsia="楷体" w:cs="楷体"/>
          <w:color w:val="333333"/>
          <w:sz w:val="32"/>
          <w:szCs w:val="32"/>
        </w:rPr>
        <w:t>（十二）统一负责生态环境监督执法。组织开展全县生态环境保护执法检查活动，查处生态环境违法问题。指导全县生态环境保护综合执法队伍建设和业务工作。</w:t>
      </w:r>
    </w:p>
    <w:p>
      <w:pPr>
        <w:spacing w:line="360" w:lineRule="auto"/>
        <w:ind w:firstLine="640" w:firstLineChars="200"/>
        <w:rPr>
          <w:rFonts w:hint="eastAsia" w:ascii="楷体" w:hAnsi="楷体" w:eastAsia="楷体" w:cs="楷体"/>
          <w:color w:val="333333"/>
          <w:sz w:val="32"/>
          <w:szCs w:val="32"/>
        </w:rPr>
      </w:pPr>
      <w:r>
        <w:rPr>
          <w:rFonts w:hint="eastAsia" w:ascii="楷体" w:hAnsi="楷体" w:eastAsia="楷体" w:cs="楷体"/>
          <w:color w:val="333333"/>
          <w:sz w:val="32"/>
          <w:szCs w:val="32"/>
        </w:rPr>
        <w:t>（十三）开展生态环境保护科技工作，组织生态环境科学研究和技术工程示范，推动生态环境技术管理体系建设。开展生态环境合作交流。</w:t>
      </w:r>
    </w:p>
    <w:p>
      <w:pPr>
        <w:spacing w:line="360" w:lineRule="auto"/>
        <w:ind w:firstLine="640" w:firstLineChars="200"/>
        <w:rPr>
          <w:rFonts w:hint="eastAsia" w:ascii="楷体" w:hAnsi="楷体" w:eastAsia="楷体" w:cs="楷体"/>
          <w:color w:val="333333"/>
          <w:sz w:val="32"/>
          <w:szCs w:val="32"/>
        </w:rPr>
      </w:pPr>
      <w:r>
        <w:rPr>
          <w:rFonts w:hint="eastAsia" w:ascii="楷体" w:hAnsi="楷体" w:eastAsia="楷体" w:cs="楷体"/>
          <w:color w:val="333333"/>
          <w:sz w:val="32"/>
          <w:szCs w:val="32"/>
        </w:rPr>
        <w:t>（十四）组织指导和协调生态环境宣传教育工作，拟订并组织实施生态环境保护宣传教育规划，推动社会组织和公众参与生态环境保护。</w:t>
      </w:r>
    </w:p>
    <w:p>
      <w:pPr>
        <w:spacing w:line="360" w:lineRule="auto"/>
        <w:ind w:firstLine="640" w:firstLineChars="200"/>
        <w:rPr>
          <w:rFonts w:hint="eastAsia" w:ascii="楷体" w:hAnsi="楷体" w:eastAsia="楷体" w:cs="楷体"/>
          <w:color w:val="333333"/>
          <w:sz w:val="32"/>
          <w:szCs w:val="32"/>
        </w:rPr>
      </w:pPr>
      <w:r>
        <w:rPr>
          <w:rFonts w:hint="eastAsia" w:ascii="楷体" w:hAnsi="楷体" w:eastAsia="楷体" w:cs="楷体"/>
          <w:color w:val="333333"/>
          <w:sz w:val="32"/>
          <w:szCs w:val="32"/>
        </w:rPr>
        <w:t>（十五）完成市生态环境局和派驻地党委、政府交办的其他任务。</w:t>
      </w:r>
    </w:p>
    <w:p>
      <w:pPr>
        <w:spacing w:line="360" w:lineRule="auto"/>
        <w:ind w:firstLine="644" w:firstLineChars="200"/>
        <w:rPr>
          <w:rFonts w:hint="eastAsia" w:ascii="楷体" w:hAnsi="楷体" w:eastAsia="楷体" w:cs="楷体"/>
          <w:spacing w:val="1"/>
          <w:sz w:val="32"/>
          <w:szCs w:val="32"/>
        </w:rPr>
      </w:pPr>
      <w:r>
        <w:rPr>
          <w:rFonts w:hint="eastAsia" w:ascii="楷体" w:hAnsi="楷体" w:eastAsia="楷体" w:cs="楷体"/>
          <w:spacing w:val="1"/>
          <w:sz w:val="32"/>
          <w:szCs w:val="32"/>
        </w:rPr>
        <w:t>二、机构设置及人员情况</w:t>
      </w:r>
    </w:p>
    <w:p>
      <w:pPr>
        <w:spacing w:line="360" w:lineRule="auto"/>
        <w:ind w:firstLine="640" w:firstLineChars="200"/>
        <w:rPr>
          <w:rFonts w:hint="eastAsia" w:ascii="楷体" w:hAnsi="楷体" w:eastAsia="楷体" w:cs="楷体"/>
          <w:color w:val="333333"/>
          <w:sz w:val="32"/>
          <w:szCs w:val="32"/>
          <w:lang w:eastAsia="zh-CN"/>
        </w:rPr>
      </w:pPr>
      <w:r>
        <w:rPr>
          <w:rFonts w:hint="eastAsia" w:ascii="楷体" w:hAnsi="楷体" w:eastAsia="楷体" w:cs="楷体"/>
          <w:color w:val="333333"/>
          <w:sz w:val="32"/>
          <w:szCs w:val="32"/>
        </w:rPr>
        <w:t>浮梁生态环境局内设6个股室：办公室[对口市局办公室、人事科、机关党总支、法规与财务科（机关财务）等职责]、综合协调股（督察）[对口市局综合协调科（督察）]、法规与财务科（机关财务以外工作）等职责]、自然生态与环评股[对口市局自然生态与监测科（监测工作的监测站与检测股合署办公对接）、环境影响与排放管理科（辐射安全管理）等职责]、水生态环境股、大气环境股、土壤生态环境股，监测股（对口市局监测科监测工作），下设3个事业单位：生态环境保护综合执法大队、环境监测站（与监测股合暑办公对口市局监测科监测工作及市监测站工作）、主要污染物总量控制中心。浮梁环境保护局总编制49名，其中局机关行政编制6名，工勤编制1名，设局长1名、副局长2名；下属事业单位编制42名，全部为公益一类事业编制，具体为：生态环境保护综合执法大队副科级编制数27名、设大队长1名副队长</w:t>
      </w:r>
      <w:r>
        <w:rPr>
          <w:rFonts w:hint="eastAsia" w:ascii="楷体" w:hAnsi="楷体" w:eastAsia="楷体" w:cs="楷体"/>
          <w:color w:val="333333"/>
          <w:sz w:val="32"/>
          <w:szCs w:val="32"/>
          <w:lang w:val="en-US" w:eastAsia="zh-CN"/>
        </w:rPr>
        <w:t>4</w:t>
      </w:r>
      <w:r>
        <w:rPr>
          <w:rFonts w:hint="eastAsia" w:ascii="楷体" w:hAnsi="楷体" w:eastAsia="楷体" w:cs="楷体"/>
          <w:color w:val="333333"/>
          <w:sz w:val="32"/>
          <w:szCs w:val="32"/>
        </w:rPr>
        <w:t>名，环境监测站股级编制数6名、设站长1名副站长2名，主要污染物控制中心股级编制数9名。目前，全局人员共计</w:t>
      </w:r>
      <w:r>
        <w:rPr>
          <w:rFonts w:hint="eastAsia" w:ascii="楷体" w:hAnsi="楷体" w:eastAsia="楷体" w:cs="楷体"/>
          <w:color w:val="333333"/>
          <w:sz w:val="32"/>
          <w:szCs w:val="32"/>
          <w:lang w:val="en-US" w:eastAsia="zh-CN"/>
        </w:rPr>
        <w:t>65</w:t>
      </w:r>
      <w:r>
        <w:rPr>
          <w:rFonts w:hint="eastAsia" w:ascii="楷体" w:hAnsi="楷体" w:eastAsia="楷体" w:cs="楷体"/>
          <w:color w:val="333333"/>
          <w:sz w:val="32"/>
          <w:szCs w:val="32"/>
        </w:rPr>
        <w:t>名，其中在编在岗 30 名，非编人员2</w:t>
      </w:r>
      <w:r>
        <w:rPr>
          <w:rFonts w:hint="eastAsia" w:ascii="楷体" w:hAnsi="楷体" w:eastAsia="楷体" w:cs="楷体"/>
          <w:color w:val="333333"/>
          <w:sz w:val="32"/>
          <w:szCs w:val="32"/>
          <w:lang w:val="en-US" w:eastAsia="zh-CN"/>
        </w:rPr>
        <w:t>0</w:t>
      </w:r>
      <w:r>
        <w:rPr>
          <w:rFonts w:hint="eastAsia" w:ascii="楷体" w:hAnsi="楷体" w:eastAsia="楷体" w:cs="楷体"/>
          <w:color w:val="333333"/>
          <w:sz w:val="32"/>
          <w:szCs w:val="32"/>
        </w:rPr>
        <w:t>人，离退休人员</w:t>
      </w:r>
      <w:r>
        <w:rPr>
          <w:rFonts w:hint="eastAsia" w:ascii="楷体" w:hAnsi="楷体" w:eastAsia="楷体" w:cs="楷体"/>
          <w:color w:val="333333"/>
          <w:sz w:val="32"/>
          <w:szCs w:val="32"/>
          <w:lang w:val="en-US" w:eastAsia="zh-CN"/>
        </w:rPr>
        <w:t>10</w:t>
      </w:r>
      <w:r>
        <w:rPr>
          <w:rFonts w:hint="eastAsia" w:ascii="楷体" w:hAnsi="楷体" w:eastAsia="楷体" w:cs="楷体"/>
          <w:color w:val="333333"/>
          <w:sz w:val="32"/>
          <w:szCs w:val="32"/>
        </w:rPr>
        <w:t>名</w:t>
      </w:r>
      <w:r>
        <w:rPr>
          <w:rFonts w:hint="eastAsia" w:ascii="楷体" w:hAnsi="楷体" w:eastAsia="楷体" w:cs="楷体"/>
          <w:color w:val="333333"/>
          <w:sz w:val="32"/>
          <w:szCs w:val="32"/>
          <w:lang w:eastAsia="zh-CN"/>
        </w:rPr>
        <w:t>。</w:t>
      </w:r>
    </w:p>
    <w:p>
      <w:pPr>
        <w:widowControl w:val="0"/>
        <w:numPr>
          <w:ilvl w:val="0"/>
          <w:numId w:val="1"/>
        </w:numPr>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 xml:space="preserve">浮梁生态环境局2022年部门预算表 </w:t>
      </w:r>
    </w:p>
    <w:p>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3550"/>
        <w:textAlignment w:val="baseline"/>
        <w:rPr>
          <w:rFonts w:hint="eastAsia" w:ascii="楷体" w:hAnsi="楷体" w:eastAsia="楷体" w:cs="楷体"/>
          <w:b/>
          <w:bCs/>
          <w:spacing w:val="17"/>
          <w:sz w:val="32"/>
          <w:szCs w:val="32"/>
        </w:rPr>
      </w:pPr>
      <w:r>
        <w:rPr>
          <w:rFonts w:hint="eastAsia" w:ascii="楷体" w:hAnsi="楷体" w:eastAsia="楷体" w:cs="楷体"/>
          <w:b/>
          <w:bCs/>
          <w:spacing w:val="17"/>
          <w:sz w:val="32"/>
          <w:szCs w:val="32"/>
        </w:rPr>
        <w:t>(详见附表)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一、《收支预算总表》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二、《部门收入总表》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三、《部门支出总表》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五、《一般公共预算支出表》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224" w:firstLineChars="200"/>
        <w:textAlignment w:val="baseline"/>
        <w:rPr>
          <w:rFonts w:hint="eastAsia" w:ascii="楷体" w:hAnsi="楷体" w:eastAsia="楷体" w:cs="楷体"/>
          <w:spacing w:val="1"/>
          <w:sz w:val="11"/>
          <w:szCs w:val="11"/>
          <w:lang w:val="en-US" w:eastAsia="zh-CN"/>
        </w:rPr>
      </w:pP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第三部分 浮梁生态环境局2022年部门预算情况说明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7" w:firstLineChars="200"/>
        <w:textAlignment w:val="baseline"/>
        <w:rPr>
          <w:rFonts w:hint="eastAsia" w:ascii="楷体" w:hAnsi="楷体" w:eastAsia="楷体" w:cs="楷体"/>
          <w:b/>
          <w:bCs/>
          <w:spacing w:val="1"/>
          <w:sz w:val="32"/>
          <w:szCs w:val="32"/>
        </w:rPr>
      </w:pPr>
      <w:r>
        <w:rPr>
          <w:rFonts w:hint="eastAsia" w:ascii="楷体" w:hAnsi="楷体" w:eastAsia="楷体" w:cs="楷体"/>
          <w:b/>
          <w:bCs/>
          <w:spacing w:val="1"/>
          <w:sz w:val="32"/>
          <w:szCs w:val="32"/>
        </w:rPr>
        <w:t>一、2022年部门预算收支情况说明</w:t>
      </w:r>
    </w:p>
    <w:p>
      <w:pPr>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收入预算情况</w:t>
      </w:r>
    </w:p>
    <w:p>
      <w:pPr>
        <w:spacing w:line="360" w:lineRule="auto"/>
        <w:ind w:firstLine="640" w:firstLineChars="200"/>
        <w:rPr>
          <w:rFonts w:hint="eastAsia" w:ascii="楷体" w:hAnsi="楷体" w:eastAsia="楷体" w:cs="楷体"/>
          <w:color w:val="FF0000"/>
          <w:sz w:val="32"/>
          <w:szCs w:val="32"/>
          <w:u w:val="single"/>
          <w:lang w:val="en-US" w:eastAsia="zh-CN"/>
        </w:rPr>
      </w:pPr>
      <w:r>
        <w:rPr>
          <w:rFonts w:hint="eastAsia" w:ascii="楷体" w:hAnsi="楷体" w:eastAsia="楷体" w:cs="楷体"/>
          <w:sz w:val="32"/>
          <w:szCs w:val="32"/>
        </w:rPr>
        <w:t>202</w:t>
      </w:r>
      <w:r>
        <w:rPr>
          <w:rFonts w:hint="eastAsia" w:ascii="楷体" w:hAnsi="楷体" w:eastAsia="楷体" w:cs="楷体"/>
          <w:sz w:val="32"/>
          <w:szCs w:val="32"/>
          <w:lang w:val="en-US" w:eastAsia="zh-CN"/>
        </w:rPr>
        <w:t>2</w:t>
      </w:r>
      <w:r>
        <w:rPr>
          <w:rFonts w:hint="eastAsia" w:ascii="楷体" w:hAnsi="楷体" w:eastAsia="楷体" w:cs="楷体"/>
          <w:sz w:val="32"/>
          <w:szCs w:val="32"/>
        </w:rPr>
        <w:t>年收入预算总额</w:t>
      </w:r>
      <w:r>
        <w:rPr>
          <w:rFonts w:hint="eastAsia" w:ascii="楷体" w:hAnsi="楷体" w:eastAsia="楷体" w:cs="楷体"/>
          <w:color w:val="FF0000"/>
          <w:sz w:val="32"/>
          <w:szCs w:val="32"/>
          <w:u w:val="single"/>
          <w:lang w:val="en-US" w:eastAsia="zh-CN"/>
        </w:rPr>
        <w:t>477.24</w:t>
      </w:r>
      <w:r>
        <w:rPr>
          <w:rFonts w:hint="eastAsia" w:ascii="楷体" w:hAnsi="楷体" w:eastAsia="楷体" w:cs="楷体"/>
          <w:color w:val="auto"/>
          <w:sz w:val="32"/>
          <w:szCs w:val="32"/>
          <w:u w:val="none"/>
          <w:lang w:val="en-US" w:eastAsia="zh-CN"/>
        </w:rPr>
        <w:t>万元</w:t>
      </w:r>
      <w:r>
        <w:rPr>
          <w:rFonts w:hint="eastAsia" w:ascii="楷体" w:hAnsi="楷体" w:eastAsia="楷体" w:cs="楷体"/>
          <w:sz w:val="32"/>
          <w:szCs w:val="32"/>
        </w:rPr>
        <w:t>，其中公共财政拨款收入</w:t>
      </w:r>
      <w:r>
        <w:rPr>
          <w:rFonts w:hint="eastAsia" w:ascii="楷体" w:hAnsi="楷体" w:eastAsia="楷体" w:cs="楷体"/>
          <w:color w:val="FF0000"/>
          <w:sz w:val="32"/>
          <w:szCs w:val="32"/>
          <w:u w:val="single"/>
          <w:lang w:val="en-US" w:eastAsia="zh-CN"/>
        </w:rPr>
        <w:t>477.24</w:t>
      </w:r>
      <w:r>
        <w:rPr>
          <w:rFonts w:hint="eastAsia" w:ascii="楷体" w:hAnsi="楷体" w:eastAsia="楷体" w:cs="楷体"/>
          <w:sz w:val="32"/>
          <w:szCs w:val="32"/>
        </w:rPr>
        <w:t>万元，财政拨款结转</w:t>
      </w:r>
      <w:r>
        <w:rPr>
          <w:rFonts w:hint="eastAsia" w:ascii="楷体" w:hAnsi="楷体" w:eastAsia="楷体" w:cs="楷体"/>
          <w:color w:val="FF0000"/>
          <w:sz w:val="32"/>
          <w:szCs w:val="32"/>
          <w:u w:val="single"/>
          <w:lang w:val="en-US" w:eastAsia="zh-CN"/>
        </w:rPr>
        <w:t>0</w:t>
      </w:r>
      <w:r>
        <w:rPr>
          <w:rFonts w:hint="eastAsia" w:ascii="楷体" w:hAnsi="楷体" w:eastAsia="楷体" w:cs="楷体"/>
          <w:sz w:val="32"/>
          <w:szCs w:val="32"/>
        </w:rPr>
        <w:t>万元。预算总额比去年</w:t>
      </w:r>
      <w:r>
        <w:rPr>
          <w:rFonts w:hint="eastAsia" w:ascii="楷体" w:hAnsi="楷体" w:eastAsia="楷体" w:cs="楷体"/>
          <w:color w:val="auto"/>
          <w:sz w:val="32"/>
          <w:szCs w:val="32"/>
          <w:u w:val="none"/>
          <w:lang w:val="en-US" w:eastAsia="zh-CN"/>
        </w:rPr>
        <w:t>减少</w:t>
      </w:r>
      <w:r>
        <w:rPr>
          <w:rFonts w:hint="eastAsia" w:ascii="楷体" w:hAnsi="楷体" w:eastAsia="楷体" w:cs="楷体"/>
          <w:color w:val="FF0000"/>
          <w:sz w:val="32"/>
          <w:szCs w:val="32"/>
          <w:u w:val="single"/>
          <w:lang w:val="en-US" w:eastAsia="zh-CN"/>
        </w:rPr>
        <w:t>45.8</w:t>
      </w:r>
      <w:r>
        <w:rPr>
          <w:rFonts w:hint="eastAsia" w:ascii="楷体" w:hAnsi="楷体" w:eastAsia="楷体" w:cs="楷体"/>
          <w:sz w:val="32"/>
          <w:szCs w:val="32"/>
        </w:rPr>
        <w:t>万元，</w:t>
      </w:r>
      <w:r>
        <w:rPr>
          <w:rFonts w:hint="eastAsia" w:ascii="楷体" w:hAnsi="楷体" w:eastAsia="楷体" w:cs="楷体"/>
          <w:sz w:val="32"/>
          <w:szCs w:val="32"/>
          <w:lang w:val="en-US" w:eastAsia="zh-CN"/>
        </w:rPr>
        <w:t>减幅</w:t>
      </w:r>
      <w:r>
        <w:rPr>
          <w:rFonts w:hint="eastAsia" w:ascii="楷体" w:hAnsi="楷体" w:eastAsia="楷体" w:cs="楷体"/>
          <w:color w:val="FF0000"/>
          <w:sz w:val="32"/>
          <w:szCs w:val="32"/>
          <w:u w:val="single"/>
          <w:lang w:val="en-US" w:eastAsia="zh-CN"/>
        </w:rPr>
        <w:t>8.76</w:t>
      </w:r>
      <w:r>
        <w:rPr>
          <w:rFonts w:hint="eastAsia" w:ascii="楷体" w:hAnsi="楷体" w:eastAsia="楷体" w:cs="楷体"/>
          <w:color w:val="auto"/>
          <w:sz w:val="32"/>
          <w:szCs w:val="32"/>
          <w:u w:val="none"/>
          <w:lang w:val="en-US" w:eastAsia="zh-CN"/>
        </w:rPr>
        <w:t>%。</w:t>
      </w:r>
    </w:p>
    <w:p>
      <w:pPr>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支出预算情况</w:t>
      </w:r>
    </w:p>
    <w:p>
      <w:pPr>
        <w:spacing w:line="360" w:lineRule="auto"/>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rPr>
        <w:t>202</w:t>
      </w:r>
      <w:r>
        <w:rPr>
          <w:rFonts w:hint="eastAsia" w:ascii="楷体" w:hAnsi="楷体" w:eastAsia="楷体" w:cs="楷体"/>
          <w:sz w:val="32"/>
          <w:szCs w:val="32"/>
          <w:lang w:val="en-US" w:eastAsia="zh-CN"/>
        </w:rPr>
        <w:t>2</w:t>
      </w:r>
      <w:r>
        <w:rPr>
          <w:rFonts w:hint="eastAsia" w:ascii="楷体" w:hAnsi="楷体" w:eastAsia="楷体" w:cs="楷体"/>
          <w:sz w:val="32"/>
          <w:szCs w:val="32"/>
        </w:rPr>
        <w:t>年支出预算总额为</w:t>
      </w:r>
      <w:r>
        <w:rPr>
          <w:rFonts w:hint="eastAsia" w:ascii="楷体" w:hAnsi="楷体" w:eastAsia="楷体" w:cs="楷体"/>
          <w:color w:val="FF0000"/>
          <w:sz w:val="32"/>
          <w:szCs w:val="32"/>
          <w:u w:val="single"/>
          <w:lang w:val="en-US" w:eastAsia="zh-CN"/>
        </w:rPr>
        <w:t>477.24</w:t>
      </w:r>
      <w:r>
        <w:rPr>
          <w:rFonts w:hint="eastAsia" w:ascii="楷体" w:hAnsi="楷体" w:eastAsia="楷体" w:cs="楷体"/>
          <w:sz w:val="32"/>
          <w:szCs w:val="32"/>
        </w:rPr>
        <w:t>万元，比</w:t>
      </w:r>
      <w:r>
        <w:rPr>
          <w:rFonts w:hint="eastAsia" w:ascii="楷体" w:hAnsi="楷体" w:eastAsia="楷体" w:cs="楷体"/>
          <w:sz w:val="32"/>
          <w:szCs w:val="32"/>
          <w:lang w:eastAsia="zh-CN"/>
        </w:rPr>
        <w:t>上年预算</w:t>
      </w:r>
      <w:r>
        <w:rPr>
          <w:rFonts w:hint="eastAsia" w:ascii="楷体" w:hAnsi="楷体" w:eastAsia="楷体" w:cs="楷体"/>
          <w:sz w:val="32"/>
          <w:szCs w:val="32"/>
        </w:rPr>
        <w:t>支出</w:t>
      </w:r>
      <w:r>
        <w:rPr>
          <w:rFonts w:hint="eastAsia" w:ascii="楷体" w:hAnsi="楷体" w:eastAsia="楷体" w:cs="楷体"/>
          <w:sz w:val="32"/>
          <w:szCs w:val="32"/>
          <w:lang w:eastAsia="zh-CN"/>
        </w:rPr>
        <w:t>安排</w:t>
      </w:r>
      <w:r>
        <w:rPr>
          <w:rFonts w:hint="eastAsia" w:ascii="楷体" w:hAnsi="楷体" w:eastAsia="楷体" w:cs="楷体"/>
          <w:sz w:val="32"/>
          <w:szCs w:val="32"/>
          <w:lang w:val="en-US" w:eastAsia="zh-CN"/>
        </w:rPr>
        <w:t>523.04万元，</w:t>
      </w:r>
      <w:r>
        <w:rPr>
          <w:rFonts w:hint="eastAsia" w:ascii="楷体" w:hAnsi="楷体" w:eastAsia="楷体" w:cs="楷体"/>
          <w:color w:val="auto"/>
          <w:sz w:val="32"/>
          <w:szCs w:val="32"/>
          <w:u w:val="none"/>
          <w:lang w:val="en-US" w:eastAsia="zh-CN"/>
        </w:rPr>
        <w:t>减少</w:t>
      </w:r>
      <w:r>
        <w:rPr>
          <w:rFonts w:hint="eastAsia" w:ascii="楷体" w:hAnsi="楷体" w:eastAsia="楷体" w:cs="楷体"/>
          <w:color w:val="FF0000"/>
          <w:sz w:val="32"/>
          <w:szCs w:val="32"/>
          <w:u w:val="single"/>
          <w:lang w:val="en-US" w:eastAsia="zh-CN"/>
        </w:rPr>
        <w:t>45.8</w:t>
      </w:r>
      <w:r>
        <w:rPr>
          <w:rFonts w:hint="eastAsia" w:ascii="楷体" w:hAnsi="楷体" w:eastAsia="楷体" w:cs="楷体"/>
          <w:sz w:val="32"/>
          <w:szCs w:val="32"/>
        </w:rPr>
        <w:t>万元</w:t>
      </w:r>
      <w:r>
        <w:rPr>
          <w:rFonts w:hint="eastAsia" w:ascii="楷体" w:hAnsi="楷体" w:eastAsia="楷体" w:cs="楷体"/>
          <w:color w:val="FF0000"/>
          <w:sz w:val="32"/>
          <w:szCs w:val="32"/>
          <w:u w:val="none"/>
          <w:lang w:val="en-US" w:eastAsia="zh-CN"/>
        </w:rPr>
        <w:t>。</w:t>
      </w:r>
    </w:p>
    <w:p>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按支出项目类别划分：基本支出</w:t>
      </w:r>
      <w:r>
        <w:rPr>
          <w:rFonts w:hint="eastAsia" w:ascii="楷体" w:hAnsi="楷体" w:eastAsia="楷体" w:cs="楷体"/>
          <w:color w:val="FF0000"/>
          <w:sz w:val="32"/>
          <w:szCs w:val="32"/>
          <w:u w:val="single"/>
          <w:lang w:val="en-US" w:eastAsia="zh-CN"/>
        </w:rPr>
        <w:t>311.74</w:t>
      </w:r>
      <w:r>
        <w:rPr>
          <w:rFonts w:hint="eastAsia" w:ascii="楷体" w:hAnsi="楷体" w:eastAsia="楷体" w:cs="楷体"/>
          <w:sz w:val="32"/>
          <w:szCs w:val="32"/>
        </w:rPr>
        <w:t>万元，项目支出</w:t>
      </w:r>
      <w:r>
        <w:rPr>
          <w:rFonts w:hint="eastAsia" w:ascii="楷体" w:hAnsi="楷体" w:eastAsia="楷体" w:cs="楷体"/>
          <w:color w:val="FF0000"/>
          <w:sz w:val="32"/>
          <w:szCs w:val="32"/>
          <w:u w:val="single"/>
          <w:lang w:val="en-US" w:eastAsia="zh-CN"/>
        </w:rPr>
        <w:t>165.5</w:t>
      </w:r>
      <w:r>
        <w:rPr>
          <w:rFonts w:hint="eastAsia" w:ascii="楷体" w:hAnsi="楷体" w:eastAsia="楷体" w:cs="楷体"/>
          <w:sz w:val="32"/>
          <w:szCs w:val="32"/>
        </w:rPr>
        <w:t>万元。</w:t>
      </w:r>
    </w:p>
    <w:p>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按支出功能科目分类：</w:t>
      </w:r>
      <w:r>
        <w:rPr>
          <w:rFonts w:hint="eastAsia" w:ascii="楷体" w:hAnsi="楷体" w:eastAsia="楷体" w:cs="楷体"/>
          <w:sz w:val="32"/>
          <w:szCs w:val="32"/>
          <w:lang w:val="en-US" w:eastAsia="zh-CN"/>
        </w:rPr>
        <w:t>2080505</w:t>
      </w:r>
      <w:r>
        <w:rPr>
          <w:rFonts w:hint="eastAsia" w:ascii="楷体" w:hAnsi="楷体" w:eastAsia="楷体" w:cs="楷体"/>
          <w:snapToGrid/>
          <w:kern w:val="2"/>
          <w:sz w:val="32"/>
          <w:szCs w:val="32"/>
          <w:lang w:val="en-US" w:eastAsia="zh-CN" w:bidi="ar-SA"/>
        </w:rPr>
        <w:t>机关事业单位基本养老保险缴费支出</w:t>
      </w:r>
      <w:r>
        <w:rPr>
          <w:rFonts w:hint="eastAsia" w:ascii="楷体" w:hAnsi="楷体" w:eastAsia="楷体" w:cs="楷体"/>
          <w:snapToGrid/>
          <w:color w:val="FF0000"/>
          <w:kern w:val="2"/>
          <w:sz w:val="32"/>
          <w:szCs w:val="32"/>
          <w:u w:val="single"/>
          <w:lang w:val="en-US" w:eastAsia="zh-CN" w:bidi="ar-SA"/>
        </w:rPr>
        <w:t>27.46</w:t>
      </w:r>
      <w:r>
        <w:rPr>
          <w:rFonts w:hint="eastAsia" w:ascii="楷体" w:hAnsi="楷体" w:eastAsia="楷体" w:cs="楷体"/>
          <w:snapToGrid/>
          <w:kern w:val="2"/>
          <w:sz w:val="32"/>
          <w:szCs w:val="32"/>
          <w:lang w:val="en-US" w:eastAsia="zh-CN" w:bidi="ar-SA"/>
        </w:rPr>
        <w:t>万元；2110101行政运行</w:t>
      </w:r>
      <w:r>
        <w:rPr>
          <w:rFonts w:hint="eastAsia" w:ascii="楷体" w:hAnsi="楷体" w:eastAsia="楷体" w:cs="楷体"/>
          <w:snapToGrid/>
          <w:color w:val="FF0000"/>
          <w:kern w:val="2"/>
          <w:sz w:val="32"/>
          <w:szCs w:val="32"/>
          <w:u w:val="single"/>
          <w:lang w:val="en-US" w:eastAsia="zh-CN" w:bidi="ar-SA"/>
        </w:rPr>
        <w:t>284.28</w:t>
      </w:r>
      <w:r>
        <w:rPr>
          <w:rFonts w:hint="eastAsia" w:ascii="楷体" w:hAnsi="楷体" w:eastAsia="楷体" w:cs="楷体"/>
          <w:snapToGrid/>
          <w:kern w:val="2"/>
          <w:sz w:val="32"/>
          <w:szCs w:val="32"/>
          <w:lang w:val="en-US" w:eastAsia="zh-CN" w:bidi="ar-SA"/>
        </w:rPr>
        <w:t>万元；2110102一般行政管理事务</w:t>
      </w:r>
      <w:r>
        <w:rPr>
          <w:rFonts w:hint="eastAsia" w:ascii="楷体" w:hAnsi="楷体" w:eastAsia="楷体" w:cs="楷体"/>
          <w:snapToGrid/>
          <w:color w:val="FF0000"/>
          <w:kern w:val="2"/>
          <w:sz w:val="32"/>
          <w:szCs w:val="32"/>
          <w:u w:val="single"/>
          <w:lang w:val="en-US" w:eastAsia="zh-CN" w:bidi="ar-SA"/>
        </w:rPr>
        <w:t>165.5</w:t>
      </w:r>
      <w:r>
        <w:rPr>
          <w:rFonts w:hint="eastAsia" w:ascii="楷体" w:hAnsi="楷体" w:eastAsia="楷体" w:cs="楷体"/>
          <w:snapToGrid/>
          <w:kern w:val="2"/>
          <w:sz w:val="32"/>
          <w:szCs w:val="32"/>
          <w:lang w:val="en-US" w:eastAsia="zh-CN" w:bidi="ar-SA"/>
        </w:rPr>
        <w:t>万元。</w:t>
      </w:r>
    </w:p>
    <w:p>
      <w:pPr>
        <w:spacing w:line="360" w:lineRule="auto"/>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sz w:val="32"/>
          <w:szCs w:val="32"/>
        </w:rPr>
        <w:t>按经济功能科目分类：</w:t>
      </w:r>
      <w:r>
        <w:rPr>
          <w:rFonts w:hint="eastAsia" w:ascii="楷体" w:hAnsi="楷体" w:eastAsia="楷体" w:cs="楷体"/>
          <w:color w:val="000000" w:themeColor="text1"/>
          <w:sz w:val="32"/>
          <w:szCs w:val="32"/>
          <w14:textFill>
            <w14:solidFill>
              <w14:schemeClr w14:val="tx1"/>
            </w14:solidFill>
          </w14:textFill>
        </w:rPr>
        <w:t>工资福利支出</w:t>
      </w:r>
      <w:r>
        <w:rPr>
          <w:rFonts w:hint="eastAsia" w:ascii="楷体" w:hAnsi="楷体" w:eastAsia="楷体" w:cs="楷体"/>
          <w:color w:val="FF0000"/>
          <w:sz w:val="32"/>
          <w:szCs w:val="32"/>
          <w:u w:val="single"/>
          <w:lang w:val="en-US" w:eastAsia="zh-CN"/>
        </w:rPr>
        <w:t>249.7</w:t>
      </w:r>
      <w:r>
        <w:rPr>
          <w:rFonts w:hint="eastAsia" w:ascii="楷体" w:hAnsi="楷体" w:eastAsia="楷体" w:cs="楷体"/>
          <w:color w:val="000000" w:themeColor="text1"/>
          <w:sz w:val="32"/>
          <w:szCs w:val="32"/>
          <w14:textFill>
            <w14:solidFill>
              <w14:schemeClr w14:val="tx1"/>
            </w14:solidFill>
          </w14:textFill>
        </w:rPr>
        <w:t>万元，商品服务支出</w:t>
      </w:r>
      <w:r>
        <w:rPr>
          <w:rFonts w:hint="eastAsia" w:ascii="楷体" w:hAnsi="楷体" w:eastAsia="楷体" w:cs="楷体"/>
          <w:color w:val="FF0000"/>
          <w:sz w:val="32"/>
          <w:szCs w:val="32"/>
          <w:u w:val="single"/>
          <w:lang w:val="en-US" w:eastAsia="zh-CN"/>
        </w:rPr>
        <w:t>43.68</w:t>
      </w:r>
      <w:r>
        <w:rPr>
          <w:rFonts w:hint="eastAsia" w:ascii="楷体" w:hAnsi="楷体" w:eastAsia="楷体" w:cs="楷体"/>
          <w:color w:val="000000" w:themeColor="text1"/>
          <w:sz w:val="32"/>
          <w:szCs w:val="32"/>
          <w14:textFill>
            <w14:solidFill>
              <w14:schemeClr w14:val="tx1"/>
            </w14:solidFill>
          </w14:textFill>
        </w:rPr>
        <w:t>万元，</w:t>
      </w:r>
      <w:r>
        <w:rPr>
          <w:rFonts w:hint="eastAsia" w:ascii="楷体" w:hAnsi="楷体" w:eastAsia="楷体" w:cs="楷体"/>
          <w:color w:val="000000" w:themeColor="text1"/>
          <w:sz w:val="32"/>
          <w:szCs w:val="32"/>
          <w:lang w:val="en-US" w:eastAsia="zh-CN"/>
          <w14:textFill>
            <w14:solidFill>
              <w14:schemeClr w14:val="tx1"/>
            </w14:solidFill>
          </w14:textFill>
        </w:rPr>
        <w:t>资本性</w:t>
      </w:r>
      <w:r>
        <w:rPr>
          <w:rFonts w:hint="eastAsia" w:ascii="楷体" w:hAnsi="楷体" w:eastAsia="楷体" w:cs="楷体"/>
          <w:color w:val="000000" w:themeColor="text1"/>
          <w:sz w:val="32"/>
          <w:szCs w:val="32"/>
          <w14:textFill>
            <w14:solidFill>
              <w14:schemeClr w14:val="tx1"/>
            </w14:solidFill>
          </w14:textFill>
        </w:rPr>
        <w:t>支出</w:t>
      </w:r>
      <w:r>
        <w:rPr>
          <w:rFonts w:hint="eastAsia" w:ascii="楷体" w:hAnsi="楷体" w:eastAsia="楷体" w:cs="楷体"/>
          <w:color w:val="FF0000"/>
          <w:sz w:val="32"/>
          <w:szCs w:val="32"/>
          <w:u w:val="single"/>
          <w:lang w:val="en-US" w:eastAsia="zh-CN"/>
        </w:rPr>
        <w:t>18.36</w:t>
      </w:r>
      <w:r>
        <w:rPr>
          <w:rFonts w:hint="eastAsia" w:ascii="楷体" w:hAnsi="楷体" w:eastAsia="楷体" w:cs="楷体"/>
          <w:color w:val="000000" w:themeColor="text1"/>
          <w:sz w:val="32"/>
          <w:szCs w:val="32"/>
          <w14:textFill>
            <w14:solidFill>
              <w14:schemeClr w14:val="tx1"/>
            </w14:solidFill>
          </w14:textFill>
        </w:rPr>
        <w:t>万元。项目支出</w:t>
      </w:r>
      <w:r>
        <w:rPr>
          <w:rFonts w:hint="eastAsia" w:ascii="楷体" w:hAnsi="楷体" w:eastAsia="楷体" w:cs="楷体"/>
          <w:color w:val="FF0000"/>
          <w:sz w:val="32"/>
          <w:szCs w:val="32"/>
          <w:u w:val="single"/>
          <w:lang w:val="en-US" w:eastAsia="zh-CN"/>
        </w:rPr>
        <w:t>165.5</w:t>
      </w:r>
      <w:r>
        <w:rPr>
          <w:rFonts w:hint="eastAsia" w:ascii="楷体" w:hAnsi="楷体" w:eastAsia="楷体" w:cs="楷体"/>
          <w:color w:val="000000" w:themeColor="text1"/>
          <w:sz w:val="32"/>
          <w:szCs w:val="32"/>
          <w14:textFill>
            <w14:solidFill>
              <w14:schemeClr w14:val="tx1"/>
            </w14:solidFill>
          </w14:textFill>
        </w:rPr>
        <w:t>万元。</w:t>
      </w: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napToGrid/>
          <w:kern w:val="2"/>
          <w:sz w:val="32"/>
          <w:szCs w:val="32"/>
          <w:lang w:val="en-US" w:eastAsia="zh-CN" w:bidi="ar-SA"/>
        </w:rPr>
        <w:t>财政拨款支出情况</w:t>
      </w:r>
    </w:p>
    <w:p>
      <w:pPr>
        <w:widowControl/>
        <w:spacing w:line="360" w:lineRule="auto"/>
        <w:ind w:firstLine="640" w:firstLineChars="200"/>
        <w:jc w:val="left"/>
        <w:rPr>
          <w:rFonts w:hint="eastAsia" w:ascii="楷体" w:hAnsi="楷体" w:eastAsia="楷体" w:cs="楷体"/>
          <w:sz w:val="32"/>
          <w:szCs w:val="32"/>
          <w:lang w:eastAsia="zh-CN"/>
        </w:rPr>
      </w:pPr>
      <w:r>
        <w:rPr>
          <w:rFonts w:hint="eastAsia" w:ascii="楷体" w:hAnsi="楷体" w:eastAsia="楷体" w:cs="楷体"/>
          <w:sz w:val="32"/>
          <w:szCs w:val="32"/>
        </w:rPr>
        <w:t>202</w:t>
      </w:r>
      <w:r>
        <w:rPr>
          <w:rFonts w:hint="eastAsia" w:ascii="楷体" w:hAnsi="楷体" w:eastAsia="楷体" w:cs="楷体"/>
          <w:sz w:val="32"/>
          <w:szCs w:val="32"/>
          <w:lang w:val="en-US" w:eastAsia="zh-CN"/>
        </w:rPr>
        <w:t>2</w:t>
      </w:r>
      <w:r>
        <w:rPr>
          <w:rFonts w:hint="eastAsia" w:ascii="楷体" w:hAnsi="楷体" w:eastAsia="楷体" w:cs="楷体"/>
          <w:sz w:val="32"/>
          <w:szCs w:val="32"/>
        </w:rPr>
        <w:t>年公共财政拨款支出预算为</w:t>
      </w:r>
      <w:r>
        <w:rPr>
          <w:rFonts w:hint="eastAsia" w:ascii="楷体" w:hAnsi="楷体" w:eastAsia="楷体" w:cs="楷体"/>
          <w:color w:val="FF0000"/>
          <w:sz w:val="32"/>
          <w:szCs w:val="32"/>
          <w:u w:val="single"/>
          <w:lang w:val="en-US" w:eastAsia="zh-CN"/>
        </w:rPr>
        <w:t>477.24</w:t>
      </w:r>
      <w:r>
        <w:rPr>
          <w:rFonts w:hint="eastAsia" w:ascii="楷体" w:hAnsi="楷体" w:eastAsia="楷体" w:cs="楷体"/>
          <w:sz w:val="32"/>
          <w:szCs w:val="32"/>
        </w:rPr>
        <w:t>万元，较上年</w:t>
      </w:r>
      <w:r>
        <w:rPr>
          <w:rFonts w:hint="eastAsia" w:ascii="楷体" w:hAnsi="楷体" w:eastAsia="楷体" w:cs="楷体"/>
          <w:sz w:val="32"/>
          <w:szCs w:val="32"/>
          <w:lang w:eastAsia="zh-CN"/>
        </w:rPr>
        <w:t>预算</w:t>
      </w:r>
      <w:r>
        <w:rPr>
          <w:rFonts w:hint="eastAsia" w:ascii="楷体" w:hAnsi="楷体" w:eastAsia="楷体" w:cs="楷体"/>
          <w:color w:val="FF0000"/>
          <w:sz w:val="32"/>
          <w:szCs w:val="32"/>
          <w:u w:val="single"/>
          <w:lang w:val="en-US" w:eastAsia="zh-CN"/>
        </w:rPr>
        <w:t>减少45.8</w:t>
      </w:r>
      <w:r>
        <w:rPr>
          <w:rFonts w:hint="eastAsia" w:ascii="楷体" w:hAnsi="楷体" w:eastAsia="楷体" w:cs="楷体"/>
          <w:sz w:val="32"/>
          <w:szCs w:val="32"/>
        </w:rPr>
        <w:t>万元。按支出项目类别划分：基本支出</w:t>
      </w:r>
      <w:r>
        <w:rPr>
          <w:rFonts w:hint="eastAsia" w:ascii="楷体" w:hAnsi="楷体" w:eastAsia="楷体" w:cs="楷体"/>
          <w:color w:val="FF0000"/>
          <w:sz w:val="32"/>
          <w:szCs w:val="32"/>
          <w:u w:val="single"/>
          <w:lang w:val="en-US" w:eastAsia="zh-CN"/>
        </w:rPr>
        <w:t>311.74</w:t>
      </w:r>
      <w:r>
        <w:rPr>
          <w:rFonts w:hint="eastAsia" w:ascii="楷体" w:hAnsi="楷体" w:eastAsia="楷体" w:cs="楷体"/>
          <w:sz w:val="32"/>
          <w:szCs w:val="32"/>
        </w:rPr>
        <w:t>万元，较上年</w:t>
      </w:r>
      <w:r>
        <w:rPr>
          <w:rFonts w:hint="eastAsia" w:ascii="楷体" w:hAnsi="楷体" w:eastAsia="楷体" w:cs="楷体"/>
          <w:color w:val="FF0000"/>
          <w:sz w:val="32"/>
          <w:szCs w:val="32"/>
          <w:u w:val="single"/>
          <w:lang w:val="en-US" w:eastAsia="zh-CN"/>
        </w:rPr>
        <w:t>减少181.3</w:t>
      </w:r>
      <w:r>
        <w:rPr>
          <w:rFonts w:hint="eastAsia" w:ascii="楷体" w:hAnsi="楷体" w:eastAsia="楷体" w:cs="楷体"/>
          <w:sz w:val="32"/>
          <w:szCs w:val="32"/>
        </w:rPr>
        <w:t>万元。其中：工资福利支出</w:t>
      </w:r>
      <w:r>
        <w:rPr>
          <w:rFonts w:hint="eastAsia" w:ascii="楷体" w:hAnsi="楷体" w:eastAsia="楷体" w:cs="楷体"/>
          <w:color w:val="FF0000"/>
          <w:sz w:val="32"/>
          <w:szCs w:val="32"/>
          <w:u w:val="single"/>
          <w:lang w:val="en-US" w:eastAsia="zh-CN"/>
        </w:rPr>
        <w:t>249.7</w:t>
      </w:r>
      <w:r>
        <w:rPr>
          <w:rFonts w:hint="eastAsia" w:ascii="楷体" w:hAnsi="楷体" w:eastAsia="楷体" w:cs="楷体"/>
          <w:sz w:val="32"/>
          <w:szCs w:val="32"/>
        </w:rPr>
        <w:t>万元，</w:t>
      </w:r>
      <w:r>
        <w:rPr>
          <w:rFonts w:hint="eastAsia" w:ascii="楷体" w:hAnsi="楷体" w:eastAsia="楷体" w:cs="楷体"/>
          <w:sz w:val="32"/>
          <w:szCs w:val="32"/>
          <w:lang w:eastAsia="zh-CN"/>
        </w:rPr>
        <w:t>比上年预算减少</w:t>
      </w:r>
      <w:r>
        <w:rPr>
          <w:rFonts w:hint="eastAsia" w:ascii="楷体" w:hAnsi="楷体" w:eastAsia="楷体" w:cs="楷体"/>
          <w:color w:val="FF0000"/>
          <w:sz w:val="32"/>
          <w:szCs w:val="32"/>
          <w:u w:val="single"/>
          <w:lang w:val="en-US" w:eastAsia="zh-CN"/>
        </w:rPr>
        <w:t>65.01</w:t>
      </w:r>
      <w:r>
        <w:rPr>
          <w:rFonts w:hint="eastAsia" w:ascii="楷体" w:hAnsi="楷体" w:eastAsia="楷体" w:cs="楷体"/>
          <w:sz w:val="32"/>
          <w:szCs w:val="32"/>
          <w:lang w:val="en-US" w:eastAsia="zh-CN"/>
        </w:rPr>
        <w:t>万元，公用经费</w:t>
      </w:r>
      <w:r>
        <w:rPr>
          <w:rFonts w:hint="eastAsia" w:ascii="楷体" w:hAnsi="楷体" w:eastAsia="楷体" w:cs="楷体"/>
          <w:color w:val="FF0000"/>
          <w:sz w:val="32"/>
          <w:szCs w:val="32"/>
          <w:u w:val="single"/>
          <w:lang w:val="en-US" w:eastAsia="zh-CN"/>
        </w:rPr>
        <w:t>62.04</w:t>
      </w:r>
      <w:r>
        <w:rPr>
          <w:rFonts w:hint="eastAsia" w:ascii="楷体" w:hAnsi="楷体" w:eastAsia="楷体" w:cs="楷体"/>
          <w:sz w:val="32"/>
          <w:szCs w:val="32"/>
          <w:lang w:val="en-US" w:eastAsia="zh-CN"/>
        </w:rPr>
        <w:t>万元，</w:t>
      </w:r>
      <w:r>
        <w:rPr>
          <w:rFonts w:hint="eastAsia" w:ascii="楷体" w:hAnsi="楷体" w:eastAsia="楷体" w:cs="楷体"/>
          <w:sz w:val="32"/>
          <w:szCs w:val="32"/>
          <w:lang w:eastAsia="zh-CN"/>
        </w:rPr>
        <w:t>比上年预算减少</w:t>
      </w:r>
      <w:r>
        <w:rPr>
          <w:rFonts w:hint="eastAsia" w:ascii="楷体" w:hAnsi="楷体" w:eastAsia="楷体" w:cs="楷体"/>
          <w:color w:val="FF0000"/>
          <w:sz w:val="32"/>
          <w:szCs w:val="32"/>
          <w:u w:val="single"/>
          <w:lang w:val="en-US" w:eastAsia="zh-CN"/>
        </w:rPr>
        <w:t>116.29</w:t>
      </w:r>
      <w:r>
        <w:rPr>
          <w:rFonts w:hint="eastAsia" w:ascii="楷体" w:hAnsi="楷体" w:eastAsia="楷体" w:cs="楷体"/>
          <w:sz w:val="32"/>
          <w:szCs w:val="32"/>
          <w:lang w:val="en-US" w:eastAsia="zh-CN"/>
        </w:rPr>
        <w:t>万元，其中</w:t>
      </w:r>
      <w:r>
        <w:rPr>
          <w:rFonts w:hint="eastAsia" w:ascii="楷体" w:hAnsi="楷体" w:eastAsia="楷体" w:cs="楷体"/>
          <w:sz w:val="32"/>
          <w:szCs w:val="32"/>
        </w:rPr>
        <w:t>商品和服务支出</w:t>
      </w:r>
      <w:r>
        <w:rPr>
          <w:rFonts w:hint="eastAsia" w:ascii="楷体" w:hAnsi="楷体" w:eastAsia="楷体" w:cs="楷体"/>
          <w:color w:val="FF0000"/>
          <w:sz w:val="32"/>
          <w:szCs w:val="32"/>
          <w:u w:val="single"/>
          <w:lang w:val="en-US" w:eastAsia="zh-CN"/>
        </w:rPr>
        <w:t>43.68</w:t>
      </w:r>
      <w:r>
        <w:rPr>
          <w:rFonts w:hint="eastAsia" w:ascii="楷体" w:hAnsi="楷体" w:eastAsia="楷体" w:cs="楷体"/>
          <w:sz w:val="32"/>
          <w:szCs w:val="32"/>
        </w:rPr>
        <w:t>万元，</w:t>
      </w:r>
      <w:r>
        <w:rPr>
          <w:rFonts w:hint="eastAsia" w:ascii="楷体" w:hAnsi="楷体" w:eastAsia="楷体" w:cs="楷体"/>
          <w:sz w:val="32"/>
          <w:szCs w:val="32"/>
          <w:lang w:val="en-US" w:eastAsia="zh-CN"/>
        </w:rPr>
        <w:t>资本性支出</w:t>
      </w:r>
      <w:r>
        <w:rPr>
          <w:rFonts w:hint="eastAsia" w:ascii="楷体" w:hAnsi="楷体" w:eastAsia="楷体" w:cs="楷体"/>
          <w:color w:val="FF0000"/>
          <w:sz w:val="32"/>
          <w:szCs w:val="32"/>
          <w:u w:val="single"/>
          <w:lang w:val="en-US" w:eastAsia="zh-CN"/>
        </w:rPr>
        <w:t>18.36</w:t>
      </w:r>
      <w:r>
        <w:rPr>
          <w:rFonts w:hint="eastAsia" w:ascii="楷体" w:hAnsi="楷体" w:eastAsia="楷体" w:cs="楷体"/>
          <w:sz w:val="32"/>
          <w:szCs w:val="32"/>
        </w:rPr>
        <w:t>万元</w:t>
      </w:r>
      <w:r>
        <w:rPr>
          <w:rFonts w:hint="eastAsia" w:ascii="楷体" w:hAnsi="楷体" w:eastAsia="楷体" w:cs="楷体"/>
          <w:sz w:val="32"/>
          <w:szCs w:val="32"/>
          <w:lang w:val="en-US" w:eastAsia="zh-CN"/>
        </w:rPr>
        <w:t>；</w:t>
      </w:r>
      <w:r>
        <w:rPr>
          <w:rFonts w:hint="eastAsia" w:ascii="楷体" w:hAnsi="楷体" w:eastAsia="楷体" w:cs="楷体"/>
          <w:sz w:val="32"/>
          <w:szCs w:val="32"/>
        </w:rPr>
        <w:t>项目支出</w:t>
      </w:r>
      <w:r>
        <w:rPr>
          <w:rFonts w:hint="eastAsia" w:ascii="楷体" w:hAnsi="楷体" w:eastAsia="楷体" w:cs="楷体"/>
          <w:sz w:val="32"/>
          <w:szCs w:val="32"/>
          <w:lang w:val="en-US" w:eastAsia="zh-CN"/>
        </w:rPr>
        <w:t xml:space="preserve"> </w:t>
      </w:r>
      <w:r>
        <w:rPr>
          <w:rFonts w:hint="eastAsia" w:ascii="楷体" w:hAnsi="楷体" w:eastAsia="楷体" w:cs="楷体"/>
          <w:color w:val="FF0000"/>
          <w:sz w:val="32"/>
          <w:szCs w:val="32"/>
          <w:u w:val="single"/>
          <w:lang w:val="en-US" w:eastAsia="zh-CN"/>
        </w:rPr>
        <w:t>165.5</w:t>
      </w:r>
      <w:r>
        <w:rPr>
          <w:rFonts w:hint="eastAsia" w:ascii="楷体" w:hAnsi="楷体" w:eastAsia="楷体" w:cs="楷体"/>
          <w:sz w:val="32"/>
          <w:szCs w:val="32"/>
        </w:rPr>
        <w:t>万元，较上年</w:t>
      </w:r>
      <w:r>
        <w:rPr>
          <w:rFonts w:hint="eastAsia" w:ascii="楷体" w:hAnsi="楷体" w:eastAsia="楷体" w:cs="楷体"/>
          <w:sz w:val="32"/>
          <w:szCs w:val="32"/>
          <w:lang w:eastAsia="zh-CN"/>
        </w:rPr>
        <w:t>预算</w:t>
      </w:r>
      <w:r>
        <w:rPr>
          <w:rFonts w:hint="eastAsia" w:ascii="楷体" w:hAnsi="楷体" w:eastAsia="楷体" w:cs="楷体"/>
          <w:color w:val="000000" w:themeColor="text1"/>
          <w:sz w:val="32"/>
          <w:szCs w:val="32"/>
          <w:u w:val="none"/>
          <w:lang w:val="en-US" w:eastAsia="zh-CN"/>
          <w14:textFill>
            <w14:solidFill>
              <w14:schemeClr w14:val="tx1"/>
            </w14:solidFill>
          </w14:textFill>
        </w:rPr>
        <w:t>增加</w:t>
      </w:r>
      <w:r>
        <w:rPr>
          <w:rFonts w:hint="eastAsia" w:ascii="楷体" w:hAnsi="楷体" w:eastAsia="楷体" w:cs="楷体"/>
          <w:color w:val="FF0000"/>
          <w:sz w:val="32"/>
          <w:szCs w:val="32"/>
          <w:u w:val="single"/>
          <w:lang w:val="en-US" w:eastAsia="zh-CN"/>
        </w:rPr>
        <w:t>135.5</w:t>
      </w:r>
      <w:r>
        <w:rPr>
          <w:rFonts w:hint="eastAsia" w:ascii="楷体" w:hAnsi="楷体" w:eastAsia="楷体" w:cs="楷体"/>
          <w:sz w:val="32"/>
          <w:szCs w:val="32"/>
        </w:rPr>
        <w:t>万元</w:t>
      </w:r>
      <w:r>
        <w:rPr>
          <w:rFonts w:hint="eastAsia" w:ascii="楷体" w:hAnsi="楷体" w:eastAsia="楷体" w:cs="楷体"/>
          <w:sz w:val="32"/>
          <w:szCs w:val="32"/>
          <w:lang w:eastAsia="zh-CN"/>
        </w:rPr>
        <w:t>。</w:t>
      </w: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(四)政府性基金情况</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没有使用政府性基金预算拨款安排的支出。</w:t>
      </w: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(五)国有资本经营情况</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没有使用国有资本经营预算拨款安排的支出。</w:t>
      </w: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(六)机关运行经费等重要事项的说明</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202</w:t>
      </w:r>
      <w:r>
        <w:rPr>
          <w:rFonts w:hint="eastAsia" w:ascii="楷体" w:hAnsi="楷体" w:eastAsia="楷体" w:cs="楷体"/>
          <w:color w:val="000000" w:themeColor="text1"/>
          <w:sz w:val="32"/>
          <w:szCs w:val="32"/>
          <w:lang w:val="en-US" w:eastAsia="zh-CN"/>
          <w14:textFill>
            <w14:solidFill>
              <w14:schemeClr w14:val="tx1"/>
            </w14:solidFill>
          </w14:textFill>
        </w:rPr>
        <w:t>2</w:t>
      </w:r>
      <w:r>
        <w:rPr>
          <w:rFonts w:hint="eastAsia" w:ascii="楷体" w:hAnsi="楷体" w:eastAsia="楷体" w:cs="楷体"/>
          <w:color w:val="000000" w:themeColor="text1"/>
          <w:sz w:val="32"/>
          <w:szCs w:val="32"/>
          <w14:textFill>
            <w14:solidFill>
              <w14:schemeClr w14:val="tx1"/>
            </w14:solidFill>
          </w14:textFill>
        </w:rPr>
        <w:t>年部门机关运行费用预算</w:t>
      </w:r>
      <w:r>
        <w:rPr>
          <w:rFonts w:hint="eastAsia" w:ascii="楷体" w:hAnsi="楷体" w:eastAsia="楷体" w:cs="楷体"/>
          <w:color w:val="FF0000"/>
          <w:sz w:val="32"/>
          <w:szCs w:val="32"/>
          <w:u w:val="single"/>
          <w:lang w:val="en-US" w:eastAsia="zh-CN"/>
        </w:rPr>
        <w:t>43.68</w:t>
      </w:r>
      <w:r>
        <w:rPr>
          <w:rFonts w:hint="eastAsia" w:ascii="楷体" w:hAnsi="楷体" w:eastAsia="楷体" w:cs="楷体"/>
          <w:color w:val="000000" w:themeColor="text1"/>
          <w:sz w:val="32"/>
          <w:szCs w:val="32"/>
          <w14:textFill>
            <w14:solidFill>
              <w14:schemeClr w14:val="tx1"/>
            </w14:solidFill>
          </w14:textFill>
        </w:rPr>
        <w:t>万元，比202</w:t>
      </w:r>
      <w:r>
        <w:rPr>
          <w:rFonts w:hint="eastAsia" w:ascii="楷体" w:hAnsi="楷体" w:eastAsia="楷体" w:cs="楷体"/>
          <w:color w:val="000000" w:themeColor="text1"/>
          <w:sz w:val="32"/>
          <w:szCs w:val="32"/>
          <w:lang w:val="en-US" w:eastAsia="zh-CN"/>
          <w14:textFill>
            <w14:solidFill>
              <w14:schemeClr w14:val="tx1"/>
            </w14:solidFill>
          </w14:textFill>
        </w:rPr>
        <w:t>1</w:t>
      </w:r>
      <w:r>
        <w:rPr>
          <w:rFonts w:hint="eastAsia" w:ascii="楷体" w:hAnsi="楷体" w:eastAsia="楷体" w:cs="楷体"/>
          <w:color w:val="000000" w:themeColor="text1"/>
          <w:sz w:val="32"/>
          <w:szCs w:val="32"/>
          <w14:textFill>
            <w14:solidFill>
              <w14:schemeClr w14:val="tx1"/>
            </w14:solidFill>
          </w14:textFill>
        </w:rPr>
        <w:t>年预算</w:t>
      </w:r>
      <w:r>
        <w:rPr>
          <w:rFonts w:hint="eastAsia" w:ascii="楷体" w:hAnsi="楷体" w:eastAsia="楷体" w:cs="楷体"/>
          <w:color w:val="000000" w:themeColor="text1"/>
          <w:sz w:val="32"/>
          <w:szCs w:val="32"/>
          <w:lang w:val="en-US" w:eastAsia="zh-CN"/>
          <w14:textFill>
            <w14:solidFill>
              <w14:schemeClr w14:val="tx1"/>
            </w14:solidFill>
          </w14:textFill>
        </w:rPr>
        <w:t>减少</w:t>
      </w:r>
      <w:r>
        <w:rPr>
          <w:rFonts w:hint="eastAsia" w:ascii="楷体" w:hAnsi="楷体" w:eastAsia="楷体" w:cs="楷体"/>
          <w:color w:val="FF0000"/>
          <w:sz w:val="32"/>
          <w:szCs w:val="32"/>
          <w:u w:val="single"/>
          <w:lang w:val="en-US" w:eastAsia="zh-CN"/>
        </w:rPr>
        <w:t>84.65</w:t>
      </w:r>
      <w:r>
        <w:rPr>
          <w:rFonts w:hint="eastAsia" w:ascii="楷体" w:hAnsi="楷体" w:eastAsia="楷体" w:cs="楷体"/>
          <w:color w:val="000000" w:themeColor="text1"/>
          <w:sz w:val="32"/>
          <w:szCs w:val="32"/>
          <w14:textFill>
            <w14:solidFill>
              <w14:schemeClr w14:val="tx1"/>
            </w14:solidFill>
          </w14:textFill>
        </w:rPr>
        <w:t>万元，下降</w:t>
      </w:r>
      <w:r>
        <w:rPr>
          <w:rFonts w:hint="eastAsia" w:ascii="楷体" w:hAnsi="楷体" w:eastAsia="楷体" w:cs="楷体"/>
          <w:color w:val="FF0000"/>
          <w:sz w:val="32"/>
          <w:szCs w:val="32"/>
          <w:u w:val="single"/>
          <w:lang w:val="en-US" w:eastAsia="zh-CN"/>
        </w:rPr>
        <w:t>65.96</w:t>
      </w:r>
      <w:r>
        <w:rPr>
          <w:rFonts w:hint="eastAsia" w:ascii="楷体" w:hAnsi="楷体" w:eastAsia="楷体" w:cs="楷体"/>
          <w:color w:val="FF0000"/>
          <w:sz w:val="32"/>
          <w:szCs w:val="32"/>
          <w:u w:val="single"/>
        </w:rPr>
        <w:t xml:space="preserve"> </w:t>
      </w:r>
      <w:r>
        <w:rPr>
          <w:rFonts w:hint="eastAsia" w:ascii="楷体" w:hAnsi="楷体" w:eastAsia="楷体" w:cs="楷体"/>
          <w:color w:val="000000" w:themeColor="text1"/>
          <w:sz w:val="32"/>
          <w:szCs w:val="32"/>
          <w14:textFill>
            <w14:solidFill>
              <w14:schemeClr w14:val="tx1"/>
            </w14:solidFill>
          </w14:textFill>
        </w:rPr>
        <w:t>%。</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(七)政府采购情况</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2022年部门所属各单位政府采购总额  0   万元，其中:政府采购货物预算   0 万元、政府采购工程预算    0万元、政府采购服务预算   0 万元。</w:t>
      </w: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(八)国有资产占有使用情况</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截至2021年8月31日，部门共有车辆  6   辆，其中，一般公务用车   0 辆，执法执勤用车 6   辆。</w:t>
      </w: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(九)国家重点生态功能区考核项目情况说明</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1、国家重点生态功能区考核项目</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1)项目概述：我县属于国家生态文明建设示范县，加强生态环境保护，提高环境质量，责任重大 ，2017年被列入《国家重点生态功能区县域名单》进行生态环境质量考核。</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2)立项依据：财政部财预（2017）127号关于下达2017年中央对地方重点生态功能区转移支付的通知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3)实施主体：国家重点生态功能区县域生态环境质量监测评价与考核指标体系包括技术评价指标和监管指标两部分。</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4）实施方案：浮府办发[2020]33号浮梁县人民政府办公室关于印发浮梁县2020年国家重点生态功能区县域生态环境质量监测评价与考核工作实施方案的通知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5)实施周期：2022年元月1日至2022年12月31日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6)年度预算安排：260万</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7)绩效目标和指标：根据国家重点生态功能区《考核实施方案》和《监测工作方案》高质量完成监测工作和考核上报工作。</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ind w:firstLine="695" w:firstLineChars="200"/>
        <w:textAlignment w:val="baseline"/>
        <w:rPr>
          <w:rFonts w:hint="eastAsia" w:ascii="楷体" w:hAnsi="楷体" w:eastAsia="楷体" w:cs="楷体"/>
          <w:b/>
          <w:bCs/>
          <w:spacing w:val="13"/>
          <w:sz w:val="32"/>
          <w:szCs w:val="32"/>
        </w:rPr>
      </w:pPr>
      <w:r>
        <w:rPr>
          <w:rFonts w:hint="eastAsia" w:ascii="楷体" w:hAnsi="楷体" w:eastAsia="楷体" w:cs="楷体"/>
          <w:b/>
          <w:bCs/>
          <w:spacing w:val="13"/>
          <w:sz w:val="32"/>
          <w:szCs w:val="32"/>
        </w:rPr>
        <w:t>二、2022年"三公”经费预算情况说明</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2022年浮梁生态环境局"三公"经费一般公共预算安排</w:t>
      </w:r>
      <w:r>
        <w:rPr>
          <w:rFonts w:hint="eastAsia" w:ascii="楷体" w:hAnsi="楷体" w:eastAsia="楷体" w:cs="楷体"/>
          <w:i w:val="0"/>
          <w:iCs w:val="0"/>
          <w:snapToGrid/>
          <w:color w:val="FF0000"/>
          <w:kern w:val="2"/>
          <w:sz w:val="32"/>
          <w:szCs w:val="32"/>
          <w:u w:val="single"/>
          <w:lang w:val="en-US" w:eastAsia="zh-CN" w:bidi="ar-SA"/>
        </w:rPr>
        <w:t>18.04</w:t>
      </w:r>
      <w:r>
        <w:rPr>
          <w:rFonts w:hint="eastAsia" w:ascii="楷体" w:hAnsi="楷体" w:eastAsia="楷体" w:cs="楷体"/>
          <w:snapToGrid/>
          <w:kern w:val="2"/>
          <w:sz w:val="32"/>
          <w:szCs w:val="32"/>
          <w:lang w:val="en-US" w:eastAsia="zh-CN" w:bidi="ar-SA"/>
        </w:rPr>
        <w:t>万元。其中:</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因公出国(境)费0万元，比上年增(减)0万元，主要原因是:没有预算费用。</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公务接待费</w:t>
      </w:r>
      <w:r>
        <w:rPr>
          <w:rFonts w:hint="eastAsia" w:ascii="楷体" w:hAnsi="楷体" w:eastAsia="楷体" w:cs="楷体"/>
          <w:snapToGrid/>
          <w:color w:val="FF0000"/>
          <w:kern w:val="2"/>
          <w:sz w:val="32"/>
          <w:szCs w:val="32"/>
          <w:u w:val="single"/>
          <w:lang w:val="en-US" w:eastAsia="zh-CN" w:bidi="ar-SA"/>
        </w:rPr>
        <w:t>2.5</w:t>
      </w:r>
      <w:r>
        <w:rPr>
          <w:rFonts w:hint="eastAsia" w:ascii="楷体" w:hAnsi="楷体" w:eastAsia="楷体" w:cs="楷体"/>
          <w:snapToGrid/>
          <w:kern w:val="2"/>
          <w:sz w:val="32"/>
          <w:szCs w:val="32"/>
          <w:lang w:val="en-US" w:eastAsia="zh-CN" w:bidi="ar-SA"/>
        </w:rPr>
        <w:t>万元，比上年减</w:t>
      </w:r>
      <w:r>
        <w:rPr>
          <w:rFonts w:hint="eastAsia" w:ascii="楷体" w:hAnsi="楷体" w:eastAsia="楷体" w:cs="楷体"/>
          <w:snapToGrid/>
          <w:color w:val="FF0000"/>
          <w:kern w:val="2"/>
          <w:sz w:val="32"/>
          <w:szCs w:val="32"/>
          <w:u w:val="single"/>
          <w:lang w:val="en-US" w:eastAsia="zh-CN" w:bidi="ar-SA"/>
        </w:rPr>
        <w:t>42.5</w:t>
      </w:r>
      <w:r>
        <w:rPr>
          <w:rFonts w:hint="eastAsia" w:ascii="楷体" w:hAnsi="楷体" w:eastAsia="楷体" w:cs="楷体"/>
          <w:snapToGrid/>
          <w:kern w:val="2"/>
          <w:sz w:val="32"/>
          <w:szCs w:val="32"/>
          <w:lang w:val="en-US" w:eastAsia="zh-CN" w:bidi="ar-SA"/>
        </w:rPr>
        <w:t>万元，主要原因</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是:预算减少。</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公务用车运行维护费</w:t>
      </w:r>
      <w:r>
        <w:rPr>
          <w:rFonts w:hint="eastAsia" w:ascii="楷体" w:hAnsi="楷体" w:eastAsia="楷体" w:cs="楷体"/>
          <w:snapToGrid/>
          <w:color w:val="FF0000"/>
          <w:kern w:val="2"/>
          <w:sz w:val="32"/>
          <w:szCs w:val="32"/>
          <w:u w:val="single"/>
          <w:lang w:val="en-US" w:eastAsia="zh-CN" w:bidi="ar-SA"/>
        </w:rPr>
        <w:t>15.54</w:t>
      </w:r>
      <w:r>
        <w:rPr>
          <w:rFonts w:hint="eastAsia" w:ascii="楷体" w:hAnsi="楷体" w:eastAsia="楷体" w:cs="楷体"/>
          <w:snapToGrid/>
          <w:kern w:val="2"/>
          <w:sz w:val="32"/>
          <w:szCs w:val="32"/>
          <w:lang w:val="en-US" w:eastAsia="zh-CN" w:bidi="ar-SA"/>
        </w:rPr>
        <w:t>万元，比上年减少</w:t>
      </w:r>
      <w:r>
        <w:rPr>
          <w:rFonts w:hint="eastAsia" w:ascii="楷体" w:hAnsi="楷体" w:eastAsia="楷体" w:cs="楷体"/>
          <w:snapToGrid/>
          <w:color w:val="FF0000"/>
          <w:kern w:val="2"/>
          <w:sz w:val="32"/>
          <w:szCs w:val="32"/>
          <w:u w:val="single"/>
          <w:lang w:val="en-US" w:eastAsia="zh-CN" w:bidi="ar-SA"/>
        </w:rPr>
        <w:t>29.46</w:t>
      </w:r>
      <w:r>
        <w:rPr>
          <w:rFonts w:hint="eastAsia" w:ascii="楷体" w:hAnsi="楷体" w:eastAsia="楷体" w:cs="楷体"/>
          <w:snapToGrid/>
          <w:kern w:val="2"/>
          <w:sz w:val="32"/>
          <w:szCs w:val="32"/>
          <w:lang w:val="en-US" w:eastAsia="zh-CN" w:bidi="ar-SA"/>
        </w:rPr>
        <w:t>万元，</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主要原因是:预算减少。</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公务用车购置费0万元，比上年增(减)0万元，主要原因是没有购置费用。</w:t>
      </w:r>
    </w:p>
    <w:p>
      <w:pPr>
        <w:keepNext w:val="0"/>
        <w:keepLines w:val="0"/>
        <w:pageBreakBefore w:val="0"/>
        <w:widowControl/>
        <w:kinsoku w:val="0"/>
        <w:wordWrap/>
        <w:overflowPunct/>
        <w:topLinePunct w:val="0"/>
        <w:autoSpaceDE w:val="0"/>
        <w:autoSpaceDN w:val="0"/>
        <w:bidi w:val="0"/>
        <w:adjustRightInd w:val="0"/>
        <w:snapToGrid w:val="0"/>
        <w:spacing w:before="173" w:line="240" w:lineRule="auto"/>
        <w:ind w:right="49" w:firstLine="599"/>
        <w:textAlignment w:val="baseline"/>
        <w:rPr>
          <w:rFonts w:hint="eastAsia" w:ascii="楷体" w:hAnsi="楷体" w:eastAsia="楷体" w:cs="楷体"/>
          <w:b/>
          <w:bCs/>
          <w:spacing w:val="-15"/>
          <w:w w:val="94"/>
          <w:sz w:val="32"/>
          <w:szCs w:val="32"/>
        </w:rPr>
      </w:pPr>
    </w:p>
    <w:p>
      <w:pPr>
        <w:widowControl w:val="0"/>
        <w:kinsoku/>
        <w:autoSpaceDE/>
        <w:autoSpaceDN/>
        <w:adjustRightInd/>
        <w:snapToGrid/>
        <w:spacing w:line="240" w:lineRule="auto"/>
        <w:jc w:val="center"/>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b/>
          <w:bCs/>
          <w:spacing w:val="13"/>
          <w:sz w:val="32"/>
          <w:szCs w:val="32"/>
        </w:rPr>
      </w:pPr>
      <w:r>
        <w:rPr>
          <w:rFonts w:hint="eastAsia" w:ascii="楷体" w:hAnsi="楷体" w:eastAsia="楷体" w:cs="楷体"/>
          <w:spacing w:val="13"/>
          <w:sz w:val="32"/>
          <w:szCs w:val="32"/>
        </w:rPr>
        <w:t>一</w:t>
      </w:r>
      <w:r>
        <w:rPr>
          <w:rFonts w:hint="eastAsia" w:ascii="楷体" w:hAnsi="楷体" w:eastAsia="楷体" w:cs="楷体"/>
          <w:b/>
          <w:bCs/>
          <w:spacing w:val="13"/>
          <w:sz w:val="32"/>
          <w:szCs w:val="32"/>
        </w:rPr>
        <w:t>、收入科目</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各部门结合实际进行解释。</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(一)财政拨款:指省级财政当年拨付的资金。</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(二)教育收费资金收入:反映实行专项管理的高中以上学费、住宿费，高校委托培养费，函大、电大、夜大及短训班培训费等教育收费取得的收入。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(三)事业收入:指事业单位开展专业业务活动及辅助活动取得的收入。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(四)事业单位经营收入:指事业单位在专业业务活动及辅助活动之外开展非独立核算经营活动取得的收入。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(五)附属单位上缴收入:反映事业单位附属的独立核算单位按规定标准或比例缴纳的各项收入。包括附属的事业单位上缴的收入和附属的企业上缴的利润等。</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(六)上级补助收入:反映事业单位从主管部门和上级单位取得的非财政补助收入。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(七)其他收入:指除财政拨款、事业收入、事业单位经营收入等以外的各项收入。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(八)使用非财政拨款结余:填列历年滚存的非限定用途的非统计财政拨款结余弥补2022年收支差额的数额。</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(九)上年结转和结余:填列2021年全部结转和结余的资金数，包括当年结转结余资金和历年滚存结转结余资金。</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lang w:eastAsia="zh-CN"/>
        </w:rPr>
        <w:t>二、</w:t>
      </w:r>
      <w:r>
        <w:rPr>
          <w:rFonts w:hint="eastAsia" w:ascii="楷体" w:hAnsi="楷体" w:eastAsia="楷体" w:cs="楷体"/>
          <w:spacing w:val="13"/>
          <w:sz w:val="32"/>
          <w:szCs w:val="32"/>
        </w:rPr>
        <w:t>支出科目</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对部门预算中涉及的支出功能分类科目(明细到项级)，结合部门实际，参照《2022年政府收支分类科目》的规范说明进行解释。</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b w:val="0"/>
          <w:bCs w:val="0"/>
          <w:spacing w:val="13"/>
          <w:sz w:val="32"/>
          <w:szCs w:val="32"/>
        </w:rPr>
      </w:pPr>
      <w:r>
        <w:rPr>
          <w:rFonts w:hint="eastAsia" w:ascii="楷体" w:hAnsi="楷体" w:eastAsia="楷体" w:cs="楷体"/>
          <w:b w:val="0"/>
          <w:bCs w:val="0"/>
          <w:spacing w:val="13"/>
          <w:sz w:val="32"/>
          <w:szCs w:val="32"/>
        </w:rPr>
        <w:t>三、部门涉及的专业名词</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由部门结合实际填写。</w:t>
      </w:r>
    </w:p>
    <w:sectPr>
      <w:pgSz w:w="11900" w:h="16820"/>
      <w:pgMar w:top="1429" w:right="1647" w:bottom="1319" w:left="1539" w:header="0" w:footer="10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33AA5"/>
    <w:multiLevelType w:val="singleLevel"/>
    <w:tmpl w:val="EB333AA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0611947"/>
    <w:rsid w:val="17EE2251"/>
    <w:rsid w:val="180A0D7A"/>
    <w:rsid w:val="225631FF"/>
    <w:rsid w:val="28B74E8B"/>
    <w:rsid w:val="2E91690D"/>
    <w:rsid w:val="325D7BAC"/>
    <w:rsid w:val="428E07E4"/>
    <w:rsid w:val="461E05B8"/>
    <w:rsid w:val="474E6296"/>
    <w:rsid w:val="476D2917"/>
    <w:rsid w:val="4C4D5C62"/>
    <w:rsid w:val="50FF3108"/>
    <w:rsid w:val="535A3AA7"/>
    <w:rsid w:val="61597664"/>
    <w:rsid w:val="6A50253A"/>
    <w:rsid w:val="6C0006DE"/>
    <w:rsid w:val="72C926E2"/>
    <w:rsid w:val="7695246E"/>
    <w:rsid w:val="782845C6"/>
    <w:rsid w:val="79461538"/>
    <w:rsid w:val="7D0678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before="0" w:after="120"/>
      <w:ind w:left="0" w:right="0"/>
      <w:jc w:val="both"/>
    </w:pPr>
    <w:rPr>
      <w:rFonts w:ascii="Calibri" w:hAnsi="Calibri" w:eastAsia="宋体" w:cs="Times New Roman"/>
      <w:kern w:val="2"/>
      <w:sz w:val="21"/>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BodyText1I2"/>
    <w:qFormat/>
    <w:uiPriority w:val="0"/>
    <w:pPr>
      <w:widowControl w:val="0"/>
      <w:spacing w:after="120" w:line="240" w:lineRule="auto"/>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平淡是真</cp:lastModifiedBy>
  <dcterms:modified xsi:type="dcterms:W3CDTF">2022-03-22T02:47:06Z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2052-11.1.0.11365</vt:lpwstr>
  </property>
  <property fmtid="{D5CDD505-2E9C-101B-9397-08002B2CF9AE}" pid="5" name="ICV">
    <vt:lpwstr>88DC4E5DA5774A45A9990BB4EE0325F1</vt:lpwstr>
  </property>
</Properties>
</file>