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2022年浮梁生态环境局预算公开说明</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浮梁生态环境局概况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浮梁生态环境局2022年部门预算表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w:t>
      </w:r>
      <w:bookmarkStart w:id="0" w:name="_GoBack"/>
      <w:bookmarkEnd w:id="0"/>
      <w:r>
        <w:rPr>
          <w:rFonts w:hint="eastAsia" w:ascii="黑体" w:hAnsi="黑体" w:eastAsia="黑体" w:cs="黑体"/>
          <w:snapToGrid/>
          <w:kern w:val="2"/>
          <w:sz w:val="32"/>
          <w:szCs w:val="32"/>
          <w:lang w:val="en-US" w:eastAsia="zh-CN" w:bidi="ar-SA"/>
        </w:rPr>
        <w:t>生态环境局2022年部门预算情况说明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第一部分 浮梁生态环境局概况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5" w:firstLineChars="200"/>
        <w:textAlignment w:val="baseline"/>
        <w:rPr>
          <w:rFonts w:hint="eastAsia" w:ascii="楷体" w:hAnsi="楷体" w:eastAsia="楷体" w:cs="楷体"/>
          <w:b/>
          <w:bCs/>
          <w:spacing w:val="-2"/>
          <w:sz w:val="32"/>
          <w:szCs w:val="32"/>
        </w:rPr>
      </w:pPr>
      <w:r>
        <w:rPr>
          <w:rFonts w:hint="eastAsia" w:ascii="楷体" w:hAnsi="楷体" w:eastAsia="楷体" w:cs="楷体"/>
          <w:b/>
          <w:bCs/>
          <w:spacing w:val="-2"/>
          <w:sz w:val="32"/>
          <w:szCs w:val="32"/>
        </w:rPr>
        <w:t>一、</w:t>
      </w:r>
      <w:r>
        <w:rPr>
          <w:rFonts w:hint="eastAsia" w:ascii="楷体" w:hAnsi="楷体" w:eastAsia="楷体" w:cs="楷体"/>
          <w:b/>
          <w:bCs/>
          <w:spacing w:val="-2"/>
          <w:sz w:val="32"/>
          <w:szCs w:val="32"/>
        </w:rPr>
        <w:t>部门主要职责</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一）贯彻执行生态环境基本制度。贯彻执行国家、省、市生态环境的方针政策、法律法规和各类标准、基准以及技术规范。会同有关部门拟订派驻地生态环境规划、计划和规范性文件并组织实施。会同有关部门编制并监督实施重点区域、流域、饮用水水源地生态环境规划和水功能区划。</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二）负责生态环境问题的统筹协调和监督管理。牵头协调派驻地范围内环境污染事故和生态破坏事件的调查处理,指导协调园区、乡（镇）对突发生态环境事件的应急、预警工作,牵头实施生态环境损害赔偿制度，协调解决派驻地环境污染纠纷，统筹协调派驻地重点区域、流域生态环境保护工作。</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三）负责监督管理减排目标的落实。组织拟订并监督实施各类污染物排放总量控制制度，监督实施排污许可证制度，落实国家下达的污染物总量控制指标，监督检查污染物减排任务完成情况，实施生态环境保护目标责任制。</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（四）负责提出全县生态环境领域固定资产投资规模和方向、县级财政性资金安排的意见，配合有关部门做好组织实施和监督工作。参与指导推动循环经济和生态环保产业发展。</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五）负责环境污染防治的监督管理。拟订大气、水、土壤、噪声、光、恶臭、固体废物、化学品、机动车等的污染防治管理制度并监督实施。会同有关部门监督管理饮用水水源地生态环境保护工作，组织指导城乡生态环境综合整治工作，监督指导农业面源污染治理工作。</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六）指导协调和监督生态保护修复工作。组织编制生态保护规划，监督对生态环境有影响的自然资源开发利用活动、重要生态环境建设和生态破坏恢复工作。组织制定全县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参与生态保护补偿工作。</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（七）负责核与辐射安全的监督管理。参与核事故应急处理， 负责辐射环境事故应急处理工作，监督管理核设施安全、放射源安全，监督管理核设施、核技术应用、电磁辐射、伴有放射性矿产资源开发利用中的污染防治。</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（八）负责生态环境准入的监督管理。按国家和省、市规定审批或审查重大开发建设区域、规划、项目环境影响评价文件。拟订并组织实施全县生态环境准入清单。</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九）负责生态环境监测工作。监督实施生态环境监测制度、相关标准和规范，组织实施污染源监督性监测、应急监测、执法监测，按要求做好生态环境质量监测相关工作。建立和实行生态环境质量公告制度，统一发布全县生态环境综合性报告和重大生态环境信息。</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（十）负责应对气候变化工作。综合分析气候变化对全县经济社会发展的影响，组织拟订并协调实施全县应对气候变化及温室气体减排规划和政策。</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十一）督促和协调生态环境保护督察整改工作。配合中央、省开展生态环境保护督察工作，监督落实生态环境保护督察问题整改，监督生态环境保护党政同责、“一岗双责”落实情况。承担县生态环境保护督察整改工作领导小组办公室日常工作。</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（十二）统一负责生态环境监督执法。组织开展全县生态环境保护执法检查活动，查处生态环境违法问题。指导全县生态环境保护综合执法队伍建设和业务工作。</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（十三）开展生态环境保护科技工作，组织生态环境科学研究和技术工程示范，推动生态环境技术管理体系建设。开展生态环境合作交流。</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（十四）组织指导和协调生态环境宣传教育工作，拟订并组织实施生态环境保护宣传教育规划，推动社会组织和公众参与生态环境保护。</w:t>
      </w:r>
    </w:p>
    <w:p>
      <w:pPr>
        <w:spacing w:line="360" w:lineRule="auto"/>
        <w:ind w:firstLine="640" w:firstLineChars="200"/>
        <w:rPr>
          <w:rFonts w:hint="eastAsia" w:ascii="楷体" w:hAnsi="楷体" w:eastAsia="楷体" w:cs="楷体"/>
          <w:color w:val="333333"/>
          <w:sz w:val="32"/>
          <w:szCs w:val="32"/>
        </w:rPr>
      </w:pPr>
      <w:r>
        <w:rPr>
          <w:rFonts w:hint="eastAsia" w:ascii="楷体" w:hAnsi="楷体" w:eastAsia="楷体" w:cs="楷体"/>
          <w:color w:val="333333"/>
          <w:sz w:val="32"/>
          <w:szCs w:val="32"/>
        </w:rPr>
        <w:t>（十五）完成市生态环境局和派驻地党委、政府交办的其他任务。</w:t>
      </w:r>
    </w:p>
    <w:p>
      <w:pPr>
        <w:spacing w:line="360" w:lineRule="auto"/>
        <w:ind w:firstLine="644" w:firstLineChars="200"/>
        <w:rPr>
          <w:rFonts w:hint="eastAsia" w:ascii="楷体" w:hAnsi="楷体" w:eastAsia="楷体" w:cs="楷体"/>
          <w:spacing w:val="1"/>
          <w:sz w:val="32"/>
          <w:szCs w:val="32"/>
        </w:rPr>
      </w:pPr>
      <w:r>
        <w:rPr>
          <w:rFonts w:hint="eastAsia" w:ascii="楷体" w:hAnsi="楷体" w:eastAsia="楷体" w:cs="楷体"/>
          <w:spacing w:val="1"/>
          <w:sz w:val="32"/>
          <w:szCs w:val="32"/>
        </w:rPr>
        <w:t>二、机构设置及人员情况</w:t>
      </w:r>
    </w:p>
    <w:p>
      <w:pPr>
        <w:spacing w:line="360" w:lineRule="auto"/>
        <w:ind w:firstLine="640" w:firstLineChars="200"/>
        <w:rPr>
          <w:rFonts w:hint="eastAsia" w:ascii="楷体" w:hAnsi="楷体" w:eastAsia="楷体" w:cs="楷体"/>
          <w:color w:val="333333"/>
          <w:sz w:val="32"/>
          <w:szCs w:val="32"/>
          <w:lang w:eastAsia="zh-CN"/>
        </w:rPr>
      </w:pPr>
      <w:r>
        <w:rPr>
          <w:rFonts w:hint="eastAsia" w:ascii="楷体" w:hAnsi="楷体" w:eastAsia="楷体" w:cs="楷体"/>
          <w:color w:val="333333"/>
          <w:sz w:val="32"/>
          <w:szCs w:val="32"/>
        </w:rPr>
        <w:t>浮梁生态环境局内设6个股室：办公室[对口市局办公室、人事科、机关党总支、法规与财务科（机关财务）等职责]、综合协调股（督察）[对口市局综合协调科（督察）]、法规与财务科（机关财务以外工作）等职责]、自然生态与环评股[对口市局自然生态与监测科（监测工作的监测站与检测股合署办公对接）、环境影响与排放管理科（辐射安全管理）等职责]、水生态环境股、大气环境股、土壤生态环境股，监测股（对口市局监测科监测工作），下设3个事业单位：生态环境保护综合执法大队、环境监测站（与监测股合暑办公对口市局监测科监测工作及市监测站工作）、主要污染物总量控制中心。浮梁环境保护局总编制49名，其中局机关行政编制6名，工勤编制1名，设局长1名、副局长2名；下属事业单位编制42名，全部为公益一类事业编制，具体为：生态环境保护综合执法大队副科级编制数27名、设大队长1名副队长</w:t>
      </w:r>
      <w:r>
        <w:rPr>
          <w:rFonts w:hint="eastAsia" w:ascii="楷体" w:hAnsi="楷体" w:eastAsia="楷体" w:cs="楷体"/>
          <w:color w:val="333333"/>
          <w:sz w:val="32"/>
          <w:szCs w:val="32"/>
          <w:lang w:val="en-US" w:eastAsia="zh-CN"/>
        </w:rPr>
        <w:t>4</w:t>
      </w:r>
      <w:r>
        <w:rPr>
          <w:rFonts w:hint="eastAsia" w:ascii="楷体" w:hAnsi="楷体" w:eastAsia="楷体" w:cs="楷体"/>
          <w:color w:val="333333"/>
          <w:sz w:val="32"/>
          <w:szCs w:val="32"/>
        </w:rPr>
        <w:t>名，环境监测站股级编制数6名、设站长1名副站长2名，主要污染物控制中心股级编制数9名。目前，全局人员共计</w:t>
      </w:r>
      <w:r>
        <w:rPr>
          <w:rFonts w:hint="eastAsia" w:ascii="楷体" w:hAnsi="楷体" w:eastAsia="楷体" w:cs="楷体"/>
          <w:color w:val="333333"/>
          <w:sz w:val="32"/>
          <w:szCs w:val="32"/>
          <w:lang w:val="en-US" w:eastAsia="zh-CN"/>
        </w:rPr>
        <w:t>65</w:t>
      </w:r>
      <w:r>
        <w:rPr>
          <w:rFonts w:hint="eastAsia" w:ascii="楷体" w:hAnsi="楷体" w:eastAsia="楷体" w:cs="楷体"/>
          <w:color w:val="333333"/>
          <w:sz w:val="32"/>
          <w:szCs w:val="32"/>
        </w:rPr>
        <w:t>名，其中在编在岗 30 名，非编人员2</w:t>
      </w:r>
      <w:r>
        <w:rPr>
          <w:rFonts w:hint="eastAsia" w:ascii="楷体" w:hAnsi="楷体" w:eastAsia="楷体" w:cs="楷体"/>
          <w:color w:val="333333"/>
          <w:sz w:val="32"/>
          <w:szCs w:val="32"/>
          <w:lang w:val="en-US" w:eastAsia="zh-CN"/>
        </w:rPr>
        <w:t>0</w:t>
      </w:r>
      <w:r>
        <w:rPr>
          <w:rFonts w:hint="eastAsia" w:ascii="楷体" w:hAnsi="楷体" w:eastAsia="楷体" w:cs="楷体"/>
          <w:color w:val="333333"/>
          <w:sz w:val="32"/>
          <w:szCs w:val="32"/>
        </w:rPr>
        <w:t>人，离退休人员</w:t>
      </w:r>
      <w:r>
        <w:rPr>
          <w:rFonts w:hint="eastAsia" w:ascii="楷体" w:hAnsi="楷体" w:eastAsia="楷体" w:cs="楷体"/>
          <w:color w:val="333333"/>
          <w:sz w:val="32"/>
          <w:szCs w:val="32"/>
          <w:lang w:val="en-US" w:eastAsia="zh-CN"/>
        </w:rPr>
        <w:t>10</w:t>
      </w:r>
      <w:r>
        <w:rPr>
          <w:rFonts w:hint="eastAsia" w:ascii="楷体" w:hAnsi="楷体" w:eastAsia="楷体" w:cs="楷体"/>
          <w:color w:val="333333"/>
          <w:sz w:val="32"/>
          <w:szCs w:val="32"/>
        </w:rPr>
        <w:t>名</w:t>
      </w:r>
      <w:r>
        <w:rPr>
          <w:rFonts w:hint="eastAsia" w:ascii="楷体" w:hAnsi="楷体" w:eastAsia="楷体" w:cs="楷体"/>
          <w:color w:val="333333"/>
          <w:sz w:val="32"/>
          <w:szCs w:val="32"/>
          <w:lang w:eastAsia="zh-CN"/>
        </w:rPr>
        <w:t>。</w:t>
      </w:r>
    </w:p>
    <w:p>
      <w:pPr>
        <w:widowControl w:val="0"/>
        <w:numPr>
          <w:ilvl w:val="0"/>
          <w:numId w:val="1"/>
        </w:numPr>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 xml:space="preserve">浮梁生态环境局2022年部门预算表 </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hint="eastAsia" w:ascii="楷体" w:hAnsi="楷体" w:eastAsia="楷体" w:cs="楷体"/>
          <w:b/>
          <w:bCs/>
          <w:spacing w:val="17"/>
          <w:sz w:val="32"/>
          <w:szCs w:val="32"/>
        </w:rPr>
      </w:pPr>
      <w:r>
        <w:rPr>
          <w:rFonts w:hint="eastAsia" w:ascii="楷体" w:hAnsi="楷体" w:eastAsia="楷体" w:cs="楷体"/>
          <w:b/>
          <w:bCs/>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224" w:firstLineChars="200"/>
        <w:textAlignment w:val="baseline"/>
        <w:rPr>
          <w:rFonts w:hint="eastAsia" w:ascii="楷体" w:hAnsi="楷体" w:eastAsia="楷体" w:cs="楷体"/>
          <w:spacing w:val="1"/>
          <w:sz w:val="11"/>
          <w:szCs w:val="11"/>
          <w:lang w:val="en-US" w:eastAsia="zh-CN"/>
        </w:rPr>
      </w:pP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第三部分 浮梁生态环境局2022年部门预算情况说明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7" w:firstLineChars="200"/>
        <w:textAlignment w:val="baseline"/>
        <w:rPr>
          <w:rFonts w:hint="eastAsia" w:ascii="楷体" w:hAnsi="楷体" w:eastAsia="楷体" w:cs="楷体"/>
          <w:b/>
          <w:bCs/>
          <w:spacing w:val="1"/>
          <w:sz w:val="32"/>
          <w:szCs w:val="32"/>
        </w:rPr>
      </w:pPr>
      <w:r>
        <w:rPr>
          <w:rFonts w:hint="eastAsia" w:ascii="楷体" w:hAnsi="楷体" w:eastAsia="楷体" w:cs="楷体"/>
          <w:b/>
          <w:bCs/>
          <w:spacing w:val="1"/>
          <w:sz w:val="32"/>
          <w:szCs w:val="32"/>
        </w:rPr>
        <w:t>一、2022年部门预算收支情况说明</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收入预算情况</w:t>
      </w:r>
    </w:p>
    <w:p>
      <w:pPr>
        <w:spacing w:line="360" w:lineRule="auto"/>
        <w:ind w:firstLine="640" w:firstLineChars="200"/>
        <w:rPr>
          <w:rFonts w:hint="eastAsia" w:ascii="楷体" w:hAnsi="楷体" w:eastAsia="楷体" w:cs="楷体"/>
          <w:color w:val="FF0000"/>
          <w:sz w:val="32"/>
          <w:szCs w:val="32"/>
          <w:u w:val="single"/>
          <w:lang w:val="en-US" w:eastAsia="zh-CN"/>
        </w:rPr>
      </w:pPr>
      <w:r>
        <w:rPr>
          <w:rFonts w:hint="eastAsia" w:ascii="楷体" w:hAnsi="楷体" w:eastAsia="楷体" w:cs="楷体"/>
          <w:sz w:val="32"/>
          <w:szCs w:val="32"/>
        </w:rPr>
        <w:t>202</w:t>
      </w:r>
      <w:r>
        <w:rPr>
          <w:rFonts w:hint="eastAsia" w:ascii="楷体" w:hAnsi="楷体" w:eastAsia="楷体" w:cs="楷体"/>
          <w:sz w:val="32"/>
          <w:szCs w:val="32"/>
          <w:lang w:val="en-US" w:eastAsia="zh-CN"/>
        </w:rPr>
        <w:t>2</w:t>
      </w:r>
      <w:r>
        <w:rPr>
          <w:rFonts w:hint="eastAsia" w:ascii="楷体" w:hAnsi="楷体" w:eastAsia="楷体" w:cs="楷体"/>
          <w:sz w:val="32"/>
          <w:szCs w:val="32"/>
        </w:rPr>
        <w:t>年收入预算总额</w:t>
      </w:r>
      <w:r>
        <w:rPr>
          <w:rFonts w:hint="eastAsia" w:ascii="楷体" w:hAnsi="楷体" w:eastAsia="楷体" w:cs="楷体"/>
          <w:color w:val="FF0000"/>
          <w:sz w:val="32"/>
          <w:szCs w:val="32"/>
          <w:u w:val="single"/>
          <w:lang w:val="en-US" w:eastAsia="zh-CN"/>
        </w:rPr>
        <w:t>477.24</w:t>
      </w:r>
      <w:r>
        <w:rPr>
          <w:rFonts w:hint="eastAsia" w:ascii="楷体" w:hAnsi="楷体" w:eastAsia="楷体" w:cs="楷体"/>
          <w:color w:val="auto"/>
          <w:sz w:val="32"/>
          <w:szCs w:val="32"/>
          <w:u w:val="none"/>
          <w:lang w:val="en-US" w:eastAsia="zh-CN"/>
        </w:rPr>
        <w:t>万元</w:t>
      </w:r>
      <w:r>
        <w:rPr>
          <w:rFonts w:hint="eastAsia" w:ascii="楷体" w:hAnsi="楷体" w:eastAsia="楷体" w:cs="楷体"/>
          <w:sz w:val="32"/>
          <w:szCs w:val="32"/>
        </w:rPr>
        <w:t>，其中公共财政拨款收入</w:t>
      </w:r>
      <w:r>
        <w:rPr>
          <w:rFonts w:hint="eastAsia" w:ascii="楷体" w:hAnsi="楷体" w:eastAsia="楷体" w:cs="楷体"/>
          <w:color w:val="FF0000"/>
          <w:sz w:val="32"/>
          <w:szCs w:val="32"/>
          <w:u w:val="single"/>
          <w:lang w:val="en-US" w:eastAsia="zh-CN"/>
        </w:rPr>
        <w:t>477.24</w:t>
      </w:r>
      <w:r>
        <w:rPr>
          <w:rFonts w:hint="eastAsia" w:ascii="楷体" w:hAnsi="楷体" w:eastAsia="楷体" w:cs="楷体"/>
          <w:sz w:val="32"/>
          <w:szCs w:val="32"/>
        </w:rPr>
        <w:t>万元，财政拨款结转</w:t>
      </w:r>
      <w:r>
        <w:rPr>
          <w:rFonts w:hint="eastAsia" w:ascii="楷体" w:hAnsi="楷体" w:eastAsia="楷体" w:cs="楷体"/>
          <w:color w:val="FF0000"/>
          <w:sz w:val="32"/>
          <w:szCs w:val="32"/>
          <w:u w:val="single"/>
          <w:lang w:val="en-US" w:eastAsia="zh-CN"/>
        </w:rPr>
        <w:t>0</w:t>
      </w:r>
      <w:r>
        <w:rPr>
          <w:rFonts w:hint="eastAsia" w:ascii="楷体" w:hAnsi="楷体" w:eastAsia="楷体" w:cs="楷体"/>
          <w:sz w:val="32"/>
          <w:szCs w:val="32"/>
        </w:rPr>
        <w:t>万元。预算总额比去年</w:t>
      </w:r>
      <w:r>
        <w:rPr>
          <w:rFonts w:hint="eastAsia" w:ascii="楷体" w:hAnsi="楷体" w:eastAsia="楷体" w:cs="楷体"/>
          <w:color w:val="auto"/>
          <w:sz w:val="32"/>
          <w:szCs w:val="32"/>
          <w:u w:val="none"/>
          <w:lang w:val="en-US" w:eastAsia="zh-CN"/>
        </w:rPr>
        <w:t>减少</w:t>
      </w:r>
      <w:r>
        <w:rPr>
          <w:rFonts w:hint="eastAsia" w:ascii="楷体" w:hAnsi="楷体" w:eastAsia="楷体" w:cs="楷体"/>
          <w:color w:val="FF0000"/>
          <w:sz w:val="32"/>
          <w:szCs w:val="32"/>
          <w:u w:val="single"/>
          <w:lang w:val="en-US" w:eastAsia="zh-CN"/>
        </w:rPr>
        <w:t>45.8</w:t>
      </w:r>
      <w:r>
        <w:rPr>
          <w:rFonts w:hint="eastAsia" w:ascii="楷体" w:hAnsi="楷体" w:eastAsia="楷体" w:cs="楷体"/>
          <w:sz w:val="32"/>
          <w:szCs w:val="32"/>
        </w:rPr>
        <w:t>万元，</w:t>
      </w:r>
      <w:r>
        <w:rPr>
          <w:rFonts w:hint="eastAsia" w:ascii="楷体" w:hAnsi="楷体" w:eastAsia="楷体" w:cs="楷体"/>
          <w:sz w:val="32"/>
          <w:szCs w:val="32"/>
          <w:lang w:val="en-US" w:eastAsia="zh-CN"/>
        </w:rPr>
        <w:t>减幅</w:t>
      </w:r>
      <w:r>
        <w:rPr>
          <w:rFonts w:hint="eastAsia" w:ascii="楷体" w:hAnsi="楷体" w:eastAsia="楷体" w:cs="楷体"/>
          <w:color w:val="FF0000"/>
          <w:sz w:val="32"/>
          <w:szCs w:val="32"/>
          <w:u w:val="single"/>
          <w:lang w:val="en-US" w:eastAsia="zh-CN"/>
        </w:rPr>
        <w:t>8.76</w:t>
      </w:r>
      <w:r>
        <w:rPr>
          <w:rFonts w:hint="eastAsia" w:ascii="楷体" w:hAnsi="楷体" w:eastAsia="楷体" w:cs="楷体"/>
          <w:color w:val="auto"/>
          <w:sz w:val="32"/>
          <w:szCs w:val="32"/>
          <w:u w:val="none"/>
          <w:lang w:val="en-US" w:eastAsia="zh-CN"/>
        </w:rPr>
        <w:t>%。</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支出预算情况</w:t>
      </w:r>
    </w:p>
    <w:p>
      <w:pPr>
        <w:spacing w:line="360" w:lineRule="auto"/>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202</w:t>
      </w:r>
      <w:r>
        <w:rPr>
          <w:rFonts w:hint="eastAsia" w:ascii="楷体" w:hAnsi="楷体" w:eastAsia="楷体" w:cs="楷体"/>
          <w:sz w:val="32"/>
          <w:szCs w:val="32"/>
          <w:lang w:val="en-US" w:eastAsia="zh-CN"/>
        </w:rPr>
        <w:t>2</w:t>
      </w:r>
      <w:r>
        <w:rPr>
          <w:rFonts w:hint="eastAsia" w:ascii="楷体" w:hAnsi="楷体" w:eastAsia="楷体" w:cs="楷体"/>
          <w:sz w:val="32"/>
          <w:szCs w:val="32"/>
        </w:rPr>
        <w:t>年支出预算总额为</w:t>
      </w:r>
      <w:r>
        <w:rPr>
          <w:rFonts w:hint="eastAsia" w:ascii="楷体" w:hAnsi="楷体" w:eastAsia="楷体" w:cs="楷体"/>
          <w:color w:val="FF0000"/>
          <w:sz w:val="32"/>
          <w:szCs w:val="32"/>
          <w:u w:val="single"/>
          <w:lang w:val="en-US" w:eastAsia="zh-CN"/>
        </w:rPr>
        <w:t>477.24</w:t>
      </w:r>
      <w:r>
        <w:rPr>
          <w:rFonts w:hint="eastAsia" w:ascii="楷体" w:hAnsi="楷体" w:eastAsia="楷体" w:cs="楷体"/>
          <w:sz w:val="32"/>
          <w:szCs w:val="32"/>
        </w:rPr>
        <w:t>万元，比</w:t>
      </w:r>
      <w:r>
        <w:rPr>
          <w:rFonts w:hint="eastAsia" w:ascii="楷体" w:hAnsi="楷体" w:eastAsia="楷体" w:cs="楷体"/>
          <w:sz w:val="32"/>
          <w:szCs w:val="32"/>
          <w:lang w:eastAsia="zh-CN"/>
        </w:rPr>
        <w:t>上年预算</w:t>
      </w:r>
      <w:r>
        <w:rPr>
          <w:rFonts w:hint="eastAsia" w:ascii="楷体" w:hAnsi="楷体" w:eastAsia="楷体" w:cs="楷体"/>
          <w:sz w:val="32"/>
          <w:szCs w:val="32"/>
        </w:rPr>
        <w:t>支出</w:t>
      </w:r>
      <w:r>
        <w:rPr>
          <w:rFonts w:hint="eastAsia" w:ascii="楷体" w:hAnsi="楷体" w:eastAsia="楷体" w:cs="楷体"/>
          <w:sz w:val="32"/>
          <w:szCs w:val="32"/>
          <w:lang w:eastAsia="zh-CN"/>
        </w:rPr>
        <w:t>安排</w:t>
      </w:r>
      <w:r>
        <w:rPr>
          <w:rFonts w:hint="eastAsia" w:ascii="楷体" w:hAnsi="楷体" w:eastAsia="楷体" w:cs="楷体"/>
          <w:sz w:val="32"/>
          <w:szCs w:val="32"/>
          <w:lang w:val="en-US" w:eastAsia="zh-CN"/>
        </w:rPr>
        <w:t>523.04万元，</w:t>
      </w:r>
      <w:r>
        <w:rPr>
          <w:rFonts w:hint="eastAsia" w:ascii="楷体" w:hAnsi="楷体" w:eastAsia="楷体" w:cs="楷体"/>
          <w:color w:val="auto"/>
          <w:sz w:val="32"/>
          <w:szCs w:val="32"/>
          <w:u w:val="none"/>
          <w:lang w:val="en-US" w:eastAsia="zh-CN"/>
        </w:rPr>
        <w:t>减少</w:t>
      </w:r>
      <w:r>
        <w:rPr>
          <w:rFonts w:hint="eastAsia" w:ascii="楷体" w:hAnsi="楷体" w:eastAsia="楷体" w:cs="楷体"/>
          <w:color w:val="FF0000"/>
          <w:sz w:val="32"/>
          <w:szCs w:val="32"/>
          <w:u w:val="single"/>
          <w:lang w:val="en-US" w:eastAsia="zh-CN"/>
        </w:rPr>
        <w:t>45.8</w:t>
      </w:r>
      <w:r>
        <w:rPr>
          <w:rFonts w:hint="eastAsia" w:ascii="楷体" w:hAnsi="楷体" w:eastAsia="楷体" w:cs="楷体"/>
          <w:sz w:val="32"/>
          <w:szCs w:val="32"/>
        </w:rPr>
        <w:t>万元</w:t>
      </w:r>
      <w:r>
        <w:rPr>
          <w:rFonts w:hint="eastAsia" w:ascii="楷体" w:hAnsi="楷体" w:eastAsia="楷体" w:cs="楷体"/>
          <w:color w:val="FF0000"/>
          <w:sz w:val="32"/>
          <w:szCs w:val="32"/>
          <w:u w:val="none"/>
          <w:lang w:val="en-US" w:eastAsia="zh-CN"/>
        </w:rPr>
        <w:t>。</w:t>
      </w:r>
    </w:p>
    <w:p>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按支出项目类别划分：基本支出</w:t>
      </w:r>
      <w:r>
        <w:rPr>
          <w:rFonts w:hint="eastAsia" w:ascii="楷体" w:hAnsi="楷体" w:eastAsia="楷体" w:cs="楷体"/>
          <w:color w:val="FF0000"/>
          <w:sz w:val="32"/>
          <w:szCs w:val="32"/>
          <w:u w:val="single"/>
          <w:lang w:val="en-US" w:eastAsia="zh-CN"/>
        </w:rPr>
        <w:t>311.74</w:t>
      </w:r>
      <w:r>
        <w:rPr>
          <w:rFonts w:hint="eastAsia" w:ascii="楷体" w:hAnsi="楷体" w:eastAsia="楷体" w:cs="楷体"/>
          <w:sz w:val="32"/>
          <w:szCs w:val="32"/>
        </w:rPr>
        <w:t>万元，项目支出</w:t>
      </w:r>
      <w:r>
        <w:rPr>
          <w:rFonts w:hint="eastAsia" w:ascii="楷体" w:hAnsi="楷体" w:eastAsia="楷体" w:cs="楷体"/>
          <w:color w:val="FF0000"/>
          <w:sz w:val="32"/>
          <w:szCs w:val="32"/>
          <w:u w:val="single"/>
          <w:lang w:val="en-US" w:eastAsia="zh-CN"/>
        </w:rPr>
        <w:t>165.5</w:t>
      </w:r>
      <w:r>
        <w:rPr>
          <w:rFonts w:hint="eastAsia" w:ascii="楷体" w:hAnsi="楷体" w:eastAsia="楷体" w:cs="楷体"/>
          <w:sz w:val="32"/>
          <w:szCs w:val="32"/>
        </w:rPr>
        <w:t>万元。</w:t>
      </w:r>
    </w:p>
    <w:p>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按支出功能科目分类：</w:t>
      </w:r>
      <w:r>
        <w:rPr>
          <w:rFonts w:hint="eastAsia" w:ascii="楷体" w:hAnsi="楷体" w:eastAsia="楷体" w:cs="楷体"/>
          <w:sz w:val="32"/>
          <w:szCs w:val="32"/>
          <w:lang w:val="en-US" w:eastAsia="zh-CN"/>
        </w:rPr>
        <w:t>2080505</w:t>
      </w:r>
      <w:r>
        <w:rPr>
          <w:rFonts w:hint="eastAsia" w:ascii="楷体" w:hAnsi="楷体" w:eastAsia="楷体" w:cs="楷体"/>
          <w:snapToGrid/>
          <w:kern w:val="2"/>
          <w:sz w:val="32"/>
          <w:szCs w:val="32"/>
          <w:lang w:val="en-US" w:eastAsia="zh-CN" w:bidi="ar-SA"/>
        </w:rPr>
        <w:t>机关事业单位基本养老保险缴费支出</w:t>
      </w:r>
      <w:r>
        <w:rPr>
          <w:rFonts w:hint="eastAsia" w:ascii="楷体" w:hAnsi="楷体" w:eastAsia="楷体" w:cs="楷体"/>
          <w:snapToGrid/>
          <w:color w:val="FF0000"/>
          <w:kern w:val="2"/>
          <w:sz w:val="32"/>
          <w:szCs w:val="32"/>
          <w:u w:val="single"/>
          <w:lang w:val="en-US" w:eastAsia="zh-CN" w:bidi="ar-SA"/>
        </w:rPr>
        <w:t>27.46</w:t>
      </w:r>
      <w:r>
        <w:rPr>
          <w:rFonts w:hint="eastAsia" w:ascii="楷体" w:hAnsi="楷体" w:eastAsia="楷体" w:cs="楷体"/>
          <w:snapToGrid/>
          <w:kern w:val="2"/>
          <w:sz w:val="32"/>
          <w:szCs w:val="32"/>
          <w:lang w:val="en-US" w:eastAsia="zh-CN" w:bidi="ar-SA"/>
        </w:rPr>
        <w:t>万元；2110101行政运行</w:t>
      </w:r>
      <w:r>
        <w:rPr>
          <w:rFonts w:hint="eastAsia" w:ascii="楷体" w:hAnsi="楷体" w:eastAsia="楷体" w:cs="楷体"/>
          <w:snapToGrid/>
          <w:color w:val="FF0000"/>
          <w:kern w:val="2"/>
          <w:sz w:val="32"/>
          <w:szCs w:val="32"/>
          <w:u w:val="single"/>
          <w:lang w:val="en-US" w:eastAsia="zh-CN" w:bidi="ar-SA"/>
        </w:rPr>
        <w:t>284.28</w:t>
      </w:r>
      <w:r>
        <w:rPr>
          <w:rFonts w:hint="eastAsia" w:ascii="楷体" w:hAnsi="楷体" w:eastAsia="楷体" w:cs="楷体"/>
          <w:snapToGrid/>
          <w:kern w:val="2"/>
          <w:sz w:val="32"/>
          <w:szCs w:val="32"/>
          <w:lang w:val="en-US" w:eastAsia="zh-CN" w:bidi="ar-SA"/>
        </w:rPr>
        <w:t>万元；2110102一般行政管理事务</w:t>
      </w:r>
      <w:r>
        <w:rPr>
          <w:rFonts w:hint="eastAsia" w:ascii="楷体" w:hAnsi="楷体" w:eastAsia="楷体" w:cs="楷体"/>
          <w:snapToGrid/>
          <w:color w:val="FF0000"/>
          <w:kern w:val="2"/>
          <w:sz w:val="32"/>
          <w:szCs w:val="32"/>
          <w:u w:val="single"/>
          <w:lang w:val="en-US" w:eastAsia="zh-CN" w:bidi="ar-SA"/>
        </w:rPr>
        <w:t>165.5</w:t>
      </w:r>
      <w:r>
        <w:rPr>
          <w:rFonts w:hint="eastAsia" w:ascii="楷体" w:hAnsi="楷体" w:eastAsia="楷体" w:cs="楷体"/>
          <w:snapToGrid/>
          <w:kern w:val="2"/>
          <w:sz w:val="32"/>
          <w:szCs w:val="32"/>
          <w:lang w:val="en-US" w:eastAsia="zh-CN" w:bidi="ar-SA"/>
        </w:rPr>
        <w:t>万元。</w:t>
      </w:r>
    </w:p>
    <w:p>
      <w:pPr>
        <w:spacing w:line="360" w:lineRule="auto"/>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sz w:val="32"/>
          <w:szCs w:val="32"/>
        </w:rPr>
        <w:t>按经济功能科目分类：</w:t>
      </w:r>
      <w:r>
        <w:rPr>
          <w:rFonts w:hint="eastAsia" w:ascii="楷体" w:hAnsi="楷体" w:eastAsia="楷体" w:cs="楷体"/>
          <w:color w:val="000000" w:themeColor="text1"/>
          <w:sz w:val="32"/>
          <w:szCs w:val="32"/>
          <w14:textFill>
            <w14:solidFill>
              <w14:schemeClr w14:val="tx1"/>
            </w14:solidFill>
          </w14:textFill>
        </w:rPr>
        <w:t>工资福利支出</w:t>
      </w:r>
      <w:r>
        <w:rPr>
          <w:rFonts w:hint="eastAsia" w:ascii="楷体" w:hAnsi="楷体" w:eastAsia="楷体" w:cs="楷体"/>
          <w:color w:val="FF0000"/>
          <w:sz w:val="32"/>
          <w:szCs w:val="32"/>
          <w:u w:val="single"/>
          <w:lang w:val="en-US" w:eastAsia="zh-CN"/>
        </w:rPr>
        <w:t>249.7</w:t>
      </w:r>
      <w:r>
        <w:rPr>
          <w:rFonts w:hint="eastAsia" w:ascii="楷体" w:hAnsi="楷体" w:eastAsia="楷体" w:cs="楷体"/>
          <w:color w:val="000000" w:themeColor="text1"/>
          <w:sz w:val="32"/>
          <w:szCs w:val="32"/>
          <w14:textFill>
            <w14:solidFill>
              <w14:schemeClr w14:val="tx1"/>
            </w14:solidFill>
          </w14:textFill>
        </w:rPr>
        <w:t>万元，商品服务支出</w:t>
      </w:r>
      <w:r>
        <w:rPr>
          <w:rFonts w:hint="eastAsia" w:ascii="楷体" w:hAnsi="楷体" w:eastAsia="楷体" w:cs="楷体"/>
          <w:color w:val="FF0000"/>
          <w:sz w:val="32"/>
          <w:szCs w:val="32"/>
          <w:u w:val="single"/>
          <w:lang w:val="en-US" w:eastAsia="zh-CN"/>
        </w:rPr>
        <w:t>43.68</w:t>
      </w:r>
      <w:r>
        <w:rPr>
          <w:rFonts w:hint="eastAsia" w:ascii="楷体" w:hAnsi="楷体" w:eastAsia="楷体" w:cs="楷体"/>
          <w:color w:val="000000" w:themeColor="text1"/>
          <w:sz w:val="32"/>
          <w:szCs w:val="32"/>
          <w14:textFill>
            <w14:solidFill>
              <w14:schemeClr w14:val="tx1"/>
            </w14:solidFill>
          </w14:textFill>
        </w:rPr>
        <w:t>万元，</w:t>
      </w:r>
      <w:r>
        <w:rPr>
          <w:rFonts w:hint="eastAsia" w:ascii="楷体" w:hAnsi="楷体" w:eastAsia="楷体" w:cs="楷体"/>
          <w:color w:val="000000" w:themeColor="text1"/>
          <w:sz w:val="32"/>
          <w:szCs w:val="32"/>
          <w:lang w:val="en-US" w:eastAsia="zh-CN"/>
          <w14:textFill>
            <w14:solidFill>
              <w14:schemeClr w14:val="tx1"/>
            </w14:solidFill>
          </w14:textFill>
        </w:rPr>
        <w:t>资本性</w:t>
      </w:r>
      <w:r>
        <w:rPr>
          <w:rFonts w:hint="eastAsia" w:ascii="楷体" w:hAnsi="楷体" w:eastAsia="楷体" w:cs="楷体"/>
          <w:color w:val="000000" w:themeColor="text1"/>
          <w:sz w:val="32"/>
          <w:szCs w:val="32"/>
          <w14:textFill>
            <w14:solidFill>
              <w14:schemeClr w14:val="tx1"/>
            </w14:solidFill>
          </w14:textFill>
        </w:rPr>
        <w:t>支出</w:t>
      </w:r>
      <w:r>
        <w:rPr>
          <w:rFonts w:hint="eastAsia" w:ascii="楷体" w:hAnsi="楷体" w:eastAsia="楷体" w:cs="楷体"/>
          <w:color w:val="FF0000"/>
          <w:sz w:val="32"/>
          <w:szCs w:val="32"/>
          <w:u w:val="single"/>
          <w:lang w:val="en-US" w:eastAsia="zh-CN"/>
        </w:rPr>
        <w:t>18.36</w:t>
      </w:r>
      <w:r>
        <w:rPr>
          <w:rFonts w:hint="eastAsia" w:ascii="楷体" w:hAnsi="楷体" w:eastAsia="楷体" w:cs="楷体"/>
          <w:color w:val="000000" w:themeColor="text1"/>
          <w:sz w:val="32"/>
          <w:szCs w:val="32"/>
          <w14:textFill>
            <w14:solidFill>
              <w14:schemeClr w14:val="tx1"/>
            </w14:solidFill>
          </w14:textFill>
        </w:rPr>
        <w:t>万元。项目支出</w:t>
      </w:r>
      <w:r>
        <w:rPr>
          <w:rFonts w:hint="eastAsia" w:ascii="楷体" w:hAnsi="楷体" w:eastAsia="楷体" w:cs="楷体"/>
          <w:color w:val="FF0000"/>
          <w:sz w:val="32"/>
          <w:szCs w:val="32"/>
          <w:u w:val="single"/>
          <w:lang w:val="en-US" w:eastAsia="zh-CN"/>
        </w:rPr>
        <w:t>165.5</w:t>
      </w:r>
      <w:r>
        <w:rPr>
          <w:rFonts w:hint="eastAsia" w:ascii="楷体" w:hAnsi="楷体" w:eastAsia="楷体" w:cs="楷体"/>
          <w:color w:val="000000" w:themeColor="text1"/>
          <w:sz w:val="32"/>
          <w:szCs w:val="32"/>
          <w14:textFill>
            <w14:solidFill>
              <w14:schemeClr w14:val="tx1"/>
            </w14:solidFill>
          </w14:textFill>
        </w:rPr>
        <w:t>万元。</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napToGrid/>
          <w:kern w:val="2"/>
          <w:sz w:val="32"/>
          <w:szCs w:val="32"/>
          <w:lang w:val="en-US" w:eastAsia="zh-CN" w:bidi="ar-SA"/>
        </w:rPr>
        <w:t>财政拨款支出情况</w:t>
      </w:r>
    </w:p>
    <w:p>
      <w:pPr>
        <w:widowControl/>
        <w:spacing w:line="360" w:lineRule="auto"/>
        <w:ind w:firstLine="640" w:firstLineChars="200"/>
        <w:jc w:val="left"/>
        <w:rPr>
          <w:rFonts w:hint="eastAsia" w:ascii="楷体" w:hAnsi="楷体" w:eastAsia="楷体" w:cs="楷体"/>
          <w:sz w:val="32"/>
          <w:szCs w:val="32"/>
          <w:lang w:eastAsia="zh-CN"/>
        </w:rPr>
      </w:pPr>
      <w:r>
        <w:rPr>
          <w:rFonts w:hint="eastAsia" w:ascii="楷体" w:hAnsi="楷体" w:eastAsia="楷体" w:cs="楷体"/>
          <w:sz w:val="32"/>
          <w:szCs w:val="32"/>
        </w:rPr>
        <w:t>202</w:t>
      </w:r>
      <w:r>
        <w:rPr>
          <w:rFonts w:hint="eastAsia" w:ascii="楷体" w:hAnsi="楷体" w:eastAsia="楷体" w:cs="楷体"/>
          <w:sz w:val="32"/>
          <w:szCs w:val="32"/>
          <w:lang w:val="en-US" w:eastAsia="zh-CN"/>
        </w:rPr>
        <w:t>2</w:t>
      </w:r>
      <w:r>
        <w:rPr>
          <w:rFonts w:hint="eastAsia" w:ascii="楷体" w:hAnsi="楷体" w:eastAsia="楷体" w:cs="楷体"/>
          <w:sz w:val="32"/>
          <w:szCs w:val="32"/>
        </w:rPr>
        <w:t>年公共财政拨款支出预算为</w:t>
      </w:r>
      <w:r>
        <w:rPr>
          <w:rFonts w:hint="eastAsia" w:ascii="楷体" w:hAnsi="楷体" w:eastAsia="楷体" w:cs="楷体"/>
          <w:color w:val="FF0000"/>
          <w:sz w:val="32"/>
          <w:szCs w:val="32"/>
          <w:u w:val="single"/>
          <w:lang w:val="en-US" w:eastAsia="zh-CN"/>
        </w:rPr>
        <w:t>477.24</w:t>
      </w:r>
      <w:r>
        <w:rPr>
          <w:rFonts w:hint="eastAsia" w:ascii="楷体" w:hAnsi="楷体" w:eastAsia="楷体" w:cs="楷体"/>
          <w:sz w:val="32"/>
          <w:szCs w:val="32"/>
        </w:rPr>
        <w:t>万元，较上年</w:t>
      </w:r>
      <w:r>
        <w:rPr>
          <w:rFonts w:hint="eastAsia" w:ascii="楷体" w:hAnsi="楷体" w:eastAsia="楷体" w:cs="楷体"/>
          <w:sz w:val="32"/>
          <w:szCs w:val="32"/>
          <w:lang w:eastAsia="zh-CN"/>
        </w:rPr>
        <w:t>预算</w:t>
      </w:r>
      <w:r>
        <w:rPr>
          <w:rFonts w:hint="eastAsia" w:ascii="楷体" w:hAnsi="楷体" w:eastAsia="楷体" w:cs="楷体"/>
          <w:color w:val="FF0000"/>
          <w:sz w:val="32"/>
          <w:szCs w:val="32"/>
          <w:u w:val="single"/>
          <w:lang w:val="en-US" w:eastAsia="zh-CN"/>
        </w:rPr>
        <w:t>减少45.8</w:t>
      </w:r>
      <w:r>
        <w:rPr>
          <w:rFonts w:hint="eastAsia" w:ascii="楷体" w:hAnsi="楷体" w:eastAsia="楷体" w:cs="楷体"/>
          <w:sz w:val="32"/>
          <w:szCs w:val="32"/>
        </w:rPr>
        <w:t>万元。按支出项目类别划分：基本支出</w:t>
      </w:r>
      <w:r>
        <w:rPr>
          <w:rFonts w:hint="eastAsia" w:ascii="楷体" w:hAnsi="楷体" w:eastAsia="楷体" w:cs="楷体"/>
          <w:color w:val="FF0000"/>
          <w:sz w:val="32"/>
          <w:szCs w:val="32"/>
          <w:u w:val="single"/>
          <w:lang w:val="en-US" w:eastAsia="zh-CN"/>
        </w:rPr>
        <w:t>311.74</w:t>
      </w:r>
      <w:r>
        <w:rPr>
          <w:rFonts w:hint="eastAsia" w:ascii="楷体" w:hAnsi="楷体" w:eastAsia="楷体" w:cs="楷体"/>
          <w:sz w:val="32"/>
          <w:szCs w:val="32"/>
        </w:rPr>
        <w:t>万元，较上年</w:t>
      </w:r>
      <w:r>
        <w:rPr>
          <w:rFonts w:hint="eastAsia" w:ascii="楷体" w:hAnsi="楷体" w:eastAsia="楷体" w:cs="楷体"/>
          <w:color w:val="FF0000"/>
          <w:sz w:val="32"/>
          <w:szCs w:val="32"/>
          <w:u w:val="single"/>
          <w:lang w:val="en-US" w:eastAsia="zh-CN"/>
        </w:rPr>
        <w:t>减少181.3</w:t>
      </w:r>
      <w:r>
        <w:rPr>
          <w:rFonts w:hint="eastAsia" w:ascii="楷体" w:hAnsi="楷体" w:eastAsia="楷体" w:cs="楷体"/>
          <w:sz w:val="32"/>
          <w:szCs w:val="32"/>
        </w:rPr>
        <w:t>万元。其中：工资福利支出</w:t>
      </w:r>
      <w:r>
        <w:rPr>
          <w:rFonts w:hint="eastAsia" w:ascii="楷体" w:hAnsi="楷体" w:eastAsia="楷体" w:cs="楷体"/>
          <w:color w:val="FF0000"/>
          <w:sz w:val="32"/>
          <w:szCs w:val="32"/>
          <w:u w:val="single"/>
          <w:lang w:val="en-US" w:eastAsia="zh-CN"/>
        </w:rPr>
        <w:t>249.7</w:t>
      </w:r>
      <w:r>
        <w:rPr>
          <w:rFonts w:hint="eastAsia" w:ascii="楷体" w:hAnsi="楷体" w:eastAsia="楷体" w:cs="楷体"/>
          <w:sz w:val="32"/>
          <w:szCs w:val="32"/>
        </w:rPr>
        <w:t>万元，</w:t>
      </w:r>
      <w:r>
        <w:rPr>
          <w:rFonts w:hint="eastAsia" w:ascii="楷体" w:hAnsi="楷体" w:eastAsia="楷体" w:cs="楷体"/>
          <w:sz w:val="32"/>
          <w:szCs w:val="32"/>
          <w:lang w:eastAsia="zh-CN"/>
        </w:rPr>
        <w:t>比上年预算减少</w:t>
      </w:r>
      <w:r>
        <w:rPr>
          <w:rFonts w:hint="eastAsia" w:ascii="楷体" w:hAnsi="楷体" w:eastAsia="楷体" w:cs="楷体"/>
          <w:color w:val="FF0000"/>
          <w:sz w:val="32"/>
          <w:szCs w:val="32"/>
          <w:u w:val="single"/>
          <w:lang w:val="en-US" w:eastAsia="zh-CN"/>
        </w:rPr>
        <w:t>65.01</w:t>
      </w:r>
      <w:r>
        <w:rPr>
          <w:rFonts w:hint="eastAsia" w:ascii="楷体" w:hAnsi="楷体" w:eastAsia="楷体" w:cs="楷体"/>
          <w:sz w:val="32"/>
          <w:szCs w:val="32"/>
          <w:lang w:val="en-US" w:eastAsia="zh-CN"/>
        </w:rPr>
        <w:t>万元，公用经费</w:t>
      </w:r>
      <w:r>
        <w:rPr>
          <w:rFonts w:hint="eastAsia" w:ascii="楷体" w:hAnsi="楷体" w:eastAsia="楷体" w:cs="楷体"/>
          <w:color w:val="FF0000"/>
          <w:sz w:val="32"/>
          <w:szCs w:val="32"/>
          <w:u w:val="single"/>
          <w:lang w:val="en-US" w:eastAsia="zh-CN"/>
        </w:rPr>
        <w:t>62.04</w:t>
      </w:r>
      <w:r>
        <w:rPr>
          <w:rFonts w:hint="eastAsia" w:ascii="楷体" w:hAnsi="楷体" w:eastAsia="楷体" w:cs="楷体"/>
          <w:sz w:val="32"/>
          <w:szCs w:val="32"/>
          <w:lang w:val="en-US" w:eastAsia="zh-CN"/>
        </w:rPr>
        <w:t>万元，</w:t>
      </w:r>
      <w:r>
        <w:rPr>
          <w:rFonts w:hint="eastAsia" w:ascii="楷体" w:hAnsi="楷体" w:eastAsia="楷体" w:cs="楷体"/>
          <w:sz w:val="32"/>
          <w:szCs w:val="32"/>
          <w:lang w:eastAsia="zh-CN"/>
        </w:rPr>
        <w:t>比上年预算减少</w:t>
      </w:r>
      <w:r>
        <w:rPr>
          <w:rFonts w:hint="eastAsia" w:ascii="楷体" w:hAnsi="楷体" w:eastAsia="楷体" w:cs="楷体"/>
          <w:color w:val="FF0000"/>
          <w:sz w:val="32"/>
          <w:szCs w:val="32"/>
          <w:u w:val="single"/>
          <w:lang w:val="en-US" w:eastAsia="zh-CN"/>
        </w:rPr>
        <w:t>116.29</w:t>
      </w:r>
      <w:r>
        <w:rPr>
          <w:rFonts w:hint="eastAsia" w:ascii="楷体" w:hAnsi="楷体" w:eastAsia="楷体" w:cs="楷体"/>
          <w:sz w:val="32"/>
          <w:szCs w:val="32"/>
          <w:lang w:val="en-US" w:eastAsia="zh-CN"/>
        </w:rPr>
        <w:t>万元，其中</w:t>
      </w:r>
      <w:r>
        <w:rPr>
          <w:rFonts w:hint="eastAsia" w:ascii="楷体" w:hAnsi="楷体" w:eastAsia="楷体" w:cs="楷体"/>
          <w:sz w:val="32"/>
          <w:szCs w:val="32"/>
        </w:rPr>
        <w:t>商品和服务支出</w:t>
      </w:r>
      <w:r>
        <w:rPr>
          <w:rFonts w:hint="eastAsia" w:ascii="楷体" w:hAnsi="楷体" w:eastAsia="楷体" w:cs="楷体"/>
          <w:color w:val="FF0000"/>
          <w:sz w:val="32"/>
          <w:szCs w:val="32"/>
          <w:u w:val="single"/>
          <w:lang w:val="en-US" w:eastAsia="zh-CN"/>
        </w:rPr>
        <w:t>43.68</w:t>
      </w:r>
      <w:r>
        <w:rPr>
          <w:rFonts w:hint="eastAsia" w:ascii="楷体" w:hAnsi="楷体" w:eastAsia="楷体" w:cs="楷体"/>
          <w:sz w:val="32"/>
          <w:szCs w:val="32"/>
        </w:rPr>
        <w:t>万元，</w:t>
      </w:r>
      <w:r>
        <w:rPr>
          <w:rFonts w:hint="eastAsia" w:ascii="楷体" w:hAnsi="楷体" w:eastAsia="楷体" w:cs="楷体"/>
          <w:sz w:val="32"/>
          <w:szCs w:val="32"/>
          <w:lang w:val="en-US" w:eastAsia="zh-CN"/>
        </w:rPr>
        <w:t>资本性支出</w:t>
      </w:r>
      <w:r>
        <w:rPr>
          <w:rFonts w:hint="eastAsia" w:ascii="楷体" w:hAnsi="楷体" w:eastAsia="楷体" w:cs="楷体"/>
          <w:color w:val="FF0000"/>
          <w:sz w:val="32"/>
          <w:szCs w:val="32"/>
          <w:u w:val="single"/>
          <w:lang w:val="en-US" w:eastAsia="zh-CN"/>
        </w:rPr>
        <w:t>18.36</w:t>
      </w:r>
      <w:r>
        <w:rPr>
          <w:rFonts w:hint="eastAsia" w:ascii="楷体" w:hAnsi="楷体" w:eastAsia="楷体" w:cs="楷体"/>
          <w:sz w:val="32"/>
          <w:szCs w:val="32"/>
        </w:rPr>
        <w:t>万元</w:t>
      </w:r>
      <w:r>
        <w:rPr>
          <w:rFonts w:hint="eastAsia" w:ascii="楷体" w:hAnsi="楷体" w:eastAsia="楷体" w:cs="楷体"/>
          <w:sz w:val="32"/>
          <w:szCs w:val="32"/>
          <w:lang w:val="en-US" w:eastAsia="zh-CN"/>
        </w:rPr>
        <w:t>；</w:t>
      </w:r>
      <w:r>
        <w:rPr>
          <w:rFonts w:hint="eastAsia" w:ascii="楷体" w:hAnsi="楷体" w:eastAsia="楷体" w:cs="楷体"/>
          <w:sz w:val="32"/>
          <w:szCs w:val="32"/>
        </w:rPr>
        <w:t>项目支出</w:t>
      </w:r>
      <w:r>
        <w:rPr>
          <w:rFonts w:hint="eastAsia" w:ascii="楷体" w:hAnsi="楷体" w:eastAsia="楷体" w:cs="楷体"/>
          <w:sz w:val="32"/>
          <w:szCs w:val="32"/>
          <w:lang w:val="en-US" w:eastAsia="zh-CN"/>
        </w:rPr>
        <w:t xml:space="preserve"> </w:t>
      </w:r>
      <w:r>
        <w:rPr>
          <w:rFonts w:hint="eastAsia" w:ascii="楷体" w:hAnsi="楷体" w:eastAsia="楷体" w:cs="楷体"/>
          <w:color w:val="FF0000"/>
          <w:sz w:val="32"/>
          <w:szCs w:val="32"/>
          <w:u w:val="single"/>
          <w:lang w:val="en-US" w:eastAsia="zh-CN"/>
        </w:rPr>
        <w:t>165.5</w:t>
      </w:r>
      <w:r>
        <w:rPr>
          <w:rFonts w:hint="eastAsia" w:ascii="楷体" w:hAnsi="楷体" w:eastAsia="楷体" w:cs="楷体"/>
          <w:sz w:val="32"/>
          <w:szCs w:val="32"/>
        </w:rPr>
        <w:t>万元，较上年</w:t>
      </w:r>
      <w:r>
        <w:rPr>
          <w:rFonts w:hint="eastAsia" w:ascii="楷体" w:hAnsi="楷体" w:eastAsia="楷体" w:cs="楷体"/>
          <w:sz w:val="32"/>
          <w:szCs w:val="32"/>
          <w:lang w:eastAsia="zh-CN"/>
        </w:rPr>
        <w:t>预算</w:t>
      </w:r>
      <w:r>
        <w:rPr>
          <w:rFonts w:hint="eastAsia" w:ascii="楷体" w:hAnsi="楷体" w:eastAsia="楷体" w:cs="楷体"/>
          <w:color w:val="000000" w:themeColor="text1"/>
          <w:sz w:val="32"/>
          <w:szCs w:val="32"/>
          <w:u w:val="none"/>
          <w:lang w:val="en-US" w:eastAsia="zh-CN"/>
          <w14:textFill>
            <w14:solidFill>
              <w14:schemeClr w14:val="tx1"/>
            </w14:solidFill>
          </w14:textFill>
        </w:rPr>
        <w:t>增加</w:t>
      </w:r>
      <w:r>
        <w:rPr>
          <w:rFonts w:hint="eastAsia" w:ascii="楷体" w:hAnsi="楷体" w:eastAsia="楷体" w:cs="楷体"/>
          <w:color w:val="FF0000"/>
          <w:sz w:val="32"/>
          <w:szCs w:val="32"/>
          <w:u w:val="single"/>
          <w:lang w:val="en-US" w:eastAsia="zh-CN"/>
        </w:rPr>
        <w:t>135.5</w:t>
      </w:r>
      <w:r>
        <w:rPr>
          <w:rFonts w:hint="eastAsia" w:ascii="楷体" w:hAnsi="楷体" w:eastAsia="楷体" w:cs="楷体"/>
          <w:sz w:val="32"/>
          <w:szCs w:val="32"/>
        </w:rPr>
        <w:t>万元</w:t>
      </w:r>
      <w:r>
        <w:rPr>
          <w:rFonts w:hint="eastAsia" w:ascii="楷体" w:hAnsi="楷体" w:eastAsia="楷体" w:cs="楷体"/>
          <w:sz w:val="32"/>
          <w:szCs w:val="32"/>
          <w:lang w:eastAsia="zh-CN"/>
        </w:rPr>
        <w:t>。</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没有使用政府性基金预算拨款安排的支出。</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没有使用国有资本经营预算拨款安排的支出。</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202</w:t>
      </w:r>
      <w:r>
        <w:rPr>
          <w:rFonts w:hint="eastAsia" w:ascii="楷体" w:hAnsi="楷体" w:eastAsia="楷体" w:cs="楷体"/>
          <w:color w:val="000000" w:themeColor="text1"/>
          <w:sz w:val="32"/>
          <w:szCs w:val="32"/>
          <w:lang w:val="en-US" w:eastAsia="zh-CN"/>
          <w14:textFill>
            <w14:solidFill>
              <w14:schemeClr w14:val="tx1"/>
            </w14:solidFill>
          </w14:textFill>
        </w:rPr>
        <w:t>2</w:t>
      </w:r>
      <w:r>
        <w:rPr>
          <w:rFonts w:hint="eastAsia" w:ascii="楷体" w:hAnsi="楷体" w:eastAsia="楷体" w:cs="楷体"/>
          <w:color w:val="000000" w:themeColor="text1"/>
          <w:sz w:val="32"/>
          <w:szCs w:val="32"/>
          <w14:textFill>
            <w14:solidFill>
              <w14:schemeClr w14:val="tx1"/>
            </w14:solidFill>
          </w14:textFill>
        </w:rPr>
        <w:t>年部门机关运行费用预算</w:t>
      </w:r>
      <w:r>
        <w:rPr>
          <w:rFonts w:hint="eastAsia" w:ascii="楷体" w:hAnsi="楷体" w:eastAsia="楷体" w:cs="楷体"/>
          <w:color w:val="FF0000"/>
          <w:sz w:val="32"/>
          <w:szCs w:val="32"/>
          <w:u w:val="single"/>
          <w:lang w:val="en-US" w:eastAsia="zh-CN"/>
        </w:rPr>
        <w:t>43.68</w:t>
      </w:r>
      <w:r>
        <w:rPr>
          <w:rFonts w:hint="eastAsia" w:ascii="楷体" w:hAnsi="楷体" w:eastAsia="楷体" w:cs="楷体"/>
          <w:color w:val="000000" w:themeColor="text1"/>
          <w:sz w:val="32"/>
          <w:szCs w:val="32"/>
          <w14:textFill>
            <w14:solidFill>
              <w14:schemeClr w14:val="tx1"/>
            </w14:solidFill>
          </w14:textFill>
        </w:rPr>
        <w:t>万元，比202</w:t>
      </w:r>
      <w:r>
        <w:rPr>
          <w:rFonts w:hint="eastAsia" w:ascii="楷体" w:hAnsi="楷体" w:eastAsia="楷体" w:cs="楷体"/>
          <w:color w:val="000000" w:themeColor="text1"/>
          <w:sz w:val="32"/>
          <w:szCs w:val="32"/>
          <w:lang w:val="en-US" w:eastAsia="zh-CN"/>
          <w14:textFill>
            <w14:solidFill>
              <w14:schemeClr w14:val="tx1"/>
            </w14:solidFill>
          </w14:textFill>
        </w:rPr>
        <w:t>1</w:t>
      </w:r>
      <w:r>
        <w:rPr>
          <w:rFonts w:hint="eastAsia" w:ascii="楷体" w:hAnsi="楷体" w:eastAsia="楷体" w:cs="楷体"/>
          <w:color w:val="000000" w:themeColor="text1"/>
          <w:sz w:val="32"/>
          <w:szCs w:val="32"/>
          <w14:textFill>
            <w14:solidFill>
              <w14:schemeClr w14:val="tx1"/>
            </w14:solidFill>
          </w14:textFill>
        </w:rPr>
        <w:t>年预算</w:t>
      </w:r>
      <w:r>
        <w:rPr>
          <w:rFonts w:hint="eastAsia" w:ascii="楷体" w:hAnsi="楷体" w:eastAsia="楷体" w:cs="楷体"/>
          <w:color w:val="000000" w:themeColor="text1"/>
          <w:sz w:val="32"/>
          <w:szCs w:val="32"/>
          <w:lang w:val="en-US" w:eastAsia="zh-CN"/>
          <w14:textFill>
            <w14:solidFill>
              <w14:schemeClr w14:val="tx1"/>
            </w14:solidFill>
          </w14:textFill>
        </w:rPr>
        <w:t>减少</w:t>
      </w:r>
      <w:r>
        <w:rPr>
          <w:rFonts w:hint="eastAsia" w:ascii="楷体" w:hAnsi="楷体" w:eastAsia="楷体" w:cs="楷体"/>
          <w:color w:val="FF0000"/>
          <w:sz w:val="32"/>
          <w:szCs w:val="32"/>
          <w:u w:val="single"/>
          <w:lang w:val="en-US" w:eastAsia="zh-CN"/>
        </w:rPr>
        <w:t>84.65</w:t>
      </w:r>
      <w:r>
        <w:rPr>
          <w:rFonts w:hint="eastAsia" w:ascii="楷体" w:hAnsi="楷体" w:eastAsia="楷体" w:cs="楷体"/>
          <w:color w:val="000000" w:themeColor="text1"/>
          <w:sz w:val="32"/>
          <w:szCs w:val="32"/>
          <w14:textFill>
            <w14:solidFill>
              <w14:schemeClr w14:val="tx1"/>
            </w14:solidFill>
          </w14:textFill>
        </w:rPr>
        <w:t>万元，下降</w:t>
      </w:r>
      <w:r>
        <w:rPr>
          <w:rFonts w:hint="eastAsia" w:ascii="楷体" w:hAnsi="楷体" w:eastAsia="楷体" w:cs="楷体"/>
          <w:color w:val="FF0000"/>
          <w:sz w:val="32"/>
          <w:szCs w:val="32"/>
          <w:u w:val="single"/>
          <w:lang w:val="en-US" w:eastAsia="zh-CN"/>
        </w:rPr>
        <w:t>65.96</w:t>
      </w:r>
      <w:r>
        <w:rPr>
          <w:rFonts w:hint="eastAsia" w:ascii="楷体" w:hAnsi="楷体" w:eastAsia="楷体" w:cs="楷体"/>
          <w:color w:val="FF0000"/>
          <w:sz w:val="32"/>
          <w:szCs w:val="32"/>
          <w:u w:val="single"/>
        </w:rPr>
        <w:t xml:space="preserve"> </w:t>
      </w:r>
      <w:r>
        <w:rPr>
          <w:rFonts w:hint="eastAsia" w:ascii="楷体" w:hAnsi="楷体" w:eastAsia="楷体" w:cs="楷体"/>
          <w:color w:val="000000" w:themeColor="text1"/>
          <w:sz w:val="32"/>
          <w:szCs w:val="32"/>
          <w14:textFill>
            <w14:solidFill>
              <w14:schemeClr w14:val="tx1"/>
            </w14:solidFill>
          </w14:textFill>
        </w:rPr>
        <w:t>%。</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2022年部门所属各单位政府采购总额  0   万元，其中:政府采购货物预算   0 万元、政府采购工程预算    0万元、政府采购服务预算   0 万元。</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截至2021年8月31日，部门共有车辆  6   辆，其中，一般公务用车   0 辆，执法执勤用车 6   辆。</w:t>
      </w:r>
    </w:p>
    <w:p>
      <w:pPr>
        <w:widowControl w:val="0"/>
        <w:kinsoku/>
        <w:autoSpaceDE/>
        <w:autoSpaceDN/>
        <w:adjustRightInd/>
        <w:snapToGrid/>
        <w:spacing w:line="240" w:lineRule="auto"/>
        <w:ind w:firstLine="643" w:firstLineChars="200"/>
        <w:jc w:val="both"/>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(九)国家重点生态功能区考核项目情况说明</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1、国家重点生态功能区考核项目</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1)项目概述：我县属于国家生态文明建设示范县，加强生态环境保护，提高环境质量，责任重大 ，2017年被列入《国家重点生态功能区县域名单》进行生态环境质量考核。</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2)立项依据：财政部财预（2017）127号关于下达2017年中央对地方重点生态功能区转移支付的通知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3)实施主体：国家重点生态功能区县域生态环境质量监测评价与考核指标体系包括技术评价指标和监管指标两部分。</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4）实施方案：浮府办发[2020]33号浮梁县人民政府办公室关于印发浮梁县2020年国家重点生态功能区县域生态环境质量监测评价与考核工作实施方案的通知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5)实施周期：2022年元月1日至2022年12月31日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6)年度预算安排：260万</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7)绩效目标和指标：根据国家重点生态功能区《考核实施方案》和《监测工作方案》高质量完成监测工作和考核上报工作。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95" w:firstLineChars="200"/>
        <w:textAlignment w:val="baseline"/>
        <w:rPr>
          <w:rFonts w:hint="eastAsia" w:ascii="楷体" w:hAnsi="楷体" w:eastAsia="楷体" w:cs="楷体"/>
          <w:b/>
          <w:bCs/>
          <w:spacing w:val="13"/>
          <w:sz w:val="32"/>
          <w:szCs w:val="32"/>
        </w:rPr>
      </w:pPr>
      <w:r>
        <w:rPr>
          <w:rFonts w:hint="eastAsia" w:ascii="楷体" w:hAnsi="楷体" w:eastAsia="楷体" w:cs="楷体"/>
          <w:b/>
          <w:bCs/>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2022年浮梁生态环境局"三公"经费一般公共预算安排</w:t>
      </w:r>
      <w:r>
        <w:rPr>
          <w:rFonts w:hint="eastAsia" w:ascii="楷体" w:hAnsi="楷体" w:eastAsia="楷体" w:cs="楷体"/>
          <w:i w:val="0"/>
          <w:iCs w:val="0"/>
          <w:snapToGrid/>
          <w:color w:val="FF0000"/>
          <w:kern w:val="2"/>
          <w:sz w:val="32"/>
          <w:szCs w:val="32"/>
          <w:u w:val="single"/>
          <w:lang w:val="en-US" w:eastAsia="zh-CN" w:bidi="ar-SA"/>
        </w:rPr>
        <w:t>18.04</w:t>
      </w:r>
      <w:r>
        <w:rPr>
          <w:rFonts w:hint="eastAsia" w:ascii="楷体" w:hAnsi="楷体" w:eastAsia="楷体" w:cs="楷体"/>
          <w:snapToGrid/>
          <w:kern w:val="2"/>
          <w:sz w:val="32"/>
          <w:szCs w:val="32"/>
          <w:lang w:val="en-US" w:eastAsia="zh-CN" w:bidi="ar-SA"/>
        </w:rPr>
        <w:t>万元。其中:</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因公出国(境)费0万元，比上年增(减)0万元，主要原因是:没有预算费用。</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公务接待费</w:t>
      </w:r>
      <w:r>
        <w:rPr>
          <w:rFonts w:hint="eastAsia" w:ascii="楷体" w:hAnsi="楷体" w:eastAsia="楷体" w:cs="楷体"/>
          <w:snapToGrid/>
          <w:color w:val="FF0000"/>
          <w:kern w:val="2"/>
          <w:sz w:val="32"/>
          <w:szCs w:val="32"/>
          <w:u w:val="single"/>
          <w:lang w:val="en-US" w:eastAsia="zh-CN" w:bidi="ar-SA"/>
        </w:rPr>
        <w:t>2.5</w:t>
      </w:r>
      <w:r>
        <w:rPr>
          <w:rFonts w:hint="eastAsia" w:ascii="楷体" w:hAnsi="楷体" w:eastAsia="楷体" w:cs="楷体"/>
          <w:snapToGrid/>
          <w:kern w:val="2"/>
          <w:sz w:val="32"/>
          <w:szCs w:val="32"/>
          <w:lang w:val="en-US" w:eastAsia="zh-CN" w:bidi="ar-SA"/>
        </w:rPr>
        <w:t>万元，比上年减</w:t>
      </w:r>
      <w:r>
        <w:rPr>
          <w:rFonts w:hint="eastAsia" w:ascii="楷体" w:hAnsi="楷体" w:eastAsia="楷体" w:cs="楷体"/>
          <w:snapToGrid/>
          <w:color w:val="FF0000"/>
          <w:kern w:val="2"/>
          <w:sz w:val="32"/>
          <w:szCs w:val="32"/>
          <w:u w:val="single"/>
          <w:lang w:val="en-US" w:eastAsia="zh-CN" w:bidi="ar-SA"/>
        </w:rPr>
        <w:t>42.5</w:t>
      </w:r>
      <w:r>
        <w:rPr>
          <w:rFonts w:hint="eastAsia" w:ascii="楷体" w:hAnsi="楷体" w:eastAsia="楷体" w:cs="楷体"/>
          <w:snapToGrid/>
          <w:kern w:val="2"/>
          <w:sz w:val="32"/>
          <w:szCs w:val="32"/>
          <w:lang w:val="en-US" w:eastAsia="zh-CN" w:bidi="ar-SA"/>
        </w:rPr>
        <w:t>万元，主要原因</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是:预算减少。</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公务用车运行维护费</w:t>
      </w:r>
      <w:r>
        <w:rPr>
          <w:rFonts w:hint="eastAsia" w:ascii="楷体" w:hAnsi="楷体" w:eastAsia="楷体" w:cs="楷体"/>
          <w:snapToGrid/>
          <w:color w:val="FF0000"/>
          <w:kern w:val="2"/>
          <w:sz w:val="32"/>
          <w:szCs w:val="32"/>
          <w:u w:val="single"/>
          <w:lang w:val="en-US" w:eastAsia="zh-CN" w:bidi="ar-SA"/>
        </w:rPr>
        <w:t>15.54</w:t>
      </w:r>
      <w:r>
        <w:rPr>
          <w:rFonts w:hint="eastAsia" w:ascii="楷体" w:hAnsi="楷体" w:eastAsia="楷体" w:cs="楷体"/>
          <w:snapToGrid/>
          <w:kern w:val="2"/>
          <w:sz w:val="32"/>
          <w:szCs w:val="32"/>
          <w:lang w:val="en-US" w:eastAsia="zh-CN" w:bidi="ar-SA"/>
        </w:rPr>
        <w:t>万元，比上年减少</w:t>
      </w:r>
      <w:r>
        <w:rPr>
          <w:rFonts w:hint="eastAsia" w:ascii="楷体" w:hAnsi="楷体" w:eastAsia="楷体" w:cs="楷体"/>
          <w:snapToGrid/>
          <w:color w:val="FF0000"/>
          <w:kern w:val="2"/>
          <w:sz w:val="32"/>
          <w:szCs w:val="32"/>
          <w:u w:val="single"/>
          <w:lang w:val="en-US" w:eastAsia="zh-CN" w:bidi="ar-SA"/>
        </w:rPr>
        <w:t>29.46</w:t>
      </w:r>
      <w:r>
        <w:rPr>
          <w:rFonts w:hint="eastAsia" w:ascii="楷体" w:hAnsi="楷体" w:eastAsia="楷体" w:cs="楷体"/>
          <w:snapToGrid/>
          <w:kern w:val="2"/>
          <w:sz w:val="32"/>
          <w:szCs w:val="32"/>
          <w:lang w:val="en-US" w:eastAsia="zh-CN" w:bidi="ar-SA"/>
        </w:rPr>
        <w:t>万元，</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主要原因是:预算减少。</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公务用车购置费0万元，比上年增(减)0万元，主要原因是没有购置费用。</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eastAsia" w:ascii="楷体" w:hAnsi="楷体" w:eastAsia="楷体" w:cs="楷体"/>
          <w:b/>
          <w:bCs/>
          <w:spacing w:val="-15"/>
          <w:w w:val="94"/>
          <w:sz w:val="32"/>
          <w:szCs w:val="32"/>
        </w:rPr>
      </w:pPr>
    </w:p>
    <w:p>
      <w:pPr>
        <w:widowControl w:val="0"/>
        <w:kinsoku/>
        <w:autoSpaceDE/>
        <w:autoSpaceDN/>
        <w:adjustRightInd/>
        <w:snapToGrid/>
        <w:spacing w:line="240" w:lineRule="auto"/>
        <w:jc w:val="center"/>
        <w:textAlignment w:val="auto"/>
        <w:rPr>
          <w:rFonts w:hint="eastAsia" w:ascii="楷体" w:hAnsi="楷体" w:eastAsia="楷体" w:cs="楷体"/>
          <w:b/>
          <w:bCs/>
          <w:snapToGrid/>
          <w:kern w:val="2"/>
          <w:sz w:val="32"/>
          <w:szCs w:val="32"/>
          <w:lang w:val="en-US" w:eastAsia="zh-CN" w:bidi="ar-SA"/>
        </w:rPr>
      </w:pPr>
      <w:r>
        <w:rPr>
          <w:rFonts w:hint="eastAsia" w:ascii="楷体" w:hAnsi="楷体" w:eastAsia="楷体" w:cs="楷体"/>
          <w:b/>
          <w:bCs/>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bCs/>
          <w:spacing w:val="13"/>
          <w:sz w:val="32"/>
          <w:szCs w:val="32"/>
        </w:rPr>
      </w:pPr>
      <w:r>
        <w:rPr>
          <w:rFonts w:hint="eastAsia" w:ascii="楷体" w:hAnsi="楷体" w:eastAsia="楷体" w:cs="楷体"/>
          <w:spacing w:val="13"/>
          <w:sz w:val="32"/>
          <w:szCs w:val="32"/>
        </w:rPr>
        <w:t>一</w:t>
      </w:r>
      <w:r>
        <w:rPr>
          <w:rFonts w:hint="eastAsia" w:ascii="楷体" w:hAnsi="楷体" w:eastAsia="楷体" w:cs="楷体"/>
          <w:b/>
          <w:bCs/>
          <w:spacing w:val="13"/>
          <w:sz w:val="32"/>
          <w:szCs w:val="32"/>
        </w:rPr>
        <w:t>、收入科目</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楷体" w:hAnsi="楷体" w:eastAsia="楷体" w:cs="楷体"/>
          <w:snapToGrid/>
          <w:kern w:val="2"/>
          <w:sz w:val="32"/>
          <w:szCs w:val="32"/>
          <w:lang w:val="en-US" w:eastAsia="zh-CN" w:bidi="ar-SA"/>
        </w:rPr>
      </w:pPr>
      <w:r>
        <w:rPr>
          <w:rFonts w:hint="eastAsia" w:ascii="楷体" w:hAnsi="楷体" w:eastAsia="楷体" w:cs="楷体"/>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33AA5"/>
    <w:multiLevelType w:val="singleLevel"/>
    <w:tmpl w:val="EB333AA5"/>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611947"/>
    <w:rsid w:val="17EE2251"/>
    <w:rsid w:val="180A0D7A"/>
    <w:rsid w:val="225631FF"/>
    <w:rsid w:val="28B74E8B"/>
    <w:rsid w:val="2E91690D"/>
    <w:rsid w:val="325D7BAC"/>
    <w:rsid w:val="428E07E4"/>
    <w:rsid w:val="461E05B8"/>
    <w:rsid w:val="474E6296"/>
    <w:rsid w:val="476D2917"/>
    <w:rsid w:val="4C4D5C62"/>
    <w:rsid w:val="50FF3108"/>
    <w:rsid w:val="535A3AA7"/>
    <w:rsid w:val="61597664"/>
    <w:rsid w:val="6A50253A"/>
    <w:rsid w:val="6C0006DE"/>
    <w:rsid w:val="72C926E2"/>
    <w:rsid w:val="7695246E"/>
    <w:rsid w:val="782845C6"/>
    <w:rsid w:val="79461538"/>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BodyText1I2"/>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平淡是真</cp:lastModifiedBy>
  <dcterms:modified xsi:type="dcterms:W3CDTF">2022-03-22T02:47:06Z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2052-11.1.0.11365</vt:lpwstr>
  </property>
  <property fmtid="{D5CDD505-2E9C-101B-9397-08002B2CF9AE}" pid="5" name="ICV">
    <vt:lpwstr>88DC4E5DA5774A45A9990BB4EE0325F1</vt:lpwstr>
  </property>
</Properties>
</file>