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楷体_GB2312" w:hAnsi="方正大标宋简体" w:eastAsia="楷体_GB2312"/>
          <w:b/>
          <w:bCs/>
          <w:sz w:val="30"/>
          <w:szCs w:val="30"/>
        </w:rPr>
      </w:pPr>
      <w:r>
        <w:rPr>
          <w:rFonts w:hint="eastAsia" w:ascii="楷体_GB2312" w:hAnsi="方正大标宋简体" w:eastAsia="楷体_GB2312" w:cs="楷体_GB2312"/>
          <w:b/>
          <w:bCs/>
          <w:sz w:val="30"/>
          <w:szCs w:val="30"/>
        </w:rPr>
        <w:t>附件</w:t>
      </w:r>
      <w:r>
        <w:rPr>
          <w:rFonts w:ascii="楷体_GB2312" w:hAnsi="方正大标宋简体" w:eastAsia="楷体_GB2312" w:cs="楷体_GB2312"/>
          <w:b/>
          <w:bCs/>
          <w:sz w:val="30"/>
          <w:szCs w:val="30"/>
        </w:rPr>
        <w:t>1</w:t>
      </w:r>
      <w:r>
        <w:rPr>
          <w:rFonts w:hint="eastAsia" w:ascii="楷体_GB2312" w:hAnsi="方正大标宋简体" w:eastAsia="楷体_GB2312" w:cs="楷体_GB2312"/>
          <w:b/>
          <w:bCs/>
          <w:sz w:val="30"/>
          <w:szCs w:val="30"/>
        </w:rPr>
        <w:t>：</w:t>
      </w:r>
    </w:p>
    <w:p>
      <w:pPr>
        <w:spacing w:line="600" w:lineRule="exact"/>
        <w:jc w:val="center"/>
        <w:rPr>
          <w:rFonts w:ascii="方正大标宋简体" w:hAnsi="方正大标宋简体" w:eastAsia="方正大标宋简体"/>
          <w:sz w:val="44"/>
          <w:szCs w:val="44"/>
        </w:rPr>
      </w:pPr>
    </w:p>
    <w:p>
      <w:pPr>
        <w:spacing w:line="600" w:lineRule="exact"/>
        <w:jc w:val="center"/>
        <w:rPr>
          <w:rFonts w:ascii="方正大标宋简体" w:hAnsi="方正大标宋简体" w:eastAsia="方正大标宋简体"/>
          <w:sz w:val="44"/>
          <w:szCs w:val="44"/>
        </w:rPr>
      </w:pPr>
      <w:r>
        <w:rPr>
          <w:rFonts w:hint="eastAsia" w:ascii="方正大标宋简体" w:hAnsi="方正大标宋简体" w:eastAsia="方正大标宋简体" w:cs="方正大标宋简体"/>
          <w:sz w:val="44"/>
          <w:szCs w:val="44"/>
        </w:rPr>
        <w:t>浮梁县公安局</w:t>
      </w:r>
      <w:r>
        <w:rPr>
          <w:rFonts w:ascii="方正大标宋简体" w:hAnsi="方正大标宋简体" w:eastAsia="方正大标宋简体" w:cs="方正大标宋简体"/>
          <w:sz w:val="44"/>
          <w:szCs w:val="44"/>
        </w:rPr>
        <w:t>2017</w:t>
      </w:r>
      <w:r>
        <w:rPr>
          <w:rFonts w:hint="eastAsia" w:ascii="方正大标宋简体" w:hAnsi="方正大标宋简体" w:eastAsia="方正大标宋简体" w:cs="方正大标宋简体"/>
          <w:sz w:val="44"/>
          <w:szCs w:val="44"/>
        </w:rPr>
        <w:t>年度部门决算</w:t>
      </w:r>
    </w:p>
    <w:p>
      <w:pPr>
        <w:spacing w:line="600" w:lineRule="exact"/>
        <w:jc w:val="center"/>
        <w:rPr>
          <w:rFonts w:ascii="黑体" w:eastAsia="黑体"/>
          <w:sz w:val="44"/>
          <w:szCs w:val="44"/>
        </w:rPr>
      </w:pPr>
    </w:p>
    <w:p>
      <w:pPr>
        <w:spacing w:line="600" w:lineRule="exact"/>
        <w:jc w:val="center"/>
        <w:rPr>
          <w:rFonts w:ascii="楷体_GB2312" w:hAnsi="楷体_GB2312" w:eastAsia="楷体_GB2312"/>
          <w:b/>
          <w:bCs/>
          <w:sz w:val="44"/>
          <w:szCs w:val="44"/>
        </w:rPr>
      </w:pPr>
      <w:r>
        <w:rPr>
          <w:rFonts w:hint="eastAsia" w:ascii="楷体_GB2312" w:hAnsi="楷体_GB2312" w:eastAsia="楷体_GB2312" w:cs="楷体_GB2312"/>
          <w:b/>
          <w:bCs/>
          <w:sz w:val="44"/>
          <w:szCs w:val="44"/>
        </w:rPr>
        <w:t>目</w:t>
      </w:r>
      <w:r>
        <w:rPr>
          <w:rFonts w:ascii="楷体_GB2312" w:hAnsi="楷体_GB2312" w:eastAsia="楷体_GB2312" w:cs="楷体_GB2312"/>
          <w:b/>
          <w:bCs/>
          <w:sz w:val="44"/>
          <w:szCs w:val="44"/>
        </w:rPr>
        <w:t xml:space="preserve">    </w:t>
      </w:r>
      <w:r>
        <w:rPr>
          <w:rFonts w:hint="eastAsia" w:ascii="楷体_GB2312" w:hAnsi="楷体_GB2312" w:eastAsia="楷体_GB2312" w:cs="楷体_GB2312"/>
          <w:b/>
          <w:bCs/>
          <w:sz w:val="44"/>
          <w:szCs w:val="44"/>
        </w:rPr>
        <w:t>录</w:t>
      </w:r>
    </w:p>
    <w:p>
      <w:pPr>
        <w:widowControl/>
        <w:spacing w:line="600" w:lineRule="exact"/>
        <w:ind w:firstLine="640"/>
        <w:jc w:val="left"/>
        <w:rPr>
          <w:rFonts w:ascii="仿宋_GB2312" w:eastAsia="仿宋_GB2312"/>
          <w:sz w:val="32"/>
          <w:szCs w:val="32"/>
        </w:rPr>
      </w:pPr>
    </w:p>
    <w:p>
      <w:pPr>
        <w:widowControl/>
        <w:spacing w:line="660" w:lineRule="exact"/>
        <w:ind w:firstLine="640"/>
        <w:jc w:val="left"/>
        <w:rPr>
          <w:rFonts w:ascii="黑体" w:hAnsi="黑体" w:eastAsia="黑体"/>
          <w:b/>
          <w:bCs/>
          <w:sz w:val="32"/>
          <w:szCs w:val="32"/>
        </w:rPr>
      </w:pPr>
      <w:r>
        <w:rPr>
          <w:rFonts w:hint="eastAsia" w:ascii="黑体" w:hAnsi="黑体" w:eastAsia="黑体" w:cs="黑体"/>
          <w:sz w:val="32"/>
          <w:szCs w:val="32"/>
        </w:rPr>
        <w:t>第一部分</w:t>
      </w:r>
      <w:r>
        <w:rPr>
          <w:rFonts w:ascii="黑体" w:hAnsi="黑体" w:eastAsia="黑体" w:cs="黑体"/>
          <w:b/>
          <w:bCs/>
          <w:sz w:val="32"/>
          <w:szCs w:val="32"/>
        </w:rPr>
        <w:t xml:space="preserve">  </w:t>
      </w:r>
      <w:r>
        <w:rPr>
          <w:rFonts w:hint="eastAsia" w:ascii="黑体" w:hAnsi="黑体" w:eastAsia="黑体" w:cs="黑体"/>
          <w:sz w:val="32"/>
          <w:szCs w:val="32"/>
        </w:rPr>
        <w:t>浮梁县公安局概况</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一、部门主要职责</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二、部门基本情况</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年度部门决算表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一、收入支出决算总表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二、收入决算表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三、支出决算表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四、财政拨款收入支出决算总表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五、一般公共预算财政拨款支出决算表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六、一般公共预算财政拨款基本支出决算表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七、一般公共预算财政拨款“三公”经费支出决算</w:t>
      </w:r>
    </w:p>
    <w:p>
      <w:pPr>
        <w:widowControl/>
        <w:spacing w:line="66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八、政府性基金预算财政拨款收入支出决算表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九、国有资产占用情况表</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kern w:val="0"/>
          <w:sz w:val="32"/>
          <w:szCs w:val="32"/>
        </w:rPr>
        <w:t xml:space="preserve">    </w:t>
      </w: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年度部门决算情况说明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三、财政拨款支出决算情况说明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四、一般公共预算财政拨款基本支出决算情况说明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五、一般公共预算财政拨款“三公”经费支出决算</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六、机关运行经费支出情况说明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七、政府采购支出情况说明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八、预算绩效情况说明</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浮梁县公安局概况</w:t>
      </w: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一、部门主要职能</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一）贯彻执行国家的法律、法规和公安工作的路线、方针、政策；研究拟定和落实有关公安工作的规定和实施办法；分析研究全县的社会治安状况，对全县公安工作进行决策、部署、指导、检查和监督；对全县公安机关实施组织领导和指挥。</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（二）掌握影响稳定、危害国内安全和社会治安情况，分析形势，制定对策。</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（三）组织实施并指导侦查工作，组织、协调处置重大案件、治安事件、治安事故和骚乱。</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（四）组织实施并指导全县公安机关依法查处危害社会治安秩序行为，依法管理户籍和门牌、流动人口、居民身份证和居民身份证号码、枪支弹药、危险物品和特种行业等。</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（五）组织实施并指导出（入）境和外国人在我县境内居留、旅行的有关管理工作、组织实施并指导全县公安外事工作。</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（六）组织实施并指导、监督全县警卫和消防工作。</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（七）组织实施并指导全县公安机关维护道路交通安全、交通秩序以及车辆驾驶员管理工作。</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（八）指导、监督全县公安机关依法对国家机关、社会团体、企事业单位和重点建设工程的治安保卫工作以及群众性治安组织的治安防范工作；指导机关、企事业单位保卫组织和经济民警、保安队伍的建设。</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（九）组织实施并指导、监督全县公共信息网络安全监察工作。</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（十）指导、监督全县公安机关依法承担的执行刑罚和监督、考察工作；组织实施并指导、监督看守所、拘役所、治安拘留所、强制戒毒所、收容教育所的管理工作。</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（十一）组织实施并指导全县公安法制建设；指导、检查、监督公安机关执法活动。</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（十二）指导、监督全县公安机关收容教养审批工作以及承办县劳动教养委员会审批办公室的日常工作。</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（十三）组织实施并指导全县公安机关开展禁毒和缉毒工作以及承办县禁毒领导小组办公室的日常工作。</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（十四）组织全县公安科学技术工作，规划公安信息技术、刑事技术和行动技术建设。</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（十五）规定制定全县公安机关装备、被装配备和经费等警务保障标准、制度。</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（十六）领导全县公安警卫、消防部队建设；对武警支队执行公安任务及相关业务建设实施领导和指挥。</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（十七）指导全县公安政治工作和队伍建设；组织实施并指导、管理全县公安教育、培训及技能训练；组织实施并指导公安宣传工作；按规定权限管理干部人事工作。</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（十八）制定全县公安队伍监督管理工作规章制度，分析队伍状况，组织实施并指导全县公安机关督察工作；按规定权限实施对干部的监督；查处或督办公安队伍重大和较大违纪案件。</w:t>
      </w:r>
    </w:p>
    <w:p>
      <w:pPr>
        <w:pStyle w:val="8"/>
        <w:rPr>
          <w:rFonts w:ascii="仿宋_GB2312" w:hAnsi="仿宋_GB2312" w:eastAsia="仿宋_GB2312" w:cs="仿宋_GB2312"/>
          <w:sz w:val="32"/>
          <w:szCs w:val="32"/>
        </w:rPr>
      </w:pPr>
      <w:r>
        <w:rPr>
          <w:rFonts w:hint="eastAsia" w:ascii="仿宋_GB2312" w:hAnsi="仿宋_GB2312" w:eastAsia="仿宋_GB2312" w:cs="仿宋_GB2312"/>
          <w:sz w:val="32"/>
          <w:szCs w:val="32"/>
        </w:rPr>
        <w:t>（十九）承办县委、县政府交办的其他事项。</w:t>
      </w:r>
    </w:p>
    <w:p>
      <w:pPr>
        <w:ind w:firstLine="640" w:firstLineChars="200"/>
        <w:rPr>
          <w:rFonts w:ascii="黑体" w:hAnsi="黑体" w:eastAsia="黑体" w:cs="黑体"/>
          <w:sz w:val="32"/>
          <w:szCs w:val="32"/>
        </w:rPr>
      </w:pPr>
      <w:r>
        <w:rPr>
          <w:rFonts w:hint="eastAsia" w:ascii="黑体" w:hAnsi="黑体" w:eastAsia="黑体" w:cs="黑体"/>
          <w:sz w:val="32"/>
          <w:szCs w:val="32"/>
        </w:rPr>
        <w:t>二、部门基本情况</w:t>
      </w:r>
    </w:p>
    <w:p>
      <w:pPr>
        <w:pStyle w:val="8"/>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纳入本套部门决算汇编范围的单位共1个。</w:t>
      </w:r>
    </w:p>
    <w:p>
      <w:pPr>
        <w:pStyle w:val="8"/>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本部门2017年年末编制人数205人，其中行政编制205人；年末实有人数328人，其中在职人员305，退休人员18人；遗属补助5人。</w:t>
      </w: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年度部门决算表</w:t>
      </w:r>
    </w:p>
    <w:p>
      <w:pPr>
        <w:spacing w:line="580" w:lineRule="exact"/>
        <w:ind w:firstLine="629"/>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见附表</w:t>
      </w: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年度部门决算情况说明</w:t>
      </w:r>
    </w:p>
    <w:p>
      <w:pPr>
        <w:widowControl/>
        <w:spacing w:line="240" w:lineRule="exact"/>
        <w:jc w:val="center"/>
        <w:rPr>
          <w:rFonts w:ascii="黑体" w:hAnsi="黑体" w:eastAsia="黑体"/>
          <w:b/>
          <w:bCs/>
          <w:sz w:val="32"/>
          <w:szCs w:val="32"/>
        </w:rPr>
      </w:pPr>
    </w:p>
    <w:p>
      <w:pPr>
        <w:widowControl/>
        <w:spacing w:line="600" w:lineRule="exact"/>
        <w:ind w:firstLine="640" w:firstLineChars="200"/>
        <w:rPr>
          <w:rFonts w:ascii="黑体" w:hAnsi="黑体" w:eastAsia="黑体"/>
          <w:sz w:val="32"/>
          <w:szCs w:val="32"/>
        </w:rPr>
      </w:pPr>
      <w:r>
        <w:rPr>
          <w:rFonts w:hint="eastAsia" w:ascii="黑体" w:hAnsi="黑体" w:eastAsia="黑体" w:cs="黑体"/>
          <w:sz w:val="32"/>
          <w:szCs w:val="32"/>
        </w:rPr>
        <w:t>一、收入决算情况说明</w:t>
      </w:r>
    </w:p>
    <w:p>
      <w:pPr>
        <w:pStyle w:val="8"/>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年度收入总计5884.35万元，其中年初结转和结余1878.25万元，较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年减少540.13万元，下降28.76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；本年收入合计4006.10万元，较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年增长124.34万元，增长3.10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，主要原因是：招录新民警增加工资及公用经费。</w:t>
      </w:r>
    </w:p>
    <w:p>
      <w:pPr>
        <w:pStyle w:val="8"/>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本年收入的具体构成为：财政拨款收入3693.72万元，占92.20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；其他收入312.38万元，占7.8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ind w:firstLine="630"/>
        <w:jc w:val="left"/>
        <w:rPr>
          <w:rFonts w:ascii="黑体" w:hAnsi="黑体" w:eastAsia="黑体"/>
          <w:sz w:val="32"/>
          <w:szCs w:val="32"/>
        </w:rPr>
      </w:pPr>
      <w:r>
        <w:rPr>
          <w:rFonts w:hint="eastAsia" w:ascii="黑体" w:hAnsi="黑体" w:eastAsia="黑体" w:cs="黑体"/>
          <w:sz w:val="32"/>
          <w:szCs w:val="32"/>
        </w:rPr>
        <w:t>二、支出决算情况说明</w:t>
      </w:r>
    </w:p>
    <w:p>
      <w:pPr>
        <w:pStyle w:val="8"/>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年度支出总计5884.35万元，其中本年支出合计4106.22万元，较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年减少315.68万元，下降7.69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，主要原因是：少了工资补发的部分。年末结转和结余1778.13万元，较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年减少100.11万元，下降5.63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，主要原因是：结算部分2016年购买的项目。</w:t>
      </w:r>
    </w:p>
    <w:p>
      <w:pPr>
        <w:pStyle w:val="8"/>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本年支出的具体构成为：基本支出3266.83万元，占79.55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；项目支出839.39万元，占20.45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ascii="仿宋_GB2312" w:hAnsi="仿宋_GB2312" w:eastAsia="仿宋_GB2312"/>
          <w:sz w:val="32"/>
          <w:szCs w:val="32"/>
        </w:rPr>
        <w:t xml:space="preserve"> </w:t>
      </w:r>
    </w:p>
    <w:p>
      <w:pPr>
        <w:ind w:firstLine="630"/>
        <w:jc w:val="left"/>
        <w:rPr>
          <w:rFonts w:ascii="黑体" w:hAnsi="黑体" w:eastAsia="黑体"/>
          <w:sz w:val="32"/>
          <w:szCs w:val="32"/>
        </w:rPr>
      </w:pPr>
      <w:r>
        <w:rPr>
          <w:rFonts w:hint="eastAsia" w:ascii="黑体" w:hAnsi="黑体" w:eastAsia="黑体" w:cs="黑体"/>
          <w:sz w:val="32"/>
          <w:szCs w:val="32"/>
        </w:rPr>
        <w:t>三、财政拨款支出决算情况说明</w:t>
      </w:r>
    </w:p>
    <w:p>
      <w:pPr>
        <w:pStyle w:val="8"/>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年度财政拨款本年支出年初预算数为</w:t>
      </w:r>
      <w:r>
        <w:rPr>
          <w:rFonts w:hint="eastAsia" w:ascii="仿宋_GB2312" w:hAnsi="仿宋_GB2312" w:eastAsia="仿宋_GB2312" w:cs="仿宋_GB2312"/>
          <w:sz w:val="32"/>
          <w:szCs w:val="32"/>
          <w:lang w:val="en-US" w:eastAsia="zh-CN"/>
        </w:rPr>
        <w:t>2211</w:t>
      </w:r>
      <w:r>
        <w:rPr>
          <w:rFonts w:hint="eastAsia" w:ascii="仿宋_GB2312" w:hAnsi="仿宋_GB2312" w:eastAsia="仿宋_GB2312" w:cs="仿宋_GB2312"/>
          <w:sz w:val="32"/>
          <w:szCs w:val="32"/>
        </w:rPr>
        <w:t>.44万元，决算数为35</w:t>
      </w:r>
      <w:r>
        <w:rPr>
          <w:rFonts w:hint="eastAsia" w:ascii="仿宋_GB2312" w:hAnsi="仿宋_GB2312" w:eastAsia="仿宋_GB2312" w:cs="仿宋_GB2312"/>
          <w:sz w:val="32"/>
          <w:szCs w:val="32"/>
          <w:lang w:val="en-US" w:eastAsia="zh-CN"/>
        </w:rPr>
        <w:t>98.24</w:t>
      </w:r>
      <w:r>
        <w:rPr>
          <w:rFonts w:hint="eastAsia" w:ascii="仿宋_GB2312" w:hAnsi="仿宋_GB2312" w:eastAsia="仿宋_GB2312" w:cs="仿宋_GB2312"/>
          <w:sz w:val="32"/>
          <w:szCs w:val="32"/>
        </w:rPr>
        <w:t>万元，完成年初预算的1</w:t>
      </w:r>
      <w:r>
        <w:rPr>
          <w:rFonts w:hint="eastAsia" w:ascii="仿宋_GB2312" w:hAnsi="仿宋_GB2312" w:eastAsia="仿宋_GB2312" w:cs="仿宋_GB2312"/>
          <w:sz w:val="32"/>
          <w:szCs w:val="32"/>
          <w:lang w:val="en-US" w:eastAsia="zh-CN"/>
        </w:rPr>
        <w:t>62.71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p>
    <w:p>
      <w:pPr>
        <w:pStyle w:val="8"/>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（一）公共安全支出年初预算数为</w:t>
      </w:r>
      <w:r>
        <w:rPr>
          <w:rFonts w:hint="eastAsia" w:ascii="仿宋_GB2312" w:hAnsi="仿宋_GB2312" w:eastAsia="仿宋_GB2312" w:cs="仿宋_GB2312"/>
          <w:sz w:val="32"/>
          <w:szCs w:val="32"/>
          <w:lang w:val="en-US" w:eastAsia="zh-CN"/>
        </w:rPr>
        <w:t>2185.52</w:t>
      </w:r>
      <w:r>
        <w:rPr>
          <w:rFonts w:hint="eastAsia" w:ascii="仿宋_GB2312" w:hAnsi="仿宋_GB2312" w:eastAsia="仿宋_GB2312" w:cs="仿宋_GB2312"/>
          <w:sz w:val="32"/>
          <w:szCs w:val="32"/>
        </w:rPr>
        <w:t>万元，决算数为3572.32万元，完成年初预算的</w:t>
      </w:r>
      <w:r>
        <w:rPr>
          <w:rFonts w:hint="eastAsia" w:ascii="仿宋_GB2312" w:hAnsi="仿宋_GB2312" w:eastAsia="仿宋_GB2312" w:cs="仿宋_GB2312"/>
          <w:sz w:val="32"/>
          <w:szCs w:val="32"/>
          <w:lang w:val="en-US" w:eastAsia="zh-CN"/>
        </w:rPr>
        <w:t>163.45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，主要原因是：调整预算。</w:t>
      </w:r>
    </w:p>
    <w:p>
      <w:pPr>
        <w:pStyle w:val="8"/>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（二）住房保障支出年初预算数为</w:t>
      </w:r>
      <w:r>
        <w:rPr>
          <w:rFonts w:hint="eastAsia" w:ascii="仿宋_GB2312" w:hAnsi="仿宋_GB2312" w:eastAsia="仿宋_GB2312" w:cs="仿宋_GB2312"/>
          <w:sz w:val="32"/>
          <w:szCs w:val="32"/>
          <w:lang w:val="en-US" w:eastAsia="zh-CN"/>
        </w:rPr>
        <w:t>25.92</w:t>
      </w:r>
      <w:bookmarkStart w:id="0" w:name="_GoBack"/>
      <w:bookmarkEnd w:id="0"/>
      <w:r>
        <w:rPr>
          <w:rFonts w:hint="eastAsia" w:ascii="仿宋_GB2312" w:hAnsi="仿宋_GB2312" w:eastAsia="仿宋_GB2312" w:cs="仿宋_GB2312"/>
          <w:sz w:val="32"/>
          <w:szCs w:val="32"/>
        </w:rPr>
        <w:t>万元，决算数为25.92万元，完成年初预算的100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，主要原因是：调整预算。</w:t>
      </w:r>
    </w:p>
    <w:p>
      <w:pPr>
        <w:ind w:firstLine="630"/>
        <w:jc w:val="left"/>
        <w:rPr>
          <w:rFonts w:ascii="黑体" w:hAnsi="黑体" w:eastAsia="黑体"/>
          <w:sz w:val="32"/>
          <w:szCs w:val="32"/>
        </w:rPr>
      </w:pPr>
      <w:r>
        <w:rPr>
          <w:rFonts w:hint="eastAsia" w:ascii="黑体" w:hAnsi="黑体" w:eastAsia="黑体" w:cs="黑体"/>
          <w:sz w:val="32"/>
          <w:szCs w:val="32"/>
        </w:rPr>
        <w:t>四、一般公共预算财政拨款基本支出决算情况说明</w:t>
      </w:r>
    </w:p>
    <w:p>
      <w:pPr>
        <w:pStyle w:val="8"/>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年度一般公共预算财政拨款基本支出3266.83万元，其中：</w:t>
      </w:r>
    </w:p>
    <w:p>
      <w:pPr>
        <w:pStyle w:val="8"/>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（一）工资福利支出2166.33万元，较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年减少33.66万元，下降1.55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，主要原因是：减少工资补发部分。</w:t>
      </w:r>
    </w:p>
    <w:p>
      <w:pPr>
        <w:pStyle w:val="8"/>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（二）商品和服务支出879.95万元，较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年减少231.59万元，下降26.32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，主要原因是：项目支出中办案性支出增加。</w:t>
      </w:r>
    </w:p>
    <w:p>
      <w:pPr>
        <w:pStyle w:val="8"/>
        <w:ind w:firstLine="640" w:firstLineChars="200"/>
        <w:rPr>
          <w:rFonts w:ascii="仿宋" w:hAnsi="仿宋" w:eastAsia="仿宋"/>
          <w:sz w:val="32"/>
          <w:szCs w:val="32"/>
        </w:rPr>
      </w:pPr>
      <w:r>
        <w:rPr>
          <w:rFonts w:hint="eastAsia" w:ascii="仿宋_GB2312" w:hAnsi="仿宋_GB2312" w:eastAsia="仿宋_GB2312" w:cs="仿宋_GB2312"/>
          <w:sz w:val="32"/>
          <w:szCs w:val="32"/>
        </w:rPr>
        <w:t>（三）对个人和家庭补助支出220.55万元，较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年减少20.97万元，下降9.51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，主要原因是：退休人员从7月份开始转入社保局发放工资。</w:t>
      </w:r>
    </w:p>
    <w:p>
      <w:pPr>
        <w:pStyle w:val="8"/>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（四）一般公共预算财政拨款基本支出中无其他资本性支出。</w:t>
      </w:r>
    </w:p>
    <w:p>
      <w:pPr>
        <w:pStyle w:val="8"/>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五、一般公共预算财政拨款“三公”经费支出决算情况说明</w:t>
      </w:r>
    </w:p>
    <w:p>
      <w:pPr>
        <w:pStyle w:val="8"/>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年度一般公共预算财政拨款“三公”经费支出年初预算数为119.19万元，决算数为119.19万元，完成预算的100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年减少0.17万元，下降0.14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p>
    <w:p>
      <w:pPr>
        <w:pStyle w:val="8"/>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（一）因公出国（境）支出年初预算数为0万元，决算数为0万元。</w:t>
      </w:r>
    </w:p>
    <w:p>
      <w:pPr>
        <w:pStyle w:val="8"/>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（二）公务接待费支出年初预算数为49.19万元，决算数为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49.19万元，完成预算的100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年减少0.01万元。</w:t>
      </w:r>
    </w:p>
    <w:p>
      <w:pPr>
        <w:pStyle w:val="8"/>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（三）公务用车购置及运行维护费支出70万元，其中公务用车购置年初预算数为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0万元，决算数为0万元。公务用车运行维护费支出年初预算数为70万元，决算数为70万元，完成预算的100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年减少17.4万元，下降24.86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。主要原因是：公务用车减少开支。</w:t>
      </w:r>
    </w:p>
    <w:p>
      <w:pPr>
        <w:pStyle w:val="8"/>
        <w:spacing w:line="560" w:lineRule="exact"/>
        <w:ind w:firstLine="601"/>
        <w:rPr>
          <w:rFonts w:ascii="黑体" w:hAnsi="黑体" w:eastAsia="黑体"/>
          <w:kern w:val="2"/>
          <w:sz w:val="32"/>
          <w:szCs w:val="32"/>
        </w:rPr>
      </w:pPr>
      <w:r>
        <w:rPr>
          <w:rFonts w:hint="eastAsia" w:ascii="黑体" w:hAnsi="黑体" w:eastAsia="黑体" w:cs="黑体"/>
          <w:kern w:val="2"/>
          <w:sz w:val="32"/>
          <w:szCs w:val="32"/>
        </w:rPr>
        <w:t>六、机关运行经费支出情况说明</w:t>
      </w:r>
    </w:p>
    <w:p>
      <w:pPr>
        <w:pStyle w:val="8"/>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年度机关运行经费支出879.95万元（与部门决算中行政单位和参照公务员法管理事业单位一般公共预算财政拨款基本支出中公用经费保持一致），较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年增加327.07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万元，增长37.17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，主要原因是：县局制作警察证放在机关运行费用中，还有出差、大楼维修和临时工工资费用占了很大一部分。</w:t>
      </w:r>
      <w:r>
        <w:rPr>
          <w:rFonts w:ascii="仿宋_GB2312" w:hAnsi="仿宋_GB2312" w:eastAsia="仿宋_GB2312" w:cs="仿宋_GB2312"/>
          <w:sz w:val="32"/>
          <w:szCs w:val="32"/>
        </w:rPr>
        <w:t xml:space="preserve"> </w:t>
      </w:r>
    </w:p>
    <w:p>
      <w:pPr>
        <w:pStyle w:val="8"/>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七、政府采购支出情况说明</w:t>
      </w:r>
    </w:p>
    <w:p>
      <w:pPr>
        <w:pStyle w:val="8"/>
        <w:spacing w:line="600" w:lineRule="exact"/>
        <w:ind w:firstLine="600"/>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年度政府采购支出总额20万元，其中：政府采购货物支出20万元，占政府采购支出总额的100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。（市级部门公开的政府采购金额的计算口径为：本部门纳入</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年部门预算范围的各项政府采购支出金额之和，并做好与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年度政府采购信息统计报表中“政府采购资金情况表”有关数据的衔接。）</w:t>
      </w:r>
    </w:p>
    <w:p>
      <w:pPr>
        <w:spacing w:line="600" w:lineRule="exact"/>
        <w:ind w:firstLine="630"/>
        <w:jc w:val="left"/>
        <w:rPr>
          <w:rFonts w:ascii="黑体" w:hAnsi="黑体" w:eastAsia="黑体"/>
          <w:sz w:val="32"/>
          <w:szCs w:val="32"/>
        </w:rPr>
      </w:pPr>
      <w:r>
        <w:rPr>
          <w:rFonts w:hint="eastAsia" w:ascii="黑体" w:hAnsi="黑体" w:eastAsia="黑体" w:cs="黑体"/>
          <w:sz w:val="32"/>
          <w:szCs w:val="32"/>
        </w:rPr>
        <w:t>八、预算绩效情况说明</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（一）绩效管理工作开展情况。</w:t>
      </w:r>
    </w:p>
    <w:p>
      <w:pPr>
        <w:autoSpaceDE w:val="0"/>
        <w:autoSpaceDN w:val="0"/>
        <w:adjustRightInd w:val="0"/>
        <w:spacing w:line="600" w:lineRule="exact"/>
        <w:ind w:firstLine="6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根据预算绩效管理要求，我部门组织对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年度一般公共预算项目支出全面开展绩效自评，其中，一级项目</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个，二级项目</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个，共涉及资金</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万元，占一般公共预算项目支出总额的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。组织对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个政府性基金预算项目支出开展绩效自评，共涉及资金</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万元，占政府性基金预算项目支出总额的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共组织对“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个项目进行了重点绩效评价，涉及一般公共预算支出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万元，政府性基金预算支出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万元。其中，对“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”等项目分别委托“</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”等第三方机构开展绩效评价。从评价情况来看，……（请对预算绩效评价情况进行简单说明）。</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组织对“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个部门（单位）开展整体支出绩效评价试点，涉及一般公共预算支出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万元，政府性基金预算支出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万元。其中，对“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”等部门（单位）整体支出分别委托“</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”等第三方机构开展绩效评价。从评价情况来看，……（请对整体支出绩效评价情况进行简单说明）。</w:t>
      </w:r>
    </w:p>
    <w:p>
      <w:pPr>
        <w:autoSpaceDE w:val="0"/>
        <w:autoSpaceDN w:val="0"/>
        <w:adjustRightInd w:val="0"/>
        <w:spacing w:line="600" w:lineRule="exact"/>
        <w:ind w:firstLine="585"/>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（二）部门决算中项目绩效自评结果（选择</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至</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个项目）。</w:t>
      </w:r>
    </w:p>
    <w:p>
      <w:pPr>
        <w:autoSpaceDE w:val="0"/>
        <w:autoSpaceDN w:val="0"/>
        <w:adjustRightInd w:val="0"/>
        <w:spacing w:line="600" w:lineRule="exact"/>
        <w:ind w:firstLine="585"/>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我部门今年在市市级部门决算中反映</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及</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项目绩效自评结果。</w:t>
      </w:r>
    </w:p>
    <w:p>
      <w:pPr>
        <w:autoSpaceDE w:val="0"/>
        <w:autoSpaceDN w:val="0"/>
        <w:adjustRightInd w:val="0"/>
        <w:spacing w:line="600" w:lineRule="exact"/>
        <w:ind w:firstLine="585"/>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项目绩效自评综述：根据年初设定的绩效目标，</w:t>
      </w:r>
      <w:r>
        <w:rPr>
          <w:rFonts w:ascii="仿宋_GB2312" w:hAnsi="仿宋_GB2312" w:eastAsia="仿宋_GB2312" w:cs="仿宋_GB2312"/>
          <w:kern w:val="0"/>
          <w:sz w:val="32"/>
          <w:szCs w:val="32"/>
        </w:rPr>
        <w:t xml:space="preserve">XXX </w:t>
      </w:r>
      <w:r>
        <w:rPr>
          <w:rFonts w:hint="eastAsia" w:ascii="仿宋_GB2312" w:hAnsi="仿宋_GB2312" w:eastAsia="仿宋_GB2312" w:cs="仿宋_GB2312"/>
          <w:kern w:val="0"/>
          <w:sz w:val="32"/>
          <w:szCs w:val="32"/>
        </w:rPr>
        <w:t>项目绩效自评得分为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分。项目全年预算数为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万元，执行数为</w:t>
      </w:r>
      <w:r>
        <w:rPr>
          <w:rFonts w:ascii="仿宋_GB2312" w:hAnsi="仿宋_GB2312" w:eastAsia="仿宋_GB2312" w:cs="仿宋_GB2312"/>
          <w:kern w:val="0"/>
          <w:sz w:val="32"/>
          <w:szCs w:val="32"/>
        </w:rPr>
        <w:t xml:space="preserve">   </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万元，完成预算的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。主要产出和效果：一是……；二是……。发现的问题及原因：一是……；二是……。下一步改进措施：一是……；二是……。</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XXX</w:t>
      </w:r>
      <w:r>
        <w:rPr>
          <w:rFonts w:hint="eastAsia" w:ascii="仿宋_GB2312" w:hAnsi="仿宋_GB2312" w:eastAsia="仿宋_GB2312" w:cs="仿宋_GB2312"/>
          <w:kern w:val="0"/>
          <w:sz w:val="32"/>
          <w:szCs w:val="32"/>
        </w:rPr>
        <w:t>项目绩效自评综述：……。</w:t>
      </w:r>
    </w:p>
    <w:p>
      <w:pPr>
        <w:autoSpaceDE w:val="0"/>
        <w:autoSpaceDN w:val="0"/>
        <w:adjustRightInd w:val="0"/>
        <w:spacing w:line="60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在公开项目绩效自评综述的同时，需公开《项目支出绩效自评表》。</w:t>
      </w:r>
    </w:p>
    <w:p>
      <w:pPr>
        <w:autoSpaceDE w:val="0"/>
        <w:autoSpaceDN w:val="0"/>
        <w:adjustRightInd w:val="0"/>
        <w:spacing w:line="600" w:lineRule="exact"/>
        <w:ind w:firstLine="641"/>
        <w:jc w:val="left"/>
        <w:rPr>
          <w:rFonts w:ascii="仿宋_GB2312" w:hAnsi="仿宋_GB2312" w:eastAsia="仿宋_GB2312"/>
          <w:kern w:val="0"/>
          <w:sz w:val="32"/>
          <w:szCs w:val="32"/>
        </w:rPr>
      </w:pPr>
    </w:p>
    <w:p>
      <w:pPr>
        <w:widowControl/>
        <w:spacing w:line="600" w:lineRule="exact"/>
        <w:ind w:firstLine="640"/>
        <w:jc w:val="center"/>
        <w:rPr>
          <w:rFonts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widowControl/>
        <w:spacing w:line="600" w:lineRule="exact"/>
        <w:ind w:firstLine="640"/>
        <w:jc w:val="center"/>
        <w:rPr>
          <w:rFonts w:ascii="黑体" w:hAnsi="黑体" w:eastAsia="黑体" w:cs="黑体"/>
          <w:sz w:val="10"/>
          <w:szCs w:val="10"/>
        </w:rPr>
      </w:pP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对部门决算中涉及的收入科目、支出功能分类科目（明细到项级），结合部门实际，参照《2017年政府收支分类科目》的规范说明进行解释。</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（一）财政拨款：指市级财政当年拨付的资金。</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（二）事业收入：指事业单位开展专业业务活动及辅助活动取得的收入。</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（三）行政运行：反映行政单位（包括参公单位）的基本支出。</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spacing w:line="560" w:lineRule="exact"/>
        <w:ind w:firstLine="630"/>
        <w:jc w:val="left"/>
        <w:rPr>
          <w:rFonts w:ascii="仿宋_GB2312" w:hAnsi="仿宋_GB2312" w:eastAsia="仿宋_GB2312"/>
          <w:sz w:val="30"/>
          <w:szCs w:val="30"/>
        </w:rPr>
      </w:pPr>
    </w:p>
    <w:p>
      <w:pPr>
        <w:spacing w:line="560" w:lineRule="exact"/>
        <w:rPr>
          <w:rFonts w:ascii="仿宋_GB2312" w:hAnsi="仿宋_GB2312" w:eastAsia="仿宋_GB2312"/>
        </w:rPr>
      </w:pPr>
    </w:p>
    <w:sectPr>
      <w:footerReference r:id="rId3" w:type="default"/>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9DD"/>
    <w:rsid w:val="00066BD1"/>
    <w:rsid w:val="00121169"/>
    <w:rsid w:val="0013788E"/>
    <w:rsid w:val="00230A11"/>
    <w:rsid w:val="00245962"/>
    <w:rsid w:val="00296718"/>
    <w:rsid w:val="002C526D"/>
    <w:rsid w:val="00323508"/>
    <w:rsid w:val="003D4A66"/>
    <w:rsid w:val="004878A8"/>
    <w:rsid w:val="00487D11"/>
    <w:rsid w:val="00562B10"/>
    <w:rsid w:val="005A6B59"/>
    <w:rsid w:val="00643412"/>
    <w:rsid w:val="00671ED9"/>
    <w:rsid w:val="006C3358"/>
    <w:rsid w:val="00781564"/>
    <w:rsid w:val="0078592E"/>
    <w:rsid w:val="00951DC7"/>
    <w:rsid w:val="009965E7"/>
    <w:rsid w:val="00A6101F"/>
    <w:rsid w:val="00AC7533"/>
    <w:rsid w:val="00BC03DB"/>
    <w:rsid w:val="00C33A28"/>
    <w:rsid w:val="00C6247D"/>
    <w:rsid w:val="00C67FFC"/>
    <w:rsid w:val="00C74905"/>
    <w:rsid w:val="00D00B9D"/>
    <w:rsid w:val="00D3707B"/>
    <w:rsid w:val="00DC2C96"/>
    <w:rsid w:val="00DC2D15"/>
    <w:rsid w:val="00DE7B48"/>
    <w:rsid w:val="00E4413C"/>
    <w:rsid w:val="00F369DD"/>
    <w:rsid w:val="00F5165F"/>
    <w:rsid w:val="00F76C24"/>
    <w:rsid w:val="044024ED"/>
    <w:rsid w:val="0E13271D"/>
    <w:rsid w:val="1631013A"/>
    <w:rsid w:val="33AB1D4A"/>
    <w:rsid w:val="34F86AFA"/>
    <w:rsid w:val="3AA93ED6"/>
    <w:rsid w:val="57661723"/>
    <w:rsid w:val="6C6F0E55"/>
    <w:rsid w:val="6FA047B4"/>
    <w:rsid w:val="7A530A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Autospacing="1" w:afterAutospacing="1"/>
      <w:jc w:val="left"/>
    </w:pPr>
    <w:rPr>
      <w:kern w:val="0"/>
      <w:sz w:val="24"/>
    </w:rPr>
  </w:style>
  <w:style w:type="character" w:styleId="6">
    <w:name w:val="page number"/>
    <w:basedOn w:val="5"/>
    <w:qFormat/>
    <w:uiPriority w:val="99"/>
  </w:style>
  <w:style w:type="paragraph" w:customStyle="1" w:styleId="8">
    <w:name w:val="p0"/>
    <w:basedOn w:val="1"/>
    <w:qFormat/>
    <w:uiPriority w:val="99"/>
    <w:pPr>
      <w:widowControl/>
    </w:pPr>
    <w:rPr>
      <w:kern w:val="0"/>
    </w:rPr>
  </w:style>
  <w:style w:type="character" w:customStyle="1" w:styleId="9">
    <w:name w:val="页脚 Char"/>
    <w:basedOn w:val="5"/>
    <w:link w:val="2"/>
    <w:semiHidden/>
    <w:qFormat/>
    <w:locked/>
    <w:uiPriority w:val="99"/>
    <w:rPr>
      <w:sz w:val="18"/>
      <w:szCs w:val="18"/>
    </w:rPr>
  </w:style>
  <w:style w:type="character" w:customStyle="1" w:styleId="10">
    <w:name w:val="页眉 Char"/>
    <w:basedOn w:val="5"/>
    <w:link w:val="3"/>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656</Words>
  <Characters>3745</Characters>
  <Lines>31</Lines>
  <Paragraphs>8</Paragraphs>
  <TotalTime>168</TotalTime>
  <ScaleCrop>false</ScaleCrop>
  <LinksUpToDate>false</LinksUpToDate>
  <CharactersWithSpaces>4393</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2018-09-21T08:10:00Z</dcterms:created>
  <dc:creator>qingshuiban</dc:creator>
  <cp:lastModifiedBy>Hong</cp:lastModifiedBy>
  <cp:lastPrinted>2018-09-21T08:13:00Z</cp:lastPrinted>
  <dcterms:modified xsi:type="dcterms:W3CDTF">2018-10-26T06:43:57Z</dcterms:modified>
  <dc:title>附件1：</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