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08A19">
      <w:pPr>
        <w:spacing w:before="110" w:line="224" w:lineRule="auto"/>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14:paraId="28184FDA">
      <w:pPr>
        <w:spacing w:line="289" w:lineRule="auto"/>
        <w:jc w:val="center"/>
      </w:pPr>
    </w:p>
    <w:p w14:paraId="2329C97D">
      <w:pPr>
        <w:spacing w:line="290" w:lineRule="auto"/>
        <w:jc w:val="center"/>
      </w:pPr>
    </w:p>
    <w:p w14:paraId="544CA7D9">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eastAsia="zh-CN"/>
        </w:rPr>
        <w:t>财政局</w:t>
      </w:r>
      <w:r>
        <w:rPr>
          <w:rFonts w:hint="eastAsia" w:ascii="方正大标宋简体" w:hAnsi="Times New Roman" w:eastAsia="方正大标宋简体" w:cs="Times New Roman"/>
          <w:snapToGrid/>
          <w:kern w:val="2"/>
          <w:sz w:val="44"/>
          <w:szCs w:val="44"/>
        </w:rPr>
        <w:t xml:space="preserve"> 2025年部门预算</w:t>
      </w:r>
    </w:p>
    <w:p w14:paraId="20F76A03">
      <w:pPr>
        <w:spacing w:line="334" w:lineRule="auto"/>
        <w:rPr>
          <w:rFonts w:eastAsia="宋体"/>
        </w:rPr>
      </w:pPr>
    </w:p>
    <w:p w14:paraId="1D35AF73">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14:paraId="464ADF45">
      <w:pPr>
        <w:spacing w:line="347" w:lineRule="auto"/>
      </w:pPr>
    </w:p>
    <w:p w14:paraId="3FDC0953">
      <w:pPr>
        <w:spacing w:line="347" w:lineRule="auto"/>
      </w:pPr>
    </w:p>
    <w:p w14:paraId="483EE782">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财政局</w:t>
      </w:r>
      <w:r>
        <w:rPr>
          <w:rFonts w:hint="eastAsia" w:ascii="黑体" w:hAnsi="黑体" w:eastAsia="黑体" w:cs="黑体"/>
          <w:snapToGrid/>
          <w:kern w:val="2"/>
          <w:sz w:val="32"/>
          <w:szCs w:val="32"/>
        </w:rPr>
        <w:t>概况</w:t>
      </w:r>
    </w:p>
    <w:p w14:paraId="025D4E0B">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14:paraId="6C7F6721">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675D0F3D">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财政局</w:t>
      </w:r>
      <w:r>
        <w:rPr>
          <w:rFonts w:hint="eastAsia" w:ascii="黑体" w:hAnsi="黑体" w:eastAsia="黑体" w:cs="黑体"/>
          <w:snapToGrid/>
          <w:kern w:val="2"/>
          <w:sz w:val="32"/>
          <w:szCs w:val="32"/>
        </w:rPr>
        <w:t>2025年部门预算表</w:t>
      </w:r>
    </w:p>
    <w:p w14:paraId="578D63A0">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一、《收支预算总表》</w:t>
      </w:r>
    </w:p>
    <w:p w14:paraId="7DA3FF2D">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二、《部门收入总表》</w:t>
      </w:r>
    </w:p>
    <w:p w14:paraId="089C2EE9">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三、《部门支出总表》</w:t>
      </w:r>
    </w:p>
    <w:p w14:paraId="590D078F">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四、《财政拨款收支总表》</w:t>
      </w:r>
    </w:p>
    <w:p w14:paraId="4235213D">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五、《一般公共预算支出表》</w:t>
      </w:r>
    </w:p>
    <w:p w14:paraId="6CDADD85">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六、《一般公共预算基本支出表》</w:t>
      </w:r>
    </w:p>
    <w:p w14:paraId="0DDE1EFA">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七、《一般公共预算"三公"经费支出表》</w:t>
      </w:r>
    </w:p>
    <w:p w14:paraId="12221F44">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八、《政府性基金预算支出表》</w:t>
      </w:r>
    </w:p>
    <w:p w14:paraId="69C7247D">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九、《国有资本经营预算支出表》</w:t>
      </w:r>
    </w:p>
    <w:p w14:paraId="5B13DE45">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十、《部门整体支出绩效目标表》</w:t>
      </w:r>
    </w:p>
    <w:p w14:paraId="1CCBE4DC">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十一、《项目绩效目标表》</w:t>
      </w:r>
    </w:p>
    <w:p w14:paraId="5ACCE02B">
      <w:pPr>
        <w:widowControl w:val="0"/>
        <w:kinsoku/>
        <w:autoSpaceDE/>
        <w:autoSpaceDN/>
        <w:adjustRightInd/>
        <w:snapToGrid/>
        <w:jc w:val="both"/>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第三部分 浮梁县</w:t>
      </w:r>
      <w:r>
        <w:rPr>
          <w:rFonts w:hint="eastAsia" w:ascii="黑体" w:hAnsi="黑体" w:eastAsia="黑体" w:cs="黑体"/>
          <w:snapToGrid/>
          <w:color w:val="auto"/>
          <w:kern w:val="2"/>
          <w:sz w:val="32"/>
          <w:szCs w:val="32"/>
          <w:lang w:eastAsia="zh-CN"/>
        </w:rPr>
        <w:t>财政局</w:t>
      </w:r>
      <w:r>
        <w:rPr>
          <w:rFonts w:hint="eastAsia" w:ascii="黑体" w:hAnsi="黑体" w:eastAsia="黑体" w:cs="黑体"/>
          <w:snapToGrid/>
          <w:color w:val="auto"/>
          <w:kern w:val="2"/>
          <w:sz w:val="32"/>
          <w:szCs w:val="32"/>
        </w:rPr>
        <w:t>2025年部门预算情况说明</w:t>
      </w:r>
    </w:p>
    <w:p w14:paraId="03237CFB">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一、2025年部门预算收支情况说明</w:t>
      </w:r>
    </w:p>
    <w:p w14:paraId="4C0C8ECC">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二、2025年"三公”经费预算情况说明</w:t>
      </w:r>
    </w:p>
    <w:p w14:paraId="66C74C3A">
      <w:pPr>
        <w:widowControl w:val="0"/>
        <w:kinsoku/>
        <w:autoSpaceDE/>
        <w:autoSpaceDN/>
        <w:adjustRightInd/>
        <w:snapToGrid/>
        <w:jc w:val="both"/>
        <w:textAlignment w:val="auto"/>
        <w:rPr>
          <w:color w:val="FF0000"/>
        </w:rPr>
      </w:pPr>
      <w:r>
        <w:rPr>
          <w:rFonts w:hint="eastAsia" w:ascii="黑体" w:hAnsi="黑体" w:eastAsia="黑体" w:cs="黑体"/>
          <w:snapToGrid/>
          <w:color w:val="auto"/>
          <w:kern w:val="2"/>
          <w:sz w:val="32"/>
          <w:szCs w:val="32"/>
        </w:rPr>
        <w:t>第四部分 名词解释</w:t>
      </w:r>
    </w:p>
    <w:p w14:paraId="69284148">
      <w:pPr>
        <w:widowControl w:val="0"/>
        <w:kinsoku/>
        <w:autoSpaceDE/>
        <w:autoSpaceDN/>
        <w:adjustRightInd/>
        <w:snapToGrid/>
        <w:jc w:val="center"/>
        <w:textAlignment w:val="auto"/>
        <w:rPr>
          <w:color w:val="auto"/>
        </w:rPr>
      </w:pPr>
      <w:r>
        <w:rPr>
          <w:rFonts w:hint="eastAsia" w:ascii="黑体" w:hAnsi="黑体" w:eastAsia="黑体" w:cs="黑体"/>
          <w:snapToGrid/>
          <w:color w:val="auto"/>
          <w:kern w:val="2"/>
          <w:sz w:val="32"/>
          <w:szCs w:val="32"/>
        </w:rPr>
        <w:t>第一部分 浮梁县</w:t>
      </w:r>
      <w:r>
        <w:rPr>
          <w:rFonts w:hint="eastAsia" w:ascii="黑体" w:hAnsi="黑体" w:eastAsia="黑体" w:cs="黑体"/>
          <w:snapToGrid/>
          <w:color w:val="auto"/>
          <w:kern w:val="2"/>
          <w:sz w:val="32"/>
          <w:szCs w:val="32"/>
          <w:lang w:eastAsia="zh-CN"/>
        </w:rPr>
        <w:t>财政局</w:t>
      </w:r>
      <w:r>
        <w:rPr>
          <w:rFonts w:hint="eastAsia" w:ascii="黑体" w:hAnsi="黑体" w:eastAsia="黑体" w:cs="黑体"/>
          <w:snapToGrid/>
          <w:color w:val="auto"/>
          <w:kern w:val="2"/>
          <w:sz w:val="32"/>
          <w:szCs w:val="32"/>
        </w:rPr>
        <w:t>概况</w:t>
      </w:r>
    </w:p>
    <w:p w14:paraId="1F5863C7">
      <w:pPr>
        <w:spacing w:before="214"/>
        <w:rPr>
          <w:rFonts w:hint="eastAsia" w:ascii="楷体" w:hAnsi="楷体" w:eastAsia="楷体" w:cs="楷体"/>
          <w:color w:val="auto"/>
          <w:spacing w:val="13"/>
          <w:sz w:val="32"/>
          <w:szCs w:val="32"/>
        </w:rPr>
      </w:pPr>
      <w:r>
        <w:rPr>
          <w:rFonts w:hint="eastAsia" w:ascii="楷体" w:hAnsi="楷体" w:eastAsia="楷体" w:cs="楷体"/>
          <w:color w:val="auto"/>
          <w:spacing w:val="13"/>
          <w:sz w:val="32"/>
          <w:szCs w:val="32"/>
        </w:rPr>
        <w:t>一、部门主要职责</w:t>
      </w:r>
    </w:p>
    <w:p w14:paraId="1F38F752">
      <w:pPr>
        <w:widowControl w:val="0"/>
        <w:kinsoku/>
        <w:autoSpaceDE/>
        <w:autoSpaceDN/>
        <w:adjustRightInd/>
        <w:snapToGrid/>
        <w:ind w:firstLine="640" w:firstLineChars="200"/>
        <w:jc w:val="both"/>
        <w:textAlignment w:val="auto"/>
        <w:rPr>
          <w:rFonts w:hint="eastAsia" w:ascii="仿宋_GB2312" w:hAnsi="宋体" w:eastAsia="仿宋_GB2312"/>
          <w:sz w:val="32"/>
          <w:szCs w:val="32"/>
          <w:lang w:eastAsia="zh-CN"/>
        </w:rPr>
      </w:pPr>
      <w:r>
        <w:rPr>
          <w:rFonts w:hint="eastAsia" w:ascii="仿宋_GB2312" w:hAnsi="宋体" w:eastAsia="仿宋_GB2312"/>
          <w:sz w:val="32"/>
          <w:szCs w:val="32"/>
        </w:rPr>
        <w:t>贯彻执行国家的财政、税收法律法规和政策</w:t>
      </w:r>
      <w:r>
        <w:rPr>
          <w:rFonts w:hint="eastAsia" w:ascii="仿宋_GB2312" w:hAnsi="宋体" w:eastAsia="仿宋_GB2312"/>
          <w:sz w:val="32"/>
          <w:szCs w:val="32"/>
          <w:lang w:eastAsia="zh-CN"/>
        </w:rPr>
        <w:t>；拟定有关地方性法规规章草案；分析预测宏观经济形势；参与、制定各项有关宏观经济政策；提出运用财税政策实施宏观调控和综合平衡社会财力的建议；研究财税发展战略；拟订县与乡(镇)、国家与企业的分配政策，完善鼓励公益事业发展的财税政策；承担县本级各项财政收支管理的责任；负责编制年度县本级预决算草案并组织执行；受县政府委托，向县人民代表大会报告全县预算及其执行情况；向县人大常委会报告全县决算；组织制订经费开支标准、定额；负责审核批复部门(单位)的年度预决算；推进县乡财政管理体制和乡镇预算管理方式改革；负责政府非税收入管理；完善县对乡（镇）的转移支付制度；按规定管理行政事业性收费，管理财政票据；贯彻执行彩票管理政策和有关办法管理彩票市场，按规定管理彩票资金；组织制定国库管理制度和国库集中收付制度；指导和监督全县国库业务；按规定开展国库现金管理工作；负责制定政府采购制度并监督管理；负责制定行政事业单位国有资产管理规章制度；按规定管理行政事业单位国有资产；制定需要全县统一规定的开支标准和支出政策；负责审核和汇总编制全县国有资本经营预决算草案；制定国有资本经营预算的制度和办法；收取县本级企业国有资本收益；参与拟订企业国有资产管理相关制度；按规定管理资产评估工作；制定并组织执行企业财务制度；负责办理和监督县本级财政的经济发展支出；县本级政府性投资项目的财政拨款；参与拟订县本级建设投资的有关政策；制定基本建设财务制度；负责有关政策性补贴和专项储备资金财政管理工作；会同有关部门管理全县财政社会保障和就业及医疗卫生支出；会同有关部门拟订社会保障资金（基金）的财务管理制度；编制全县社会保障预决算草案；参与研究利用外资的有关政策；管理外国政府和国际金融机构在浮梁县贷款项目的有关业务；负责管理全县的会计工作，监督和规范会计行为；监督检查财税法观、政策的执行情况，反映财政收支管理中的重大问题；强化“负责落实人才发展有关资金和财政政策”职责；承办县人民政府交办的其他事项。</w:t>
      </w:r>
    </w:p>
    <w:p w14:paraId="54E88BD4">
      <w:pPr>
        <w:widowControl w:val="0"/>
        <w:kinsoku/>
        <w:autoSpaceDE/>
        <w:autoSpaceDN/>
        <w:adjustRightInd/>
        <w:snapToGrid/>
        <w:jc w:val="both"/>
        <w:textAlignment w:val="auto"/>
        <w:rPr>
          <w:rFonts w:hint="eastAsia" w:ascii="楷体" w:hAnsi="楷体" w:eastAsia="楷体" w:cs="楷体"/>
          <w:color w:val="auto"/>
          <w:spacing w:val="13"/>
          <w:sz w:val="32"/>
          <w:szCs w:val="32"/>
        </w:rPr>
      </w:pPr>
    </w:p>
    <w:p w14:paraId="7134BF6C">
      <w:pPr>
        <w:widowControl w:val="0"/>
        <w:kinsoku/>
        <w:autoSpaceDE/>
        <w:autoSpaceDN/>
        <w:adjustRightInd/>
        <w:snapToGrid/>
        <w:jc w:val="both"/>
        <w:textAlignment w:val="auto"/>
        <w:rPr>
          <w:rFonts w:ascii="楷体" w:hAnsi="楷体" w:eastAsia="楷体" w:cs="楷体"/>
          <w:color w:val="auto"/>
          <w:spacing w:val="13"/>
          <w:sz w:val="32"/>
          <w:szCs w:val="32"/>
        </w:rPr>
      </w:pPr>
      <w:r>
        <w:rPr>
          <w:rFonts w:hint="eastAsia" w:ascii="楷体" w:hAnsi="楷体" w:eastAsia="楷体" w:cs="楷体"/>
          <w:color w:val="auto"/>
          <w:spacing w:val="13"/>
          <w:sz w:val="32"/>
          <w:szCs w:val="32"/>
        </w:rPr>
        <w:t>二、机构设置及人员情况</w:t>
      </w:r>
    </w:p>
    <w:p w14:paraId="3834D95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color w:val="auto"/>
          <w:kern w:val="2"/>
          <w:sz w:val="32"/>
          <w:szCs w:val="32"/>
          <w:lang w:eastAsia="zh-CN"/>
        </w:rPr>
      </w:pPr>
      <w:r>
        <w:rPr>
          <w:rFonts w:hint="eastAsia" w:ascii="仿宋_GB2312" w:hAnsi="宋体" w:eastAsia="仿宋_GB2312"/>
          <w:sz w:val="32"/>
          <w:szCs w:val="32"/>
        </w:rPr>
        <w:t>县财政局属县人民政府工作部门，内设职能部门分别是：人秘股（政策法规股、政府采购监管股）、综合股（国有资产监管股）、预算及预算编制股（金融债务股）、社会保障股、国库股、经济建设股、监督评价股、教科文股、乡镇财政管理股、农业农村股、行政政法股</w:t>
      </w:r>
      <w:r>
        <w:rPr>
          <w:rFonts w:hint="eastAsia" w:ascii="仿宋_GB2312" w:hAnsi="Times New Roman" w:eastAsia="仿宋_GB2312" w:cs="Times New Roman"/>
          <w:snapToGrid/>
          <w:color w:val="auto"/>
          <w:kern w:val="2"/>
          <w:sz w:val="32"/>
          <w:szCs w:val="32"/>
          <w:lang w:eastAsia="zh-CN"/>
        </w:rPr>
        <w:t>。</w:t>
      </w:r>
    </w:p>
    <w:p w14:paraId="1748193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lang w:val="en-US" w:eastAsia="zh-CN"/>
        </w:rPr>
        <w:t>县财政局编制控制数65，在职人员总数77人，行政编制人数22人，事业编制人数41人，编外人数14人。</w:t>
      </w:r>
    </w:p>
    <w:p w14:paraId="2056B015">
      <w:pPr>
        <w:rPr>
          <w:color w:val="FF0000"/>
        </w:rPr>
      </w:pPr>
    </w:p>
    <w:p w14:paraId="4E2489B3">
      <w:pPr>
        <w:rPr>
          <w:color w:val="FF0000"/>
        </w:rPr>
      </w:pPr>
    </w:p>
    <w:p w14:paraId="6877A4D0">
      <w:pPr>
        <w:rPr>
          <w:color w:val="FF0000"/>
        </w:rPr>
      </w:pPr>
    </w:p>
    <w:p w14:paraId="49A15C00">
      <w:pPr>
        <w:rPr>
          <w:color w:val="FF0000"/>
        </w:rPr>
      </w:pPr>
    </w:p>
    <w:p w14:paraId="3B73FEDF">
      <w:pPr>
        <w:rPr>
          <w:color w:val="FF0000"/>
        </w:rPr>
      </w:pPr>
    </w:p>
    <w:p w14:paraId="5DAAE9AA">
      <w:pPr>
        <w:rPr>
          <w:color w:val="FF0000"/>
        </w:rPr>
      </w:pPr>
    </w:p>
    <w:p w14:paraId="400DBD0C">
      <w:pPr>
        <w:rPr>
          <w:color w:val="FF0000"/>
        </w:rPr>
      </w:pPr>
    </w:p>
    <w:p w14:paraId="0916CBC6">
      <w:pPr>
        <w:rPr>
          <w:color w:val="FF0000"/>
        </w:rPr>
      </w:pPr>
    </w:p>
    <w:p w14:paraId="56C7E1AC">
      <w:pPr>
        <w:rPr>
          <w:color w:val="FF0000"/>
        </w:rPr>
      </w:pPr>
    </w:p>
    <w:p w14:paraId="48C3DB66">
      <w:pPr>
        <w:rPr>
          <w:color w:val="FF0000"/>
        </w:rPr>
      </w:pPr>
    </w:p>
    <w:p w14:paraId="2A028697">
      <w:pPr>
        <w:rPr>
          <w:color w:val="FF0000"/>
        </w:rPr>
      </w:pPr>
    </w:p>
    <w:p w14:paraId="1406087C">
      <w:pPr>
        <w:rPr>
          <w:color w:val="FF0000"/>
        </w:rPr>
      </w:pPr>
    </w:p>
    <w:p w14:paraId="51528D34">
      <w:pPr>
        <w:rPr>
          <w:color w:val="FF0000"/>
        </w:rPr>
      </w:pPr>
    </w:p>
    <w:p w14:paraId="7DB9580A">
      <w:pPr>
        <w:rPr>
          <w:color w:val="FF0000"/>
        </w:rPr>
      </w:pPr>
    </w:p>
    <w:p w14:paraId="1A8F49C4">
      <w:pPr>
        <w:widowControl w:val="0"/>
        <w:kinsoku/>
        <w:autoSpaceDE/>
        <w:autoSpaceDN/>
        <w:adjustRightInd/>
        <w:snapToGrid/>
        <w:jc w:val="center"/>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第二部分 浮梁县</w:t>
      </w:r>
      <w:r>
        <w:rPr>
          <w:rFonts w:hint="eastAsia" w:ascii="黑体" w:hAnsi="黑体" w:eastAsia="黑体" w:cs="黑体"/>
          <w:snapToGrid/>
          <w:color w:val="auto"/>
          <w:kern w:val="2"/>
          <w:sz w:val="32"/>
          <w:szCs w:val="32"/>
          <w:lang w:eastAsia="zh-CN"/>
        </w:rPr>
        <w:t>财政局</w:t>
      </w:r>
      <w:r>
        <w:rPr>
          <w:rFonts w:hint="eastAsia" w:ascii="黑体" w:hAnsi="黑体" w:eastAsia="黑体" w:cs="黑体"/>
          <w:snapToGrid/>
          <w:color w:val="auto"/>
          <w:kern w:val="2"/>
          <w:sz w:val="32"/>
          <w:szCs w:val="32"/>
        </w:rPr>
        <w:t>2025年部门预算表</w:t>
      </w:r>
    </w:p>
    <w:p w14:paraId="42999B30">
      <w:pPr>
        <w:spacing w:before="215"/>
        <w:ind w:firstLine="3550"/>
        <w:rPr>
          <w:rFonts w:ascii="仿宋" w:hAnsi="仿宋" w:eastAsia="仿宋" w:cs="仿宋"/>
          <w:color w:val="auto"/>
          <w:spacing w:val="17"/>
          <w:sz w:val="32"/>
          <w:szCs w:val="32"/>
        </w:rPr>
      </w:pPr>
      <w:r>
        <w:rPr>
          <w:rFonts w:ascii="仿宋" w:hAnsi="仿宋" w:eastAsia="仿宋" w:cs="仿宋"/>
          <w:color w:val="auto"/>
          <w:spacing w:val="17"/>
          <w:sz w:val="32"/>
          <w:szCs w:val="32"/>
        </w:rPr>
        <w:t>(详见附表)</w:t>
      </w:r>
    </w:p>
    <w:p w14:paraId="5B85E8A7">
      <w:pPr>
        <w:spacing w:before="215"/>
        <w:ind w:firstLine="3550"/>
        <w:rPr>
          <w:rFonts w:ascii="仿宋" w:hAnsi="仿宋" w:eastAsia="仿宋" w:cs="仿宋"/>
          <w:color w:val="FF0000"/>
          <w:spacing w:val="17"/>
          <w:sz w:val="32"/>
          <w:szCs w:val="32"/>
        </w:rPr>
      </w:pPr>
    </w:p>
    <w:p w14:paraId="0F2AF161">
      <w:pPr>
        <w:spacing w:before="215"/>
        <w:ind w:firstLine="3550"/>
        <w:rPr>
          <w:rFonts w:ascii="仿宋" w:hAnsi="仿宋" w:eastAsia="仿宋" w:cs="仿宋"/>
          <w:color w:val="FF0000"/>
          <w:spacing w:val="17"/>
          <w:sz w:val="32"/>
          <w:szCs w:val="32"/>
        </w:rPr>
      </w:pPr>
    </w:p>
    <w:p w14:paraId="0CFA8D6D">
      <w:pPr>
        <w:spacing w:before="215"/>
        <w:ind w:firstLine="3550"/>
        <w:rPr>
          <w:rFonts w:ascii="仿宋" w:hAnsi="仿宋" w:eastAsia="仿宋" w:cs="仿宋"/>
          <w:color w:val="FF0000"/>
          <w:spacing w:val="17"/>
          <w:sz w:val="32"/>
          <w:szCs w:val="32"/>
        </w:rPr>
      </w:pPr>
    </w:p>
    <w:p w14:paraId="064A02D9">
      <w:pPr>
        <w:spacing w:before="215"/>
        <w:rPr>
          <w:rFonts w:ascii="仿宋" w:hAnsi="仿宋" w:eastAsia="仿宋" w:cs="仿宋"/>
          <w:color w:val="FF0000"/>
          <w:spacing w:val="17"/>
          <w:sz w:val="32"/>
          <w:szCs w:val="32"/>
        </w:rPr>
      </w:pPr>
    </w:p>
    <w:p w14:paraId="11618289">
      <w:pPr>
        <w:spacing w:before="215"/>
        <w:ind w:firstLine="3550"/>
        <w:rPr>
          <w:rFonts w:ascii="仿宋" w:hAnsi="仿宋" w:eastAsia="仿宋" w:cs="仿宋"/>
          <w:color w:val="FF0000"/>
          <w:spacing w:val="17"/>
          <w:sz w:val="32"/>
          <w:szCs w:val="32"/>
        </w:rPr>
      </w:pPr>
    </w:p>
    <w:p w14:paraId="79F480E1">
      <w:pPr>
        <w:spacing w:before="215"/>
        <w:ind w:firstLine="3550"/>
        <w:rPr>
          <w:rFonts w:ascii="仿宋" w:hAnsi="仿宋" w:eastAsia="仿宋" w:cs="仿宋"/>
          <w:color w:val="FF0000"/>
          <w:spacing w:val="17"/>
          <w:sz w:val="32"/>
          <w:szCs w:val="32"/>
        </w:rPr>
      </w:pPr>
    </w:p>
    <w:p w14:paraId="0C7F66DD">
      <w:pPr>
        <w:spacing w:before="215"/>
        <w:ind w:firstLine="3550"/>
        <w:rPr>
          <w:rFonts w:ascii="仿宋" w:hAnsi="仿宋" w:eastAsia="仿宋" w:cs="仿宋"/>
          <w:color w:val="FF0000"/>
          <w:spacing w:val="17"/>
          <w:sz w:val="32"/>
          <w:szCs w:val="32"/>
        </w:rPr>
      </w:pPr>
    </w:p>
    <w:p w14:paraId="16E3D666">
      <w:pPr>
        <w:rPr>
          <w:color w:val="FF0000"/>
        </w:rPr>
      </w:pPr>
    </w:p>
    <w:p w14:paraId="66657CD2">
      <w:pPr>
        <w:widowControl w:val="0"/>
        <w:kinsoku/>
        <w:autoSpaceDE/>
        <w:autoSpaceDN/>
        <w:adjustRightInd/>
        <w:snapToGrid/>
        <w:jc w:val="center"/>
        <w:textAlignment w:val="auto"/>
        <w:rPr>
          <w:color w:val="auto"/>
        </w:rPr>
      </w:pPr>
      <w:r>
        <w:rPr>
          <w:rFonts w:hint="eastAsia" w:ascii="黑体" w:hAnsi="黑体" w:eastAsia="黑体" w:cs="黑体"/>
          <w:snapToGrid/>
          <w:color w:val="auto"/>
          <w:kern w:val="2"/>
          <w:sz w:val="32"/>
          <w:szCs w:val="32"/>
        </w:rPr>
        <w:t>第三部分 浮梁县</w:t>
      </w:r>
      <w:r>
        <w:rPr>
          <w:rFonts w:hint="eastAsia" w:ascii="黑体" w:hAnsi="黑体" w:eastAsia="黑体" w:cs="黑体"/>
          <w:snapToGrid/>
          <w:color w:val="auto"/>
          <w:kern w:val="2"/>
          <w:sz w:val="32"/>
          <w:szCs w:val="32"/>
          <w:lang w:eastAsia="zh-CN"/>
        </w:rPr>
        <w:t>财政局</w:t>
      </w:r>
      <w:r>
        <w:rPr>
          <w:rFonts w:hint="eastAsia" w:ascii="黑体" w:hAnsi="黑体" w:eastAsia="黑体" w:cs="黑体"/>
          <w:snapToGrid/>
          <w:color w:val="auto"/>
          <w:kern w:val="2"/>
          <w:sz w:val="32"/>
          <w:szCs w:val="32"/>
        </w:rPr>
        <w:t>2025年部门预算情况说明</w:t>
      </w:r>
    </w:p>
    <w:p w14:paraId="1E9C4AEF">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一、2025年部门预算收支情况说明</w:t>
      </w:r>
    </w:p>
    <w:p w14:paraId="39F3E49C">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(一)收入预算情况</w:t>
      </w:r>
    </w:p>
    <w:p w14:paraId="54846E8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kern w:val="2"/>
          <w:sz w:val="32"/>
          <w:szCs w:val="32"/>
          <w:lang w:val="en-US" w:eastAsia="zh-CN"/>
        </w:rPr>
        <w:t>本年收入预算1754.26万元，</w:t>
      </w:r>
      <w:r>
        <w:rPr>
          <w:rFonts w:hint="eastAsia" w:ascii="仿宋_GB2312" w:hAnsi="Times New Roman" w:eastAsia="仿宋_GB2312" w:cs="Times New Roman"/>
          <w:snapToGrid/>
          <w:color w:val="auto"/>
          <w:kern w:val="2"/>
          <w:sz w:val="32"/>
          <w:szCs w:val="32"/>
        </w:rPr>
        <w:t>较上年预算安排</w:t>
      </w:r>
      <w:r>
        <w:rPr>
          <w:rFonts w:hint="eastAsia" w:ascii="仿宋_GB2312" w:hAnsi="Times New Roman" w:eastAsia="仿宋_GB2312" w:cs="Times New Roman"/>
          <w:snapToGrid/>
          <w:kern w:val="2"/>
          <w:sz w:val="32"/>
          <w:szCs w:val="32"/>
          <w:lang w:val="en-US" w:eastAsia="zh-CN"/>
        </w:rPr>
        <w:t>下降4%。其中，财政拨款1679.26万元，上年结转75万元。</w:t>
      </w:r>
    </w:p>
    <w:p w14:paraId="101BC66E">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(二)支出预算情况</w:t>
      </w:r>
    </w:p>
    <w:p w14:paraId="586F172B">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本年支出预算1754.26万元，</w:t>
      </w:r>
      <w:r>
        <w:rPr>
          <w:rFonts w:hint="eastAsia" w:ascii="仿宋_GB2312" w:hAnsi="Times New Roman" w:eastAsia="仿宋_GB2312" w:cs="Times New Roman"/>
          <w:snapToGrid/>
          <w:color w:val="auto"/>
          <w:kern w:val="2"/>
          <w:sz w:val="32"/>
          <w:szCs w:val="32"/>
        </w:rPr>
        <w:t>较上年预算安排</w:t>
      </w:r>
      <w:r>
        <w:rPr>
          <w:rFonts w:hint="eastAsia" w:ascii="仿宋_GB2312" w:hAnsi="Times New Roman" w:eastAsia="仿宋_GB2312" w:cs="Times New Roman"/>
          <w:snapToGrid/>
          <w:kern w:val="2"/>
          <w:sz w:val="32"/>
          <w:szCs w:val="32"/>
          <w:lang w:val="en-US" w:eastAsia="zh-CN"/>
        </w:rPr>
        <w:t>下降4%。</w:t>
      </w:r>
    </w:p>
    <w:p w14:paraId="70B9EF5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按资金性质：财政拨款一般公共预算支出1754.26万元。</w:t>
      </w:r>
    </w:p>
    <w:p w14:paraId="309A01B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按功能分类：一般公共服务支出1483.38万元，社会保障和就业支出163.9万元，卫生健康支出25.03万元，住房保障支出81.95万元。</w:t>
      </w:r>
    </w:p>
    <w:p w14:paraId="7CF96E62">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kern w:val="2"/>
          <w:sz w:val="32"/>
          <w:szCs w:val="32"/>
          <w:lang w:val="en-US" w:eastAsia="zh-CN"/>
        </w:rPr>
        <w:t>按经济分类：人员类1083.36万元，公用经费111.05万元，项目559.85万元。</w:t>
      </w:r>
    </w:p>
    <w:p w14:paraId="0078064F">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(三)财政拨款支出情况</w:t>
      </w:r>
    </w:p>
    <w:p w14:paraId="2AEC9EAE">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color w:val="auto"/>
          <w:kern w:val="2"/>
          <w:sz w:val="32"/>
          <w:szCs w:val="32"/>
          <w:lang w:val="en-US" w:eastAsia="zh-CN"/>
        </w:rPr>
      </w:pPr>
      <w:r>
        <w:rPr>
          <w:rFonts w:hint="eastAsia" w:ascii="仿宋_GB2312" w:hAnsi="Times New Roman" w:eastAsia="仿宋_GB2312" w:cs="Times New Roman"/>
          <w:snapToGrid/>
          <w:color w:val="auto"/>
          <w:kern w:val="2"/>
          <w:sz w:val="32"/>
          <w:szCs w:val="32"/>
          <w:lang w:val="en-US" w:eastAsia="zh-CN"/>
        </w:rPr>
        <w:t>财政拨款预算数</w:t>
      </w:r>
      <w:r>
        <w:rPr>
          <w:rFonts w:hint="eastAsia" w:ascii="仿宋_GB2312" w:hAnsi="Times New Roman" w:eastAsia="仿宋_GB2312" w:cs="Times New Roman"/>
          <w:snapToGrid/>
          <w:kern w:val="2"/>
          <w:sz w:val="32"/>
          <w:szCs w:val="32"/>
          <w:lang w:val="en-US" w:eastAsia="zh-CN"/>
        </w:rPr>
        <w:t>1754.26</w:t>
      </w:r>
      <w:r>
        <w:rPr>
          <w:rFonts w:hint="eastAsia" w:ascii="仿宋_GB2312" w:hAnsi="Times New Roman" w:eastAsia="仿宋_GB2312" w:cs="Times New Roman"/>
          <w:snapToGrid/>
          <w:color w:val="auto"/>
          <w:kern w:val="2"/>
          <w:sz w:val="32"/>
          <w:szCs w:val="32"/>
          <w:lang w:val="en-US" w:eastAsia="zh-CN"/>
        </w:rPr>
        <w:t>万元，</w:t>
      </w:r>
      <w:r>
        <w:rPr>
          <w:rFonts w:hint="eastAsia" w:ascii="仿宋_GB2312" w:hAnsi="Times New Roman" w:eastAsia="仿宋_GB2312" w:cs="Times New Roman"/>
          <w:snapToGrid/>
          <w:color w:val="auto"/>
          <w:kern w:val="2"/>
          <w:sz w:val="32"/>
          <w:szCs w:val="32"/>
        </w:rPr>
        <w:t>较上年预算安排</w:t>
      </w:r>
      <w:r>
        <w:rPr>
          <w:rFonts w:hint="eastAsia" w:ascii="仿宋_GB2312" w:hAnsi="Times New Roman" w:eastAsia="仿宋_GB2312" w:cs="Times New Roman"/>
          <w:snapToGrid/>
          <w:kern w:val="2"/>
          <w:sz w:val="32"/>
          <w:szCs w:val="32"/>
          <w:lang w:val="en-US" w:eastAsia="zh-CN"/>
        </w:rPr>
        <w:t>下降4%。</w:t>
      </w:r>
    </w:p>
    <w:p w14:paraId="1362A348">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(四)政府性基金情况</w:t>
      </w:r>
    </w:p>
    <w:p w14:paraId="2FC21EEB">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没有使用政府性基金预算拨款安排的支出。</w:t>
      </w:r>
    </w:p>
    <w:p w14:paraId="7742728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(五)国有资本经营情况</w:t>
      </w:r>
    </w:p>
    <w:p w14:paraId="03F9F91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没有使用国有资本经营预算拨款安排的支出。</w:t>
      </w:r>
    </w:p>
    <w:p w14:paraId="0676ECE1">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(六)机关运行经费等重要事项的说明</w:t>
      </w:r>
    </w:p>
    <w:p w14:paraId="31CEF6CE">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2025年部门机关运行费预算</w:t>
      </w:r>
      <w:r>
        <w:rPr>
          <w:rFonts w:hint="eastAsia" w:ascii="仿宋_GB2312" w:hAnsi="Times New Roman" w:eastAsia="仿宋_GB2312" w:cs="Times New Roman"/>
          <w:snapToGrid/>
          <w:color w:val="auto"/>
          <w:kern w:val="2"/>
          <w:sz w:val="32"/>
          <w:szCs w:val="32"/>
          <w:lang w:val="en-US" w:eastAsia="zh-CN"/>
        </w:rPr>
        <w:t>111.05</w:t>
      </w:r>
      <w:r>
        <w:rPr>
          <w:rFonts w:hint="eastAsia" w:ascii="仿宋_GB2312" w:hAnsi="Times New Roman" w:eastAsia="仿宋_GB2312" w:cs="Times New Roman"/>
          <w:snapToGrid/>
          <w:color w:val="auto"/>
          <w:kern w:val="2"/>
          <w:sz w:val="32"/>
          <w:szCs w:val="32"/>
        </w:rPr>
        <w:t>万元，比2024年预算减少</w:t>
      </w:r>
      <w:r>
        <w:rPr>
          <w:rFonts w:hint="eastAsia" w:ascii="仿宋_GB2312" w:hAnsi="Times New Roman" w:eastAsia="仿宋_GB2312" w:cs="Times New Roman"/>
          <w:snapToGrid/>
          <w:color w:val="auto"/>
          <w:kern w:val="2"/>
          <w:sz w:val="32"/>
          <w:szCs w:val="32"/>
          <w:lang w:val="en-US" w:eastAsia="zh-CN"/>
        </w:rPr>
        <w:t>32.88</w:t>
      </w:r>
      <w:r>
        <w:rPr>
          <w:rFonts w:hint="eastAsia" w:ascii="仿宋_GB2312" w:hAnsi="Times New Roman" w:eastAsia="仿宋_GB2312" w:cs="Times New Roman"/>
          <w:snapToGrid/>
          <w:color w:val="auto"/>
          <w:kern w:val="2"/>
          <w:sz w:val="32"/>
          <w:szCs w:val="32"/>
        </w:rPr>
        <w:t>万元，下降</w:t>
      </w:r>
      <w:r>
        <w:rPr>
          <w:rFonts w:hint="eastAsia" w:ascii="仿宋_GB2312" w:hAnsi="Times New Roman" w:eastAsia="仿宋_GB2312" w:cs="Times New Roman"/>
          <w:snapToGrid/>
          <w:color w:val="auto"/>
          <w:kern w:val="2"/>
          <w:sz w:val="32"/>
          <w:szCs w:val="32"/>
          <w:lang w:val="en-US" w:eastAsia="zh-CN"/>
        </w:rPr>
        <w:t>23</w:t>
      </w:r>
      <w:r>
        <w:rPr>
          <w:rFonts w:hint="eastAsia" w:ascii="仿宋_GB2312" w:hAnsi="Times New Roman" w:eastAsia="仿宋_GB2312" w:cs="Times New Roman"/>
          <w:snapToGrid/>
          <w:color w:val="auto"/>
          <w:kern w:val="2"/>
          <w:sz w:val="32"/>
          <w:szCs w:val="32"/>
        </w:rPr>
        <w:t>%。</w:t>
      </w:r>
    </w:p>
    <w:p w14:paraId="3574C05B">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(七)政府采购情况</w:t>
      </w:r>
    </w:p>
    <w:p w14:paraId="271401CB">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2025年部门所属各单位政府采购总额</w:t>
      </w:r>
      <w:r>
        <w:rPr>
          <w:rFonts w:hint="eastAsia" w:ascii="仿宋_GB2312" w:hAnsi="Times New Roman" w:eastAsia="仿宋_GB2312" w:cs="Times New Roman"/>
          <w:snapToGrid/>
          <w:color w:val="auto"/>
          <w:kern w:val="2"/>
          <w:sz w:val="32"/>
          <w:szCs w:val="32"/>
          <w:lang w:val="en-US" w:eastAsia="zh-CN"/>
        </w:rPr>
        <w:t>2</w:t>
      </w:r>
      <w:r>
        <w:rPr>
          <w:rFonts w:hint="eastAsia" w:ascii="仿宋_GB2312" w:hAnsi="Times New Roman" w:eastAsia="仿宋_GB2312" w:cs="Times New Roman"/>
          <w:snapToGrid/>
          <w:color w:val="auto"/>
          <w:kern w:val="2"/>
          <w:sz w:val="32"/>
          <w:szCs w:val="32"/>
        </w:rPr>
        <w:t>万元，其中:政府采购货物预算</w:t>
      </w:r>
      <w:r>
        <w:rPr>
          <w:rFonts w:hint="eastAsia" w:ascii="仿宋_GB2312" w:hAnsi="Times New Roman" w:eastAsia="仿宋_GB2312" w:cs="Times New Roman"/>
          <w:snapToGrid/>
          <w:color w:val="auto"/>
          <w:kern w:val="2"/>
          <w:sz w:val="32"/>
          <w:szCs w:val="32"/>
          <w:lang w:val="en-US" w:eastAsia="zh-CN"/>
        </w:rPr>
        <w:t>2</w:t>
      </w:r>
      <w:r>
        <w:rPr>
          <w:rFonts w:hint="eastAsia" w:ascii="仿宋_GB2312" w:hAnsi="Times New Roman" w:eastAsia="仿宋_GB2312" w:cs="Times New Roman"/>
          <w:snapToGrid/>
          <w:color w:val="auto"/>
          <w:kern w:val="2"/>
          <w:sz w:val="32"/>
          <w:szCs w:val="32"/>
        </w:rPr>
        <w:t>万元。</w:t>
      </w:r>
    </w:p>
    <w:p w14:paraId="231E8A56">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(八)国有资产占有使用情况</w:t>
      </w:r>
    </w:p>
    <w:p w14:paraId="1407F6B2">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截至2024年12月31日，</w:t>
      </w:r>
      <w:r>
        <w:rPr>
          <w:rFonts w:hint="eastAsia" w:ascii="仿宋_GB2312" w:hAnsi="Times New Roman" w:eastAsia="仿宋_GB2312" w:cs="Times New Roman"/>
          <w:snapToGrid/>
          <w:color w:val="auto"/>
          <w:kern w:val="2"/>
          <w:sz w:val="32"/>
          <w:szCs w:val="32"/>
          <w:lang w:val="en-US" w:eastAsia="zh-CN"/>
        </w:rPr>
        <w:t>本</w:t>
      </w:r>
      <w:r>
        <w:rPr>
          <w:rFonts w:hint="eastAsia" w:ascii="仿宋_GB2312" w:hAnsi="Times New Roman" w:eastAsia="仿宋_GB2312" w:cs="Times New Roman"/>
          <w:snapToGrid/>
          <w:color w:val="auto"/>
          <w:kern w:val="2"/>
          <w:sz w:val="32"/>
          <w:szCs w:val="32"/>
        </w:rPr>
        <w:t>部门</w:t>
      </w:r>
      <w:r>
        <w:rPr>
          <w:rFonts w:hint="eastAsia" w:ascii="仿宋_GB2312" w:hAnsi="Times New Roman" w:eastAsia="仿宋_GB2312" w:cs="Times New Roman"/>
          <w:snapToGrid/>
          <w:color w:val="auto"/>
          <w:kern w:val="2"/>
          <w:sz w:val="32"/>
          <w:szCs w:val="32"/>
          <w:lang w:val="en-US" w:eastAsia="zh-CN"/>
        </w:rPr>
        <w:t>无公务用车</w:t>
      </w:r>
      <w:r>
        <w:rPr>
          <w:rFonts w:hint="eastAsia" w:ascii="仿宋_GB2312" w:hAnsi="Times New Roman" w:eastAsia="仿宋_GB2312" w:cs="Times New Roman"/>
          <w:snapToGrid/>
          <w:color w:val="auto"/>
          <w:kern w:val="2"/>
          <w:sz w:val="32"/>
          <w:szCs w:val="32"/>
        </w:rPr>
        <w:t>。</w:t>
      </w:r>
    </w:p>
    <w:p w14:paraId="260BE5EF">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color w:val="auto"/>
          <w:kern w:val="2"/>
          <w:sz w:val="32"/>
          <w:szCs w:val="32"/>
          <w:lang w:val="en-US" w:eastAsia="zh-CN"/>
        </w:rPr>
      </w:pPr>
      <w:r>
        <w:rPr>
          <w:rFonts w:hint="eastAsia" w:ascii="仿宋_GB2312" w:hAnsi="Times New Roman" w:eastAsia="仿宋_GB2312" w:cs="Times New Roman"/>
          <w:snapToGrid/>
          <w:color w:val="auto"/>
          <w:kern w:val="2"/>
          <w:sz w:val="32"/>
          <w:szCs w:val="32"/>
        </w:rPr>
        <w:t>2025年部门预算</w:t>
      </w:r>
      <w:r>
        <w:rPr>
          <w:rFonts w:hint="eastAsia" w:ascii="仿宋_GB2312" w:hAnsi="Times New Roman" w:eastAsia="仿宋_GB2312" w:cs="Times New Roman"/>
          <w:snapToGrid/>
          <w:color w:val="auto"/>
          <w:kern w:val="2"/>
          <w:sz w:val="32"/>
          <w:szCs w:val="32"/>
          <w:lang w:val="en-US" w:eastAsia="zh-CN"/>
        </w:rPr>
        <w:t>未</w:t>
      </w:r>
      <w:r>
        <w:rPr>
          <w:rFonts w:hint="eastAsia" w:ascii="仿宋_GB2312" w:hAnsi="Times New Roman" w:eastAsia="仿宋_GB2312" w:cs="Times New Roman"/>
          <w:snapToGrid/>
          <w:color w:val="auto"/>
          <w:kern w:val="2"/>
          <w:sz w:val="32"/>
          <w:szCs w:val="32"/>
        </w:rPr>
        <w:t>安排购置车辆，</w:t>
      </w:r>
      <w:r>
        <w:rPr>
          <w:rFonts w:hint="eastAsia" w:ascii="仿宋_GB2312" w:hAnsi="Times New Roman" w:eastAsia="仿宋_GB2312" w:cs="Times New Roman"/>
          <w:snapToGrid/>
          <w:color w:val="auto"/>
          <w:kern w:val="2"/>
          <w:sz w:val="32"/>
          <w:szCs w:val="32"/>
          <w:lang w:val="en-US" w:eastAsia="zh-CN"/>
        </w:rPr>
        <w:t>未</w:t>
      </w:r>
      <w:r>
        <w:rPr>
          <w:rFonts w:hint="eastAsia" w:ascii="仿宋_GB2312" w:hAnsi="Times New Roman" w:eastAsia="仿宋_GB2312" w:cs="Times New Roman"/>
          <w:snapToGrid/>
          <w:color w:val="auto"/>
          <w:kern w:val="2"/>
          <w:sz w:val="32"/>
          <w:szCs w:val="32"/>
        </w:rPr>
        <w:t>安排购置单位价值200万元以上大型设备</w:t>
      </w:r>
      <w:r>
        <w:rPr>
          <w:rFonts w:hint="eastAsia" w:ascii="仿宋_GB2312" w:hAnsi="Times New Roman" w:eastAsia="仿宋_GB2312" w:cs="Times New Roman"/>
          <w:snapToGrid/>
          <w:color w:val="auto"/>
          <w:kern w:val="2"/>
          <w:sz w:val="32"/>
          <w:szCs w:val="32"/>
          <w:lang w:val="en-US" w:eastAsia="zh-CN"/>
        </w:rPr>
        <w:t>。</w:t>
      </w:r>
    </w:p>
    <w:p w14:paraId="13C4822F">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(九)项目情况说明</w:t>
      </w:r>
    </w:p>
    <w:p w14:paraId="3657839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1、</w:t>
      </w:r>
      <w:r>
        <w:rPr>
          <w:rFonts w:hint="eastAsia" w:ascii="仿宋_GB2312" w:hAnsi="Times New Roman" w:eastAsia="仿宋_GB2312" w:cs="Times New Roman"/>
          <w:snapToGrid/>
          <w:kern w:val="2"/>
          <w:sz w:val="32"/>
          <w:szCs w:val="32"/>
          <w:lang w:val="en-US" w:eastAsia="zh-CN"/>
        </w:rPr>
        <w:t>2025年</w:t>
      </w:r>
      <w:r>
        <w:rPr>
          <w:rFonts w:hint="eastAsia" w:ascii="仿宋_GB2312" w:hAnsi="Times New Roman" w:eastAsia="仿宋_GB2312" w:cs="Times New Roman"/>
          <w:snapToGrid/>
          <w:kern w:val="2"/>
          <w:sz w:val="32"/>
          <w:szCs w:val="32"/>
        </w:rPr>
        <w:t>综合治税平台</w:t>
      </w:r>
      <w:r>
        <w:rPr>
          <w:rFonts w:hint="eastAsia" w:ascii="仿宋_GB2312" w:hAnsi="Times New Roman" w:eastAsia="仿宋_GB2312" w:cs="Times New Roman"/>
          <w:snapToGrid/>
          <w:kern w:val="2"/>
          <w:sz w:val="32"/>
          <w:szCs w:val="32"/>
          <w:lang w:val="en-US" w:eastAsia="zh-CN"/>
        </w:rPr>
        <w:t>运营</w:t>
      </w:r>
      <w:r>
        <w:rPr>
          <w:rFonts w:hint="eastAsia" w:ascii="仿宋_GB2312" w:hAnsi="Times New Roman" w:eastAsia="仿宋_GB2312" w:cs="Times New Roman"/>
          <w:snapToGrid/>
          <w:kern w:val="2"/>
          <w:sz w:val="32"/>
          <w:szCs w:val="32"/>
        </w:rPr>
        <w:t>服务项目</w:t>
      </w:r>
    </w:p>
    <w:p w14:paraId="024E70B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推进</w:t>
      </w:r>
      <w:r>
        <w:rPr>
          <w:rFonts w:hint="eastAsia" w:ascii="仿宋_GB2312" w:hAnsi="Times New Roman" w:eastAsia="仿宋_GB2312" w:cs="Times New Roman"/>
          <w:snapToGrid/>
          <w:kern w:val="2"/>
          <w:sz w:val="32"/>
          <w:szCs w:val="32"/>
        </w:rPr>
        <w:t>综合治税平台</w:t>
      </w:r>
      <w:r>
        <w:rPr>
          <w:rFonts w:hint="eastAsia" w:ascii="仿宋_GB2312" w:hAnsi="Times New Roman" w:eastAsia="仿宋_GB2312" w:cs="Times New Roman"/>
          <w:snapToGrid/>
          <w:kern w:val="2"/>
          <w:sz w:val="32"/>
          <w:szCs w:val="32"/>
          <w:lang w:val="en-US" w:eastAsia="zh-CN"/>
        </w:rPr>
        <w:t>运营</w:t>
      </w:r>
      <w:r>
        <w:rPr>
          <w:rFonts w:hint="eastAsia" w:ascii="仿宋_GB2312" w:hAnsi="Times New Roman" w:eastAsia="仿宋_GB2312" w:cs="Times New Roman"/>
          <w:snapToGrid/>
          <w:kern w:val="2"/>
          <w:sz w:val="32"/>
          <w:szCs w:val="32"/>
        </w:rPr>
        <w:t>服务</w:t>
      </w:r>
      <w:r>
        <w:rPr>
          <w:rFonts w:hint="eastAsia" w:ascii="仿宋_GB2312" w:hAnsi="Times New Roman" w:eastAsia="仿宋_GB2312" w:cs="Times New Roman"/>
          <w:snapToGrid/>
          <w:kern w:val="2"/>
          <w:sz w:val="32"/>
          <w:szCs w:val="32"/>
          <w:lang w:eastAsia="zh-CN"/>
        </w:rPr>
        <w:t>。</w:t>
      </w:r>
    </w:p>
    <w:p w14:paraId="5A9A910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带动全县</w:t>
      </w:r>
      <w:r>
        <w:rPr>
          <w:rFonts w:hint="eastAsia" w:ascii="仿宋_GB2312" w:hAnsi="Times New Roman" w:eastAsia="仿宋_GB2312" w:cs="Times New Roman"/>
          <w:snapToGrid/>
          <w:kern w:val="2"/>
          <w:sz w:val="32"/>
          <w:szCs w:val="32"/>
        </w:rPr>
        <w:t>综合治税平台</w:t>
      </w:r>
      <w:r>
        <w:rPr>
          <w:rFonts w:hint="eastAsia" w:ascii="仿宋_GB2312" w:hAnsi="Times New Roman" w:eastAsia="仿宋_GB2312" w:cs="Times New Roman"/>
          <w:snapToGrid/>
          <w:kern w:val="2"/>
          <w:sz w:val="32"/>
          <w:szCs w:val="32"/>
          <w:lang w:val="en-US" w:eastAsia="zh-CN"/>
        </w:rPr>
        <w:t>运营</w:t>
      </w:r>
      <w:r>
        <w:rPr>
          <w:rFonts w:hint="eastAsia" w:ascii="仿宋_GB2312" w:hAnsi="Times New Roman" w:eastAsia="仿宋_GB2312" w:cs="Times New Roman"/>
          <w:snapToGrid/>
          <w:kern w:val="2"/>
          <w:sz w:val="32"/>
          <w:szCs w:val="32"/>
        </w:rPr>
        <w:t>服务</w:t>
      </w:r>
      <w:r>
        <w:rPr>
          <w:rFonts w:hint="eastAsia" w:ascii="仿宋_GB2312" w:hAnsi="Times New Roman" w:eastAsia="仿宋_GB2312" w:cs="Times New Roman"/>
          <w:snapToGrid/>
          <w:kern w:val="2"/>
          <w:sz w:val="32"/>
          <w:szCs w:val="32"/>
          <w:lang w:eastAsia="zh-CN"/>
        </w:rPr>
        <w:t>。</w:t>
      </w:r>
    </w:p>
    <w:p w14:paraId="718A2891">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浮梁县财政局</w:t>
      </w:r>
    </w:p>
    <w:p w14:paraId="231F741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以</w:t>
      </w:r>
      <w:r>
        <w:rPr>
          <w:rFonts w:hint="eastAsia" w:ascii="仿宋_GB2312" w:hAnsi="Times New Roman" w:eastAsia="仿宋_GB2312" w:cs="Times New Roman"/>
          <w:snapToGrid/>
          <w:kern w:val="2"/>
          <w:sz w:val="32"/>
          <w:szCs w:val="32"/>
        </w:rPr>
        <w:t>综合治税平台</w:t>
      </w:r>
      <w:r>
        <w:rPr>
          <w:rFonts w:hint="eastAsia" w:ascii="仿宋_GB2312" w:hAnsi="Times New Roman" w:eastAsia="仿宋_GB2312" w:cs="Times New Roman"/>
          <w:snapToGrid/>
          <w:kern w:val="2"/>
          <w:sz w:val="32"/>
          <w:szCs w:val="32"/>
          <w:lang w:val="en-US" w:eastAsia="zh-CN"/>
        </w:rPr>
        <w:t>运营</w:t>
      </w:r>
      <w:r>
        <w:rPr>
          <w:rFonts w:hint="eastAsia" w:ascii="仿宋_GB2312" w:hAnsi="Times New Roman" w:eastAsia="仿宋_GB2312" w:cs="Times New Roman"/>
          <w:snapToGrid/>
          <w:kern w:val="2"/>
          <w:sz w:val="32"/>
          <w:szCs w:val="32"/>
        </w:rPr>
        <w:t>服务</w:t>
      </w:r>
      <w:r>
        <w:rPr>
          <w:rFonts w:hint="eastAsia" w:ascii="仿宋_GB2312" w:hAnsi="Times New Roman" w:eastAsia="仿宋_GB2312" w:cs="Times New Roman"/>
          <w:snapToGrid/>
          <w:kern w:val="2"/>
          <w:sz w:val="32"/>
          <w:szCs w:val="32"/>
          <w:lang w:val="en-US" w:eastAsia="zh-CN"/>
        </w:rPr>
        <w:t>为中心</w:t>
      </w:r>
      <w:r>
        <w:rPr>
          <w:rFonts w:hint="eastAsia" w:ascii="仿宋_GB2312" w:hAnsi="Times New Roman" w:eastAsia="仿宋_GB2312" w:cs="Times New Roman"/>
          <w:snapToGrid/>
          <w:kern w:val="2"/>
          <w:sz w:val="32"/>
          <w:szCs w:val="32"/>
          <w:lang w:eastAsia="zh-CN"/>
        </w:rPr>
        <w:t>。</w:t>
      </w:r>
    </w:p>
    <w:p w14:paraId="7AE68465">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每年</w:t>
      </w:r>
    </w:p>
    <w:p w14:paraId="24DD9E05">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10万</w:t>
      </w:r>
    </w:p>
    <w:p w14:paraId="11F31AF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：平台系统故障排除，升级。</w:t>
      </w:r>
    </w:p>
    <w:p w14:paraId="23B794D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w:t>
      </w:r>
      <w:r>
        <w:rPr>
          <w:rFonts w:hint="eastAsia" w:ascii="仿宋_GB2312" w:hAnsi="Times New Roman" w:eastAsia="仿宋_GB2312" w:cs="Times New Roman"/>
          <w:snapToGrid/>
          <w:kern w:val="2"/>
          <w:sz w:val="32"/>
          <w:szCs w:val="32"/>
          <w:lang w:val="en-US" w:eastAsia="zh-CN"/>
        </w:rPr>
        <w:t>2025年</w:t>
      </w:r>
      <w:r>
        <w:rPr>
          <w:rFonts w:hint="eastAsia" w:ascii="仿宋_GB2312" w:hAnsi="Times New Roman" w:eastAsia="仿宋_GB2312" w:cs="Times New Roman"/>
          <w:snapToGrid/>
          <w:kern w:val="2"/>
          <w:sz w:val="32"/>
          <w:szCs w:val="32"/>
        </w:rPr>
        <w:t>全县财政预算一体化运营</w:t>
      </w:r>
      <w:r>
        <w:rPr>
          <w:rFonts w:hint="eastAsia" w:ascii="仿宋_GB2312" w:hAnsi="Times New Roman" w:eastAsia="仿宋_GB2312" w:cs="Times New Roman"/>
          <w:snapToGrid/>
          <w:kern w:val="2"/>
          <w:sz w:val="32"/>
          <w:szCs w:val="32"/>
          <w:lang w:val="en-US" w:eastAsia="zh-CN"/>
        </w:rPr>
        <w:t>维护</w:t>
      </w:r>
      <w:r>
        <w:rPr>
          <w:rFonts w:hint="eastAsia" w:ascii="仿宋_GB2312" w:hAnsi="Times New Roman" w:eastAsia="仿宋_GB2312" w:cs="Times New Roman"/>
          <w:snapToGrid/>
          <w:kern w:val="2"/>
          <w:sz w:val="32"/>
          <w:szCs w:val="32"/>
        </w:rPr>
        <w:t>、全县会计核算服务项目</w:t>
      </w:r>
    </w:p>
    <w:p w14:paraId="0112DC8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推进</w:t>
      </w:r>
      <w:r>
        <w:rPr>
          <w:rFonts w:hint="eastAsia" w:ascii="仿宋_GB2312" w:hAnsi="Times New Roman" w:eastAsia="仿宋_GB2312" w:cs="Times New Roman"/>
          <w:snapToGrid/>
          <w:kern w:val="2"/>
          <w:sz w:val="32"/>
          <w:szCs w:val="32"/>
        </w:rPr>
        <w:t>全县财政预算一体化运营</w:t>
      </w:r>
      <w:r>
        <w:rPr>
          <w:rFonts w:hint="eastAsia" w:ascii="仿宋_GB2312" w:hAnsi="Times New Roman" w:eastAsia="仿宋_GB2312" w:cs="Times New Roman"/>
          <w:snapToGrid/>
          <w:kern w:val="2"/>
          <w:sz w:val="32"/>
          <w:szCs w:val="32"/>
          <w:lang w:val="en-US" w:eastAsia="zh-CN"/>
        </w:rPr>
        <w:t>维护</w:t>
      </w:r>
      <w:r>
        <w:rPr>
          <w:rFonts w:hint="eastAsia" w:ascii="仿宋_GB2312" w:hAnsi="Times New Roman" w:eastAsia="仿宋_GB2312" w:cs="Times New Roman"/>
          <w:snapToGrid/>
          <w:kern w:val="2"/>
          <w:sz w:val="32"/>
          <w:szCs w:val="32"/>
        </w:rPr>
        <w:t>、全县会计核算服务项目</w:t>
      </w:r>
      <w:r>
        <w:rPr>
          <w:rFonts w:hint="eastAsia" w:ascii="仿宋_GB2312" w:hAnsi="Times New Roman" w:eastAsia="仿宋_GB2312" w:cs="Times New Roman"/>
          <w:snapToGrid/>
          <w:kern w:val="2"/>
          <w:sz w:val="32"/>
          <w:szCs w:val="32"/>
          <w:lang w:eastAsia="zh-CN"/>
        </w:rPr>
        <w:t>。</w:t>
      </w:r>
    </w:p>
    <w:p w14:paraId="2E63AD5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带动全县</w:t>
      </w:r>
      <w:r>
        <w:rPr>
          <w:rFonts w:hint="eastAsia" w:ascii="仿宋_GB2312" w:hAnsi="Times New Roman" w:eastAsia="仿宋_GB2312" w:cs="Times New Roman"/>
          <w:snapToGrid/>
          <w:kern w:val="2"/>
          <w:sz w:val="32"/>
          <w:szCs w:val="32"/>
        </w:rPr>
        <w:t>全县财政预算一体化运营</w:t>
      </w:r>
      <w:r>
        <w:rPr>
          <w:rFonts w:hint="eastAsia" w:ascii="仿宋_GB2312" w:hAnsi="Times New Roman" w:eastAsia="仿宋_GB2312" w:cs="Times New Roman"/>
          <w:snapToGrid/>
          <w:kern w:val="2"/>
          <w:sz w:val="32"/>
          <w:szCs w:val="32"/>
          <w:lang w:val="en-US" w:eastAsia="zh-CN"/>
        </w:rPr>
        <w:t>维护</w:t>
      </w:r>
      <w:r>
        <w:rPr>
          <w:rFonts w:hint="eastAsia" w:ascii="仿宋_GB2312" w:hAnsi="Times New Roman" w:eastAsia="仿宋_GB2312" w:cs="Times New Roman"/>
          <w:snapToGrid/>
          <w:kern w:val="2"/>
          <w:sz w:val="32"/>
          <w:szCs w:val="32"/>
        </w:rPr>
        <w:t>、全县会计核算服务项目</w:t>
      </w:r>
      <w:r>
        <w:rPr>
          <w:rFonts w:hint="eastAsia" w:ascii="仿宋_GB2312" w:hAnsi="Times New Roman" w:eastAsia="仿宋_GB2312" w:cs="Times New Roman"/>
          <w:snapToGrid/>
          <w:kern w:val="2"/>
          <w:sz w:val="32"/>
          <w:szCs w:val="32"/>
          <w:lang w:eastAsia="zh-CN"/>
        </w:rPr>
        <w:t>。</w:t>
      </w:r>
    </w:p>
    <w:p w14:paraId="1F948164">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浮梁县财政局</w:t>
      </w:r>
    </w:p>
    <w:p w14:paraId="591E598B">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以</w:t>
      </w:r>
      <w:r>
        <w:rPr>
          <w:rFonts w:hint="eastAsia" w:ascii="仿宋_GB2312" w:hAnsi="Times New Roman" w:eastAsia="仿宋_GB2312" w:cs="Times New Roman"/>
          <w:snapToGrid/>
          <w:kern w:val="2"/>
          <w:sz w:val="32"/>
          <w:szCs w:val="32"/>
        </w:rPr>
        <w:t>全县财政预算一体化运营</w:t>
      </w:r>
      <w:r>
        <w:rPr>
          <w:rFonts w:hint="eastAsia" w:ascii="仿宋_GB2312" w:hAnsi="Times New Roman" w:eastAsia="仿宋_GB2312" w:cs="Times New Roman"/>
          <w:snapToGrid/>
          <w:kern w:val="2"/>
          <w:sz w:val="32"/>
          <w:szCs w:val="32"/>
          <w:lang w:val="en-US" w:eastAsia="zh-CN"/>
        </w:rPr>
        <w:t>维护</w:t>
      </w:r>
      <w:r>
        <w:rPr>
          <w:rFonts w:hint="eastAsia" w:ascii="仿宋_GB2312" w:hAnsi="Times New Roman" w:eastAsia="仿宋_GB2312" w:cs="Times New Roman"/>
          <w:snapToGrid/>
          <w:kern w:val="2"/>
          <w:sz w:val="32"/>
          <w:szCs w:val="32"/>
        </w:rPr>
        <w:t>、全县会计核算服务项目</w:t>
      </w:r>
      <w:r>
        <w:rPr>
          <w:rFonts w:hint="eastAsia" w:ascii="仿宋_GB2312" w:hAnsi="Times New Roman" w:eastAsia="仿宋_GB2312" w:cs="Times New Roman"/>
          <w:snapToGrid/>
          <w:kern w:val="2"/>
          <w:sz w:val="32"/>
          <w:szCs w:val="32"/>
          <w:lang w:val="en-US" w:eastAsia="zh-CN"/>
        </w:rPr>
        <w:t>为中心</w:t>
      </w:r>
      <w:r>
        <w:rPr>
          <w:rFonts w:hint="eastAsia" w:ascii="仿宋_GB2312" w:hAnsi="Times New Roman" w:eastAsia="仿宋_GB2312" w:cs="Times New Roman"/>
          <w:snapToGrid/>
          <w:kern w:val="2"/>
          <w:sz w:val="32"/>
          <w:szCs w:val="32"/>
          <w:lang w:eastAsia="zh-CN"/>
        </w:rPr>
        <w:t>。</w:t>
      </w:r>
    </w:p>
    <w:p w14:paraId="30A6CC80">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每年</w:t>
      </w:r>
    </w:p>
    <w:p w14:paraId="44D43D1A">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99万</w:t>
      </w:r>
    </w:p>
    <w:p w14:paraId="0E35750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：全县财政预算一体化运营</w:t>
      </w:r>
      <w:r>
        <w:rPr>
          <w:rFonts w:hint="eastAsia" w:ascii="仿宋_GB2312" w:hAnsi="Times New Roman" w:eastAsia="仿宋_GB2312" w:cs="Times New Roman"/>
          <w:snapToGrid/>
          <w:kern w:val="2"/>
          <w:sz w:val="32"/>
          <w:szCs w:val="32"/>
          <w:lang w:val="en-US" w:eastAsia="zh-CN"/>
        </w:rPr>
        <w:t>维护</w:t>
      </w:r>
      <w:r>
        <w:rPr>
          <w:rFonts w:hint="eastAsia" w:ascii="仿宋_GB2312" w:hAnsi="Times New Roman" w:eastAsia="仿宋_GB2312" w:cs="Times New Roman"/>
          <w:snapToGrid/>
          <w:kern w:val="2"/>
          <w:sz w:val="32"/>
          <w:szCs w:val="32"/>
          <w:lang w:eastAsia="zh-CN"/>
        </w:rPr>
        <w:t>、全县会计核算服务，覆盖权限范围。</w:t>
      </w:r>
    </w:p>
    <w:p w14:paraId="798B87B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val="en-US" w:eastAsia="zh-CN"/>
        </w:rPr>
        <w:t>2025年</w:t>
      </w:r>
      <w:r>
        <w:rPr>
          <w:rFonts w:hint="eastAsia" w:ascii="仿宋_GB2312" w:hAnsi="Times New Roman" w:eastAsia="仿宋_GB2312" w:cs="Times New Roman"/>
          <w:snapToGrid/>
          <w:kern w:val="2"/>
          <w:sz w:val="32"/>
          <w:szCs w:val="32"/>
        </w:rPr>
        <w:t>乡镇财政培训项目</w:t>
      </w:r>
    </w:p>
    <w:p w14:paraId="10B823B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推进</w:t>
      </w:r>
      <w:r>
        <w:rPr>
          <w:rFonts w:hint="eastAsia" w:ascii="仿宋_GB2312" w:hAnsi="Times New Roman" w:eastAsia="仿宋_GB2312" w:cs="Times New Roman"/>
          <w:snapToGrid/>
          <w:kern w:val="2"/>
          <w:sz w:val="32"/>
          <w:szCs w:val="32"/>
        </w:rPr>
        <w:t>乡镇财政培训</w:t>
      </w:r>
      <w:r>
        <w:rPr>
          <w:rFonts w:hint="eastAsia" w:ascii="仿宋_GB2312" w:hAnsi="Times New Roman" w:eastAsia="仿宋_GB2312" w:cs="Times New Roman"/>
          <w:snapToGrid/>
          <w:kern w:val="2"/>
          <w:sz w:val="32"/>
          <w:szCs w:val="32"/>
          <w:lang w:eastAsia="zh-CN"/>
        </w:rPr>
        <w:t>。</w:t>
      </w:r>
    </w:p>
    <w:p w14:paraId="0683863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带动全县</w:t>
      </w:r>
      <w:r>
        <w:rPr>
          <w:rFonts w:hint="eastAsia" w:ascii="仿宋_GB2312" w:hAnsi="Times New Roman" w:eastAsia="仿宋_GB2312" w:cs="Times New Roman"/>
          <w:snapToGrid/>
          <w:kern w:val="2"/>
          <w:sz w:val="32"/>
          <w:szCs w:val="32"/>
        </w:rPr>
        <w:t>乡镇财政培训</w:t>
      </w:r>
      <w:r>
        <w:rPr>
          <w:rFonts w:hint="eastAsia" w:ascii="仿宋_GB2312" w:hAnsi="Times New Roman" w:eastAsia="仿宋_GB2312" w:cs="Times New Roman"/>
          <w:snapToGrid/>
          <w:kern w:val="2"/>
          <w:sz w:val="32"/>
          <w:szCs w:val="32"/>
          <w:lang w:eastAsia="zh-CN"/>
        </w:rPr>
        <w:t>。</w:t>
      </w:r>
    </w:p>
    <w:p w14:paraId="2AA59B2A">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浮梁县财政局</w:t>
      </w:r>
    </w:p>
    <w:p w14:paraId="171414E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以</w:t>
      </w:r>
      <w:r>
        <w:rPr>
          <w:rFonts w:hint="eastAsia" w:ascii="仿宋_GB2312" w:hAnsi="Times New Roman" w:eastAsia="仿宋_GB2312" w:cs="Times New Roman"/>
          <w:snapToGrid/>
          <w:kern w:val="2"/>
          <w:sz w:val="32"/>
          <w:szCs w:val="32"/>
        </w:rPr>
        <w:t>乡镇财政培训</w:t>
      </w:r>
      <w:r>
        <w:rPr>
          <w:rFonts w:hint="eastAsia" w:ascii="仿宋_GB2312" w:hAnsi="Times New Roman" w:eastAsia="仿宋_GB2312" w:cs="Times New Roman"/>
          <w:snapToGrid/>
          <w:kern w:val="2"/>
          <w:sz w:val="32"/>
          <w:szCs w:val="32"/>
          <w:lang w:val="en-US" w:eastAsia="zh-CN"/>
        </w:rPr>
        <w:t>为中心</w:t>
      </w:r>
      <w:r>
        <w:rPr>
          <w:rFonts w:hint="eastAsia" w:ascii="仿宋_GB2312" w:hAnsi="Times New Roman" w:eastAsia="仿宋_GB2312" w:cs="Times New Roman"/>
          <w:snapToGrid/>
          <w:kern w:val="2"/>
          <w:sz w:val="32"/>
          <w:szCs w:val="32"/>
          <w:lang w:eastAsia="zh-CN"/>
        </w:rPr>
        <w:t>。</w:t>
      </w:r>
    </w:p>
    <w:p w14:paraId="60FF539D">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每年</w:t>
      </w:r>
    </w:p>
    <w:p w14:paraId="0982CFC1">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10万</w:t>
      </w:r>
    </w:p>
    <w:p w14:paraId="37BB1A3B">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：各财政所财政工作者培训。</w:t>
      </w:r>
    </w:p>
    <w:p w14:paraId="3E45C5E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val="en-US" w:eastAsia="zh-CN"/>
        </w:rPr>
        <w:t>2025年</w:t>
      </w:r>
      <w:r>
        <w:rPr>
          <w:rFonts w:hint="eastAsia" w:ascii="仿宋_GB2312" w:hAnsi="Times New Roman" w:eastAsia="仿宋_GB2312" w:cs="Times New Roman"/>
          <w:snapToGrid/>
          <w:kern w:val="2"/>
          <w:sz w:val="32"/>
          <w:szCs w:val="32"/>
        </w:rPr>
        <w:t>全县绩效评价、监控及培训等专项项目</w:t>
      </w:r>
    </w:p>
    <w:p w14:paraId="2F335BB3">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推进</w:t>
      </w:r>
      <w:r>
        <w:rPr>
          <w:rFonts w:hint="eastAsia" w:ascii="仿宋_GB2312" w:hAnsi="Times New Roman" w:eastAsia="仿宋_GB2312" w:cs="Times New Roman"/>
          <w:snapToGrid/>
          <w:kern w:val="2"/>
          <w:sz w:val="32"/>
          <w:szCs w:val="32"/>
        </w:rPr>
        <w:t>全县绩效评价、监控及培训等专项</w:t>
      </w:r>
      <w:r>
        <w:rPr>
          <w:rFonts w:hint="eastAsia" w:ascii="仿宋_GB2312" w:hAnsi="Times New Roman" w:eastAsia="仿宋_GB2312" w:cs="Times New Roman"/>
          <w:snapToGrid/>
          <w:kern w:val="2"/>
          <w:sz w:val="32"/>
          <w:szCs w:val="32"/>
          <w:lang w:eastAsia="zh-CN"/>
        </w:rPr>
        <w:t>。</w:t>
      </w:r>
    </w:p>
    <w:p w14:paraId="782D080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带动全县</w:t>
      </w:r>
      <w:r>
        <w:rPr>
          <w:rFonts w:hint="eastAsia" w:ascii="仿宋_GB2312" w:hAnsi="Times New Roman" w:eastAsia="仿宋_GB2312" w:cs="Times New Roman"/>
          <w:snapToGrid/>
          <w:kern w:val="2"/>
          <w:sz w:val="32"/>
          <w:szCs w:val="32"/>
        </w:rPr>
        <w:t>全县绩效评价、监控及培训等专项</w:t>
      </w:r>
      <w:r>
        <w:rPr>
          <w:rFonts w:hint="eastAsia" w:ascii="仿宋_GB2312" w:hAnsi="Times New Roman" w:eastAsia="仿宋_GB2312" w:cs="Times New Roman"/>
          <w:snapToGrid/>
          <w:kern w:val="2"/>
          <w:sz w:val="32"/>
          <w:szCs w:val="32"/>
          <w:lang w:eastAsia="zh-CN"/>
        </w:rPr>
        <w:t>。</w:t>
      </w:r>
    </w:p>
    <w:p w14:paraId="7ED3FE04">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浮梁县财政局</w:t>
      </w:r>
    </w:p>
    <w:p w14:paraId="1664EA8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以</w:t>
      </w:r>
      <w:r>
        <w:rPr>
          <w:rFonts w:hint="eastAsia" w:ascii="仿宋_GB2312" w:hAnsi="Times New Roman" w:eastAsia="仿宋_GB2312" w:cs="Times New Roman"/>
          <w:snapToGrid/>
          <w:kern w:val="2"/>
          <w:sz w:val="32"/>
          <w:szCs w:val="32"/>
        </w:rPr>
        <w:t>全县绩效评价、监控及培训等专项</w:t>
      </w:r>
      <w:r>
        <w:rPr>
          <w:rFonts w:hint="eastAsia" w:ascii="仿宋_GB2312" w:hAnsi="Times New Roman" w:eastAsia="仿宋_GB2312" w:cs="Times New Roman"/>
          <w:snapToGrid/>
          <w:kern w:val="2"/>
          <w:sz w:val="32"/>
          <w:szCs w:val="32"/>
          <w:lang w:val="en-US" w:eastAsia="zh-CN"/>
        </w:rPr>
        <w:t>为中心</w:t>
      </w:r>
      <w:r>
        <w:rPr>
          <w:rFonts w:hint="eastAsia" w:ascii="仿宋_GB2312" w:hAnsi="Times New Roman" w:eastAsia="仿宋_GB2312" w:cs="Times New Roman"/>
          <w:snapToGrid/>
          <w:kern w:val="2"/>
          <w:sz w:val="32"/>
          <w:szCs w:val="32"/>
          <w:lang w:eastAsia="zh-CN"/>
        </w:rPr>
        <w:t>。</w:t>
      </w:r>
    </w:p>
    <w:p w14:paraId="75C0B419">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每年</w:t>
      </w:r>
    </w:p>
    <w:p w14:paraId="68D1FC74">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120万</w:t>
      </w:r>
    </w:p>
    <w:p w14:paraId="44FFEBE3">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：完成各项绩效工作，并通过多渠道宣传我县绩效工作开展情况。</w:t>
      </w:r>
    </w:p>
    <w:p w14:paraId="2907164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val="en-US" w:eastAsia="zh-CN"/>
        </w:rPr>
        <w:t>2025年</w:t>
      </w:r>
      <w:r>
        <w:rPr>
          <w:rFonts w:hint="eastAsia" w:ascii="仿宋_GB2312" w:hAnsi="Times New Roman" w:eastAsia="仿宋_GB2312" w:cs="Times New Roman"/>
          <w:snapToGrid/>
          <w:kern w:val="2"/>
          <w:sz w:val="32"/>
          <w:szCs w:val="32"/>
        </w:rPr>
        <w:t>财政投资项目预算评审委托评审业务费项目</w:t>
      </w:r>
    </w:p>
    <w:p w14:paraId="3637A662">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推进</w:t>
      </w:r>
      <w:r>
        <w:rPr>
          <w:rFonts w:hint="eastAsia" w:ascii="仿宋_GB2312" w:hAnsi="Times New Roman" w:eastAsia="仿宋_GB2312" w:cs="Times New Roman"/>
          <w:snapToGrid/>
          <w:kern w:val="2"/>
          <w:sz w:val="32"/>
          <w:szCs w:val="32"/>
        </w:rPr>
        <w:t>财政投资项目预算评审委托评审业务费</w:t>
      </w:r>
      <w:r>
        <w:rPr>
          <w:rFonts w:hint="eastAsia" w:ascii="仿宋_GB2312" w:hAnsi="Times New Roman" w:eastAsia="仿宋_GB2312" w:cs="Times New Roman"/>
          <w:snapToGrid/>
          <w:kern w:val="2"/>
          <w:sz w:val="32"/>
          <w:szCs w:val="32"/>
          <w:lang w:eastAsia="zh-CN"/>
        </w:rPr>
        <w:t>。</w:t>
      </w:r>
    </w:p>
    <w:p w14:paraId="3568807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带动全县</w:t>
      </w:r>
      <w:r>
        <w:rPr>
          <w:rFonts w:hint="eastAsia" w:ascii="仿宋_GB2312" w:hAnsi="Times New Roman" w:eastAsia="仿宋_GB2312" w:cs="Times New Roman"/>
          <w:snapToGrid/>
          <w:kern w:val="2"/>
          <w:sz w:val="32"/>
          <w:szCs w:val="32"/>
        </w:rPr>
        <w:t>财政投资项目预算评审委托评审业务费</w:t>
      </w:r>
      <w:r>
        <w:rPr>
          <w:rFonts w:hint="eastAsia" w:ascii="仿宋_GB2312" w:hAnsi="Times New Roman" w:eastAsia="仿宋_GB2312" w:cs="Times New Roman"/>
          <w:snapToGrid/>
          <w:kern w:val="2"/>
          <w:sz w:val="32"/>
          <w:szCs w:val="32"/>
          <w:lang w:eastAsia="zh-CN"/>
        </w:rPr>
        <w:t>。</w:t>
      </w:r>
    </w:p>
    <w:p w14:paraId="12AE1DAD">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浮梁县财政局</w:t>
      </w:r>
    </w:p>
    <w:p w14:paraId="03996F4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以</w:t>
      </w:r>
      <w:r>
        <w:rPr>
          <w:rFonts w:hint="eastAsia" w:ascii="仿宋_GB2312" w:hAnsi="Times New Roman" w:eastAsia="仿宋_GB2312" w:cs="Times New Roman"/>
          <w:snapToGrid/>
          <w:kern w:val="2"/>
          <w:sz w:val="32"/>
          <w:szCs w:val="32"/>
        </w:rPr>
        <w:t>财政投资项目预算评审委托评审业务费</w:t>
      </w:r>
      <w:r>
        <w:rPr>
          <w:rFonts w:hint="eastAsia" w:ascii="仿宋_GB2312" w:hAnsi="Times New Roman" w:eastAsia="仿宋_GB2312" w:cs="Times New Roman"/>
          <w:snapToGrid/>
          <w:kern w:val="2"/>
          <w:sz w:val="32"/>
          <w:szCs w:val="32"/>
          <w:lang w:val="en-US" w:eastAsia="zh-CN"/>
        </w:rPr>
        <w:t>为中心</w:t>
      </w:r>
      <w:r>
        <w:rPr>
          <w:rFonts w:hint="eastAsia" w:ascii="仿宋_GB2312" w:hAnsi="Times New Roman" w:eastAsia="仿宋_GB2312" w:cs="Times New Roman"/>
          <w:snapToGrid/>
          <w:kern w:val="2"/>
          <w:sz w:val="32"/>
          <w:szCs w:val="32"/>
          <w:lang w:eastAsia="zh-CN"/>
        </w:rPr>
        <w:t>。</w:t>
      </w:r>
    </w:p>
    <w:p w14:paraId="5F74DE5A">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每年</w:t>
      </w:r>
    </w:p>
    <w:p w14:paraId="702814A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300.85万</w:t>
      </w:r>
    </w:p>
    <w:p w14:paraId="384D141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：完成全年项目预算评审任务，为本级财政节约资金达千万元以上。</w:t>
      </w:r>
    </w:p>
    <w:p w14:paraId="12AAA1C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val="en-US" w:eastAsia="zh-CN"/>
        </w:rPr>
        <w:t>2025年</w:t>
      </w:r>
      <w:r>
        <w:rPr>
          <w:rFonts w:hint="eastAsia" w:ascii="仿宋_GB2312" w:hAnsi="Times New Roman" w:eastAsia="仿宋_GB2312" w:cs="Times New Roman"/>
          <w:snapToGrid/>
          <w:kern w:val="2"/>
          <w:sz w:val="32"/>
          <w:szCs w:val="32"/>
        </w:rPr>
        <w:t>创文巩卫平安建设党建意识形态宣传思想项目</w:t>
      </w:r>
    </w:p>
    <w:p w14:paraId="1C259EE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推进</w:t>
      </w:r>
      <w:r>
        <w:rPr>
          <w:rFonts w:hint="eastAsia" w:ascii="仿宋_GB2312" w:hAnsi="Times New Roman" w:eastAsia="仿宋_GB2312" w:cs="Times New Roman"/>
          <w:snapToGrid/>
          <w:kern w:val="2"/>
          <w:sz w:val="32"/>
          <w:szCs w:val="32"/>
        </w:rPr>
        <w:t>创文巩卫平安建设党建意识形态宣传思想费</w:t>
      </w:r>
      <w:r>
        <w:rPr>
          <w:rFonts w:hint="eastAsia" w:ascii="仿宋_GB2312" w:hAnsi="Times New Roman" w:eastAsia="仿宋_GB2312" w:cs="Times New Roman"/>
          <w:snapToGrid/>
          <w:kern w:val="2"/>
          <w:sz w:val="32"/>
          <w:szCs w:val="32"/>
          <w:lang w:val="en-US" w:eastAsia="zh-CN"/>
        </w:rPr>
        <w:t>用</w:t>
      </w:r>
      <w:r>
        <w:rPr>
          <w:rFonts w:hint="eastAsia" w:ascii="仿宋_GB2312" w:hAnsi="Times New Roman" w:eastAsia="仿宋_GB2312" w:cs="Times New Roman"/>
          <w:snapToGrid/>
          <w:kern w:val="2"/>
          <w:sz w:val="32"/>
          <w:szCs w:val="32"/>
          <w:lang w:eastAsia="zh-CN"/>
        </w:rPr>
        <w:t>。</w:t>
      </w:r>
    </w:p>
    <w:p w14:paraId="1FE1F7D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带动</w:t>
      </w:r>
      <w:r>
        <w:rPr>
          <w:rFonts w:hint="eastAsia" w:ascii="仿宋_GB2312" w:hAnsi="Times New Roman" w:eastAsia="仿宋_GB2312" w:cs="Times New Roman"/>
          <w:snapToGrid/>
          <w:kern w:val="2"/>
          <w:sz w:val="32"/>
          <w:szCs w:val="32"/>
        </w:rPr>
        <w:t>创文巩卫平安建设党建意识形态宣传思想</w:t>
      </w:r>
      <w:r>
        <w:rPr>
          <w:rFonts w:hint="eastAsia" w:ascii="仿宋_GB2312" w:hAnsi="Times New Roman" w:eastAsia="仿宋_GB2312" w:cs="Times New Roman"/>
          <w:snapToGrid/>
          <w:kern w:val="2"/>
          <w:sz w:val="32"/>
          <w:szCs w:val="32"/>
          <w:lang w:val="en-US" w:eastAsia="zh-CN"/>
        </w:rPr>
        <w:t>项目</w:t>
      </w:r>
      <w:r>
        <w:rPr>
          <w:rFonts w:hint="eastAsia" w:ascii="仿宋_GB2312" w:hAnsi="Times New Roman" w:eastAsia="仿宋_GB2312" w:cs="Times New Roman"/>
          <w:snapToGrid/>
          <w:kern w:val="2"/>
          <w:sz w:val="32"/>
          <w:szCs w:val="32"/>
          <w:lang w:eastAsia="zh-CN"/>
        </w:rPr>
        <w:t>。</w:t>
      </w:r>
    </w:p>
    <w:p w14:paraId="386D92B6">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浮梁县财政局</w:t>
      </w:r>
    </w:p>
    <w:p w14:paraId="22C40C3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以</w:t>
      </w:r>
      <w:r>
        <w:rPr>
          <w:rFonts w:hint="eastAsia" w:ascii="仿宋_GB2312" w:hAnsi="Times New Roman" w:eastAsia="仿宋_GB2312" w:cs="Times New Roman"/>
          <w:snapToGrid/>
          <w:kern w:val="2"/>
          <w:sz w:val="32"/>
          <w:szCs w:val="32"/>
        </w:rPr>
        <w:t>创文巩卫平安建设党建意识形态宣传思想</w:t>
      </w:r>
      <w:r>
        <w:rPr>
          <w:rFonts w:hint="eastAsia" w:ascii="仿宋_GB2312" w:hAnsi="Times New Roman" w:eastAsia="仿宋_GB2312" w:cs="Times New Roman"/>
          <w:snapToGrid/>
          <w:kern w:val="2"/>
          <w:sz w:val="32"/>
          <w:szCs w:val="32"/>
          <w:lang w:val="en-US" w:eastAsia="zh-CN"/>
        </w:rPr>
        <w:t>为中心</w:t>
      </w:r>
      <w:r>
        <w:rPr>
          <w:rFonts w:hint="eastAsia" w:ascii="仿宋_GB2312" w:hAnsi="Times New Roman" w:eastAsia="仿宋_GB2312" w:cs="Times New Roman"/>
          <w:snapToGrid/>
          <w:kern w:val="2"/>
          <w:sz w:val="32"/>
          <w:szCs w:val="32"/>
          <w:lang w:eastAsia="zh-CN"/>
        </w:rPr>
        <w:t>。</w:t>
      </w:r>
    </w:p>
    <w:p w14:paraId="544A5CF8">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每年</w:t>
      </w:r>
    </w:p>
    <w:p w14:paraId="1F0B323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20万</w:t>
      </w:r>
    </w:p>
    <w:p w14:paraId="4C891D7E">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：完成</w:t>
      </w:r>
      <w:r>
        <w:rPr>
          <w:rFonts w:hint="eastAsia" w:ascii="仿宋_GB2312" w:hAnsi="Times New Roman" w:eastAsia="仿宋_GB2312" w:cs="Times New Roman"/>
          <w:snapToGrid/>
          <w:kern w:val="2"/>
          <w:sz w:val="32"/>
          <w:szCs w:val="32"/>
        </w:rPr>
        <w:t>创文巩卫平安建设党建意识形态宣传思想</w:t>
      </w:r>
      <w:r>
        <w:rPr>
          <w:rFonts w:hint="eastAsia" w:ascii="仿宋_GB2312" w:hAnsi="Times New Roman" w:eastAsia="仿宋_GB2312" w:cs="Times New Roman"/>
          <w:snapToGrid/>
          <w:kern w:val="2"/>
          <w:sz w:val="32"/>
          <w:szCs w:val="32"/>
          <w:lang w:val="en-US" w:eastAsia="zh-CN"/>
        </w:rPr>
        <w:t>项目</w:t>
      </w:r>
      <w:r>
        <w:rPr>
          <w:rFonts w:hint="eastAsia" w:ascii="仿宋_GB2312" w:hAnsi="Times New Roman" w:eastAsia="仿宋_GB2312" w:cs="Times New Roman"/>
          <w:snapToGrid/>
          <w:kern w:val="2"/>
          <w:sz w:val="32"/>
          <w:szCs w:val="32"/>
          <w:lang w:eastAsia="zh-CN"/>
        </w:rPr>
        <w:t>。</w:t>
      </w:r>
    </w:p>
    <w:p w14:paraId="26F4C023">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二、2025年"三公”经费预算情况说明</w:t>
      </w:r>
    </w:p>
    <w:p w14:paraId="2BA6421A">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2025年</w:t>
      </w:r>
      <w:r>
        <w:rPr>
          <w:rFonts w:hint="eastAsia" w:ascii="仿宋_GB2312" w:hAnsi="Times New Roman" w:eastAsia="仿宋_GB2312" w:cs="Times New Roman"/>
          <w:snapToGrid/>
          <w:color w:val="auto"/>
          <w:kern w:val="2"/>
          <w:sz w:val="32"/>
          <w:szCs w:val="32"/>
          <w:lang w:eastAsia="zh-CN"/>
        </w:rPr>
        <w:t>财政局</w:t>
      </w:r>
      <w:r>
        <w:rPr>
          <w:rFonts w:hint="eastAsia" w:ascii="仿宋_GB2312" w:hAnsi="Times New Roman" w:eastAsia="仿宋_GB2312" w:cs="Times New Roman"/>
          <w:snapToGrid/>
          <w:color w:val="auto"/>
          <w:kern w:val="2"/>
          <w:sz w:val="32"/>
          <w:szCs w:val="32"/>
        </w:rPr>
        <w:t>"三公"经费一般公共预算安排</w:t>
      </w:r>
      <w:r>
        <w:rPr>
          <w:rFonts w:hint="eastAsia" w:ascii="仿宋_GB2312" w:hAnsi="Times New Roman" w:eastAsia="仿宋_GB2312" w:cs="Times New Roman"/>
          <w:snapToGrid/>
          <w:color w:val="auto"/>
          <w:kern w:val="2"/>
          <w:sz w:val="32"/>
          <w:szCs w:val="32"/>
          <w:lang w:val="en-US" w:eastAsia="zh-CN"/>
        </w:rPr>
        <w:t>9</w:t>
      </w:r>
      <w:r>
        <w:rPr>
          <w:rFonts w:hint="eastAsia" w:ascii="仿宋_GB2312" w:hAnsi="Times New Roman" w:eastAsia="仿宋_GB2312" w:cs="Times New Roman"/>
          <w:snapToGrid/>
          <w:color w:val="auto"/>
          <w:kern w:val="2"/>
          <w:sz w:val="32"/>
          <w:szCs w:val="32"/>
        </w:rPr>
        <w:t>万元。其中:</w:t>
      </w:r>
    </w:p>
    <w:p w14:paraId="169A8F27">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公务接待费</w:t>
      </w:r>
      <w:r>
        <w:rPr>
          <w:rFonts w:hint="eastAsia" w:ascii="仿宋_GB2312" w:hAnsi="Times New Roman" w:eastAsia="仿宋_GB2312" w:cs="Times New Roman"/>
          <w:snapToGrid/>
          <w:color w:val="auto"/>
          <w:kern w:val="2"/>
          <w:sz w:val="32"/>
          <w:szCs w:val="32"/>
          <w:lang w:val="en-US" w:eastAsia="zh-CN"/>
        </w:rPr>
        <w:t>9</w:t>
      </w:r>
      <w:r>
        <w:rPr>
          <w:rFonts w:hint="eastAsia" w:ascii="仿宋_GB2312" w:hAnsi="Times New Roman" w:eastAsia="仿宋_GB2312" w:cs="Times New Roman"/>
          <w:snapToGrid/>
          <w:color w:val="auto"/>
          <w:kern w:val="2"/>
          <w:sz w:val="32"/>
          <w:szCs w:val="32"/>
        </w:rPr>
        <w:t>万元，比上年减</w:t>
      </w:r>
      <w:r>
        <w:rPr>
          <w:rFonts w:hint="eastAsia" w:ascii="仿宋_GB2312" w:hAnsi="Times New Roman" w:eastAsia="仿宋_GB2312" w:cs="Times New Roman"/>
          <w:snapToGrid/>
          <w:color w:val="auto"/>
          <w:kern w:val="2"/>
          <w:sz w:val="32"/>
          <w:szCs w:val="32"/>
          <w:lang w:val="en-US" w:eastAsia="zh-CN"/>
        </w:rPr>
        <w:t>1</w:t>
      </w:r>
      <w:r>
        <w:rPr>
          <w:rFonts w:hint="eastAsia" w:ascii="仿宋_GB2312" w:hAnsi="Times New Roman" w:eastAsia="仿宋_GB2312" w:cs="Times New Roman"/>
          <w:snapToGrid/>
          <w:color w:val="auto"/>
          <w:kern w:val="2"/>
          <w:sz w:val="32"/>
          <w:szCs w:val="32"/>
        </w:rPr>
        <w:t>万元，主要原因是:</w:t>
      </w:r>
      <w:r>
        <w:rPr>
          <w:rFonts w:hint="eastAsia" w:ascii="仿宋_GB2312" w:hAnsi="Times New Roman" w:eastAsia="仿宋_GB2312" w:cs="Times New Roman"/>
          <w:snapToGrid/>
          <w:color w:val="auto"/>
          <w:kern w:val="2"/>
          <w:sz w:val="32"/>
          <w:szCs w:val="32"/>
          <w:lang w:val="en-US" w:eastAsia="zh-CN"/>
        </w:rPr>
        <w:t>按上级要求减少，节俭开支</w:t>
      </w:r>
      <w:r>
        <w:rPr>
          <w:rFonts w:hint="eastAsia" w:ascii="仿宋_GB2312" w:hAnsi="Times New Roman" w:eastAsia="仿宋_GB2312" w:cs="Times New Roman"/>
          <w:snapToGrid/>
          <w:color w:val="auto"/>
          <w:kern w:val="2"/>
          <w:sz w:val="32"/>
          <w:szCs w:val="32"/>
        </w:rPr>
        <w:t>。</w:t>
      </w:r>
    </w:p>
    <w:p w14:paraId="0A279D16">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因公出国(境)费</w:t>
      </w:r>
      <w:r>
        <w:rPr>
          <w:rFonts w:hint="eastAsia" w:ascii="仿宋_GB2312" w:hAnsi="Times New Roman" w:eastAsia="仿宋_GB2312" w:cs="Times New Roman"/>
          <w:snapToGrid/>
          <w:color w:val="auto"/>
          <w:kern w:val="2"/>
          <w:sz w:val="32"/>
          <w:szCs w:val="32"/>
          <w:lang w:eastAsia="zh-CN"/>
        </w:rPr>
        <w:t>、</w:t>
      </w:r>
      <w:r>
        <w:rPr>
          <w:rFonts w:hint="eastAsia" w:ascii="仿宋_GB2312" w:hAnsi="Times New Roman" w:eastAsia="仿宋_GB2312" w:cs="Times New Roman"/>
          <w:snapToGrid/>
          <w:color w:val="auto"/>
          <w:kern w:val="2"/>
          <w:sz w:val="32"/>
          <w:szCs w:val="32"/>
        </w:rPr>
        <w:t>公务用车运行维护费</w:t>
      </w:r>
      <w:r>
        <w:rPr>
          <w:rFonts w:hint="eastAsia" w:ascii="仿宋_GB2312" w:hAnsi="Times New Roman" w:eastAsia="仿宋_GB2312" w:cs="Times New Roman"/>
          <w:snapToGrid/>
          <w:color w:val="auto"/>
          <w:kern w:val="2"/>
          <w:sz w:val="32"/>
          <w:szCs w:val="32"/>
          <w:lang w:eastAsia="zh-CN"/>
        </w:rPr>
        <w:t>、</w:t>
      </w:r>
      <w:r>
        <w:rPr>
          <w:rFonts w:hint="eastAsia" w:ascii="仿宋_GB2312" w:hAnsi="Times New Roman" w:eastAsia="仿宋_GB2312" w:cs="Times New Roman"/>
          <w:snapToGrid/>
          <w:color w:val="auto"/>
          <w:kern w:val="2"/>
          <w:sz w:val="32"/>
          <w:szCs w:val="32"/>
        </w:rPr>
        <w:t>公务用车购置费</w:t>
      </w:r>
      <w:r>
        <w:rPr>
          <w:rFonts w:hint="eastAsia" w:ascii="仿宋_GB2312" w:hAnsi="Times New Roman" w:eastAsia="仿宋_GB2312" w:cs="Times New Roman"/>
          <w:snapToGrid/>
          <w:color w:val="auto"/>
          <w:kern w:val="2"/>
          <w:sz w:val="32"/>
          <w:szCs w:val="32"/>
          <w:lang w:val="en-US" w:eastAsia="zh-CN"/>
        </w:rPr>
        <w:t>均未安排预算。</w:t>
      </w:r>
    </w:p>
    <w:p w14:paraId="7945632C">
      <w:pPr>
        <w:spacing w:before="173"/>
        <w:ind w:right="49" w:firstLine="599"/>
        <w:rPr>
          <w:rFonts w:ascii="仿宋" w:hAnsi="仿宋" w:eastAsia="仿宋" w:cs="仿宋"/>
          <w:color w:val="FF0000"/>
          <w:spacing w:val="-15"/>
          <w:w w:val="94"/>
          <w:sz w:val="32"/>
          <w:szCs w:val="32"/>
        </w:rPr>
      </w:pPr>
    </w:p>
    <w:p w14:paraId="091B89BA">
      <w:pPr>
        <w:widowControl w:val="0"/>
        <w:kinsoku/>
        <w:autoSpaceDE/>
        <w:autoSpaceDN/>
        <w:adjustRightInd/>
        <w:snapToGrid/>
        <w:jc w:val="center"/>
        <w:textAlignment w:val="auto"/>
        <w:rPr>
          <w:rFonts w:hint="eastAsia" w:ascii="黑体" w:hAnsi="黑体" w:eastAsia="黑体" w:cs="黑体"/>
          <w:snapToGrid/>
          <w:color w:val="auto"/>
          <w:kern w:val="2"/>
          <w:sz w:val="32"/>
          <w:szCs w:val="32"/>
        </w:rPr>
      </w:pPr>
    </w:p>
    <w:p w14:paraId="1C9EBF56">
      <w:pPr>
        <w:widowControl w:val="0"/>
        <w:kinsoku/>
        <w:autoSpaceDE/>
        <w:autoSpaceDN/>
        <w:adjustRightInd/>
        <w:snapToGrid/>
        <w:jc w:val="center"/>
        <w:textAlignment w:val="auto"/>
        <w:rPr>
          <w:rFonts w:hint="eastAsia" w:ascii="黑体" w:hAnsi="黑体" w:eastAsia="黑体" w:cs="黑体"/>
          <w:snapToGrid/>
          <w:color w:val="auto"/>
          <w:kern w:val="2"/>
          <w:sz w:val="32"/>
          <w:szCs w:val="32"/>
        </w:rPr>
      </w:pPr>
    </w:p>
    <w:p w14:paraId="5231EDD2">
      <w:pPr>
        <w:widowControl w:val="0"/>
        <w:kinsoku/>
        <w:autoSpaceDE/>
        <w:autoSpaceDN/>
        <w:adjustRightInd/>
        <w:snapToGrid/>
        <w:jc w:val="center"/>
        <w:textAlignment w:val="auto"/>
        <w:rPr>
          <w:rFonts w:hint="eastAsia" w:ascii="黑体" w:hAnsi="黑体" w:eastAsia="黑体" w:cs="黑体"/>
          <w:snapToGrid/>
          <w:color w:val="auto"/>
          <w:kern w:val="2"/>
          <w:sz w:val="32"/>
          <w:szCs w:val="32"/>
        </w:rPr>
      </w:pPr>
    </w:p>
    <w:p w14:paraId="0C3C477C">
      <w:pPr>
        <w:widowControl w:val="0"/>
        <w:kinsoku/>
        <w:autoSpaceDE/>
        <w:autoSpaceDN/>
        <w:adjustRightInd/>
        <w:snapToGrid/>
        <w:jc w:val="center"/>
        <w:textAlignment w:val="auto"/>
        <w:rPr>
          <w:rFonts w:hint="eastAsia" w:ascii="黑体" w:hAnsi="黑体" w:eastAsia="黑体" w:cs="黑体"/>
          <w:snapToGrid/>
          <w:color w:val="auto"/>
          <w:kern w:val="2"/>
          <w:sz w:val="32"/>
          <w:szCs w:val="32"/>
        </w:rPr>
      </w:pPr>
    </w:p>
    <w:p w14:paraId="33224001">
      <w:pPr>
        <w:widowControl w:val="0"/>
        <w:kinsoku/>
        <w:autoSpaceDE/>
        <w:autoSpaceDN/>
        <w:adjustRightInd/>
        <w:snapToGrid/>
        <w:jc w:val="center"/>
        <w:textAlignment w:val="auto"/>
        <w:rPr>
          <w:rFonts w:hint="eastAsia" w:ascii="黑体" w:hAnsi="黑体" w:eastAsia="黑体" w:cs="黑体"/>
          <w:snapToGrid/>
          <w:color w:val="auto"/>
          <w:kern w:val="2"/>
          <w:sz w:val="32"/>
          <w:szCs w:val="32"/>
        </w:rPr>
      </w:pPr>
    </w:p>
    <w:p w14:paraId="19A1D628">
      <w:pPr>
        <w:widowControl w:val="0"/>
        <w:kinsoku/>
        <w:autoSpaceDE/>
        <w:autoSpaceDN/>
        <w:adjustRightInd/>
        <w:snapToGrid/>
        <w:jc w:val="center"/>
        <w:textAlignment w:val="auto"/>
        <w:rPr>
          <w:rFonts w:hint="eastAsia" w:ascii="黑体" w:hAnsi="黑体" w:eastAsia="黑体" w:cs="黑体"/>
          <w:snapToGrid/>
          <w:color w:val="auto"/>
          <w:kern w:val="2"/>
          <w:sz w:val="32"/>
          <w:szCs w:val="32"/>
        </w:rPr>
      </w:pPr>
    </w:p>
    <w:p w14:paraId="37424781">
      <w:pPr>
        <w:widowControl w:val="0"/>
        <w:kinsoku/>
        <w:autoSpaceDE/>
        <w:autoSpaceDN/>
        <w:adjustRightInd/>
        <w:snapToGrid/>
        <w:jc w:val="center"/>
        <w:textAlignment w:val="auto"/>
        <w:rPr>
          <w:rFonts w:hint="eastAsia" w:ascii="黑体" w:hAnsi="黑体" w:eastAsia="黑体" w:cs="黑体"/>
          <w:snapToGrid/>
          <w:color w:val="auto"/>
          <w:kern w:val="2"/>
          <w:sz w:val="32"/>
          <w:szCs w:val="32"/>
        </w:rPr>
      </w:pPr>
    </w:p>
    <w:p w14:paraId="3E9131FB">
      <w:pPr>
        <w:widowControl w:val="0"/>
        <w:kinsoku/>
        <w:autoSpaceDE/>
        <w:autoSpaceDN/>
        <w:adjustRightInd/>
        <w:snapToGrid/>
        <w:jc w:val="both"/>
        <w:textAlignment w:val="auto"/>
        <w:rPr>
          <w:rFonts w:hint="eastAsia" w:ascii="黑体" w:hAnsi="黑体" w:eastAsia="黑体" w:cs="黑体"/>
          <w:snapToGrid/>
          <w:color w:val="auto"/>
          <w:kern w:val="2"/>
          <w:sz w:val="32"/>
          <w:szCs w:val="32"/>
        </w:rPr>
      </w:pPr>
      <w:bookmarkStart w:id="0" w:name="_GoBack"/>
      <w:bookmarkEnd w:id="0"/>
    </w:p>
    <w:p w14:paraId="41501538">
      <w:pPr>
        <w:widowControl w:val="0"/>
        <w:kinsoku/>
        <w:autoSpaceDE/>
        <w:autoSpaceDN/>
        <w:adjustRightInd/>
        <w:snapToGrid/>
        <w:jc w:val="center"/>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第四部分   名词解释</w:t>
      </w:r>
    </w:p>
    <w:p w14:paraId="30B9DF0A">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一、收入科目</w:t>
      </w:r>
    </w:p>
    <w:p w14:paraId="474C71AC">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各部门结合实际进行解释。</w:t>
      </w:r>
    </w:p>
    <w:p w14:paraId="374ED273">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(一)财政拨款:指省级财政当年拨付的资金。</w:t>
      </w:r>
    </w:p>
    <w:p w14:paraId="6F86DD8B">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(二)教育收费资金收入:反映实行专项管理的高中以上学费、住宿费，高校委托培养费，函大、电大、夜大及短训班培训费等教育收费取得的收入。</w:t>
      </w:r>
    </w:p>
    <w:p w14:paraId="56BF41EE">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(三)事业收入:指事业单位开展专业业务活动及辅助活动取得的收入。</w:t>
      </w:r>
    </w:p>
    <w:p w14:paraId="63C2E439">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(四)事业单位经营收入:指事业单位在专业业务活动及辅助活动之外开展非独立核算经营活动取得的收入。</w:t>
      </w:r>
    </w:p>
    <w:p w14:paraId="2844A040">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(五)附属单位上缴收入:反映事业单位附属的独立核算单位按规定标准或比例缴纳的各项收入。包括附属的事业单位上缴的收入和附属的企业上缴的利润等。</w:t>
      </w:r>
    </w:p>
    <w:p w14:paraId="67772B62">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(六)上级补助收入:反映事业单位从主管部门和上级单位取得的非财政补助收入。</w:t>
      </w:r>
    </w:p>
    <w:p w14:paraId="3B5C2262">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(七)其他收入:指除财政拨款、事业收入、事业单位经营收入等以外的各项收入。</w:t>
      </w:r>
    </w:p>
    <w:p w14:paraId="5D26046F">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(八)使用非财政拨款结余:填列历年滚存的非限定用途的非统计财政拨款结余弥补2025年收支差额的数额。</w:t>
      </w:r>
    </w:p>
    <w:p w14:paraId="2C788CA2">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(九)上年结转和结余:填列2024年全部结转和结余的资金数，包括当年结转结余资金和历年滚存结转结余资金。</w:t>
      </w:r>
    </w:p>
    <w:p w14:paraId="2FDEE47C">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二、支出科目</w:t>
      </w:r>
    </w:p>
    <w:p w14:paraId="5D3359A9">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对部门预算中涉及的支出功能分类科目(明细到项级)，结合部门实际，参照《2025年政府收支分类科目》的规范说明进行解释。</w:t>
      </w:r>
    </w:p>
    <w:p w14:paraId="3FA3EEEA">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三、部门涉及的专业名词</w:t>
      </w:r>
    </w:p>
    <w:p w14:paraId="2B1E8FB1">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由部门结合实际填写。</w:t>
      </w:r>
    </w:p>
    <w:sectPr>
      <w:pgSz w:w="11900" w:h="16820"/>
      <w:pgMar w:top="1202" w:right="1366" w:bottom="1208" w:left="1366" w:header="0" w:footer="110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Y2ZlYmE5ZGI2YzE0ZDVmYTYzMGE3ZDYzMWE4MWEwZmUifQ=="/>
  </w:docVars>
  <w:rsids>
    <w:rsidRoot w:val="00E637E3"/>
    <w:rsid w:val="00083C5A"/>
    <w:rsid w:val="0028241F"/>
    <w:rsid w:val="002E17BC"/>
    <w:rsid w:val="007D2708"/>
    <w:rsid w:val="00821D0F"/>
    <w:rsid w:val="009B661A"/>
    <w:rsid w:val="009F3C2E"/>
    <w:rsid w:val="00A37EFD"/>
    <w:rsid w:val="00A55E03"/>
    <w:rsid w:val="00A67F2C"/>
    <w:rsid w:val="00B62F88"/>
    <w:rsid w:val="00C726DB"/>
    <w:rsid w:val="00E637E3"/>
    <w:rsid w:val="00F520CD"/>
    <w:rsid w:val="120D5F1A"/>
    <w:rsid w:val="180A0D7A"/>
    <w:rsid w:val="1A42762B"/>
    <w:rsid w:val="28B74E8B"/>
    <w:rsid w:val="325D7BAC"/>
    <w:rsid w:val="33D20888"/>
    <w:rsid w:val="443E20C4"/>
    <w:rsid w:val="47472EF2"/>
    <w:rsid w:val="474E6296"/>
    <w:rsid w:val="476D2917"/>
    <w:rsid w:val="535A3AA7"/>
    <w:rsid w:val="5D24489D"/>
    <w:rsid w:val="61B34642"/>
    <w:rsid w:val="6B157304"/>
    <w:rsid w:val="6C0006DE"/>
    <w:rsid w:val="79301896"/>
    <w:rsid w:val="7A6D6809"/>
    <w:rsid w:val="7D067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页脚 Char"/>
    <w:basedOn w:val="5"/>
    <w:link w:val="2"/>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3460</Words>
  <Characters>3674</Characters>
  <Lines>14</Lines>
  <Paragraphs>4</Paragraphs>
  <TotalTime>5</TotalTime>
  <ScaleCrop>false</ScaleCrop>
  <LinksUpToDate>false</LinksUpToDate>
  <CharactersWithSpaces>3689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2024-02-19T02:57:00Z</dcterms:created>
  <dc:creator>Administrator</dc:creator>
  <cp:lastModifiedBy>书衡</cp:lastModifiedBy>
  <cp:lastPrinted>2025-06-10T03:20:59Z</cp:lastPrinted>
  <dcterms:modified xsi:type="dcterms:W3CDTF">2025-06-10T03:26:07Z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2052-12.1.0.21171</vt:lpwstr>
  </property>
  <property fmtid="{D5CDD505-2E9C-101B-9397-08002B2CF9AE}" pid="5" name="ICV">
    <vt:lpwstr>88DC4E5DA5774A45A9990BB4EE0325F1</vt:lpwstr>
  </property>
  <property fmtid="{D5CDD505-2E9C-101B-9397-08002B2CF9AE}" pid="6" name="KSOTemplateDocerSaveRecord">
    <vt:lpwstr>eyJoZGlkIjoiZjg5NDhjNWNkNTViNzNkOGQ2NWJkNDJiNTc5NWM0ZTQiLCJ1c2VySWQiOiI2MzA4OTc0MjEifQ==</vt:lpwstr>
  </property>
</Properties>
</file>