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浮梁县城市管理局2023年度信息公开工作年度报告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根据新修订的《中华人民共和国政府信息公开条例》,特编制2023年度浮梁县城市管理局信息公开年度报告。本报告由总体情况、主动公开政府信息情况、存在的主要问题及改进情况、其他需要报告的事项等四个部分组成。本报告中所列数据的统计期限自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年1月1日起至2023年12月31日止。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地址:浮梁县开源路38号(县法院原办公楼)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邮编:333400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电话:0798-7110556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电子邮箱: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</w:rPr>
        <w:instrText xml:space="preserve"> HYPERLINK "mailto:flxcgl@126.com"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</w:rPr>
        <w:t>flxcgj@126.com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(一)2023年浮梁县城市管理局坚持以习近平新时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代中国特色社会主义思想为指导，全面贯彻落实《中华人民共和国政府信息公开条例》和上级关于政府信息公开工作部署，进一步加强领导,健全制度、规范程序、提升能力。按照政府信息公开工作指导思想及基本原则,我局建立政务公开长效工作机制,完善信息公开管理制度,突出政务公开重点,及时公开发布政府信息公开相关内容,形成用制度规范行为、按制度办事、靠制度管人的机制,具体日常工作由办公室主要负责,做好牵头协调和监督检查,促进政务公开工作制度化、规范化,提高政务公开水平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(二)规范建设,提高政务公开质量。积极推进一般事项公开向重点事项公开、结果公开向全过程公开转变,进一步提高政务公开的质量。一是公开的内容更加充实。对政务公开的范围、内容、形式、制度等做了进一步的明确;二是公开的时间更加及时。针对公开项目的不同情况,确定公开时间,做到常规性工作定期公开,临时性工作随时公开,固定性工作长期公开。三是公开重点更加突出。坚持把群众最关心的、最需了解的事项作为政务公开的重点,不断提高城市管理水平,接受工作评议和监督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(三)强化监督,确保政务公开落实。在健全政务公开机制的同时,严把公开内容和项目关,既防止该公开的不公开、假公开,又防止不该公开的乱公开。采取多种形式,强化监督检查工作,实行定期检查和不定期检查相结合。同时,鼓励广大干部、群众积极参与监督,积极反映公开过程中存在的问题,使公开工作更加扎实、有序开展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二、主动公开政府信息情况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2201"/>
        <w:gridCol w:w="2201"/>
        <w:gridCol w:w="2201"/>
        <w:gridCol w:w="18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本年制发件数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886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300" w:afterAutospacing="0" w:line="0" w:lineRule="atLeast"/>
        <w:ind w:left="0" w:firstLine="420"/>
        <w:jc w:val="center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55" w:afterAutospacing="0" w:line="315" w:lineRule="atLeast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三、收到和处理政府信息公开申请情况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083"/>
        <w:gridCol w:w="813"/>
        <w:gridCol w:w="760"/>
        <w:gridCol w:w="760"/>
        <w:gridCol w:w="760"/>
        <w:gridCol w:w="760"/>
        <w:gridCol w:w="760"/>
        <w:gridCol w:w="7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（本列数据的勾稽关系为：第;J项加第二项之 和，等于第三项加第四项之和）</w:t>
            </w:r>
          </w:p>
        </w:tc>
        <w:tc>
          <w:tcPr>
            <w:tcW w:w="4665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420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商业 企业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科研 机构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社会 公益 组织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法律 服务 机构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  <w:jc w:val="center"/>
        </w:trPr>
        <w:tc>
          <w:tcPr>
            <w:tcW w:w="4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0" w:lineRule="atLeast"/>
        <w:jc w:val="center"/>
        <w:rPr>
          <w:rFonts w:hint="eastAsia" w:ascii="微软雅黑" w:hAnsi="微软雅黑" w:eastAsia="微软雅黑" w:cs="微软雅黑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36"/>
        <w:gridCol w:w="1140"/>
        <w:gridCol w:w="1993"/>
        <w:gridCol w:w="761"/>
        <w:gridCol w:w="581"/>
        <w:gridCol w:w="581"/>
        <w:gridCol w:w="581"/>
        <w:gridCol w:w="581"/>
        <w:gridCol w:w="581"/>
        <w:gridCol w:w="6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420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三、本年度 办理结果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（二）部分公开（区分处理的，只计 这一情形，不计其他情形）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（三）不予 公开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其他法律行政法规 禁止公开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危及"三安全一稳定”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属于三类内部事务 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6.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7.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8.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（四）无法 提供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本机关不掌握相关 政府信息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没有现成信息需要 另行制作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.补正后申请内容仍 不明确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（五）不予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处理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L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重复申请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4.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无正当理由大量反 复申请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要求行政机关确认 或重新出具已获取信息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5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（六）其他 处理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申请人无正当理由 逾期不补正、行政机关 不再处理其政府信息公 开申请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5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申请人逾期未按收 费通知要求缴纳费用、 行政机关不再处理其政 府信息公开申请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30" w:hRule="atLeast"/>
          <w:jc w:val="center"/>
        </w:trPr>
        <w:tc>
          <w:tcPr>
            <w:tcW w:w="4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55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四、政府信息公开行政复议、行政诉讼情况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  <w:jc w:val="center"/>
        </w:trPr>
        <w:tc>
          <w:tcPr>
            <w:tcW w:w="294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jc w:val="center"/>
        </w:trPr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  <w:jc w:val="center"/>
        </w:trPr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维持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结果 纠正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尚未 审结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260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27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三、存在的主要问题及改进情况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2022年,我局政府信息公开工作虽然取得了一定成绩,增强了政府工作的透明度,提高了工作效率,密切了政府与人民群众的联系,但与上级的要求相比,与人民群众的期盼相比,还存在着公开渠道不够宽泛、专业人才匮乏等问题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下一步,我们将严格按照《中华人民共和国政府信息公开条例》和省、市、县关于政府信息公开工作的各项要求,进一步规范工作程序,创新工作方式,克服不足。一是不断完善政府信息公开的内容。及时更新信息,主动向社会公开应公开的信息,确保政府信息主动公开的完整性和时效性。二是继续加强队伍建设。合理配置信息公开工作人员,进一步提高政府信息公开工作水平。三是加大督促检查力度。定期组织专项检查,查找和分析不足,并通报检查结果,逐步形成定期检查和通报制度,切实促进信息公开工作规范有序进行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四、其他需要报告的事项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无其他需要报告的事项。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浮梁县城市管理局                                   2023年1月25日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6D4F"/>
    <w:rsid w:val="01136D4F"/>
    <w:rsid w:val="426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2024-03-08T02:02:00Z</dcterms:created>
  <dc:creator>Administrator</dc:creator>
  <cp:lastModifiedBy>Administrator</cp:lastModifiedBy>
  <dcterms:modified xsi:type="dcterms:W3CDTF">2024-03-08T02:21:00Z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