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92" w:lineRule="auto"/>
      </w:pPr>
    </w:p>
    <w:p>
      <w:pPr>
        <w:spacing w:before="136" w:line="1217" w:lineRule="exact"/>
        <w:jc w:val="center"/>
        <w:rPr>
          <w:rFonts w:ascii="宋体" w:hAnsi="宋体" w:eastAsia="宋体" w:cs="宋体"/>
          <w:sz w:val="42"/>
          <w:szCs w:val="42"/>
        </w:rPr>
      </w:pPr>
      <w:r>
        <w:rPr>
          <w:rFonts w:hint="eastAsia" w:ascii="宋体" w:hAnsi="宋体" w:eastAsia="宋体" w:cs="宋体"/>
          <w:spacing w:val="11"/>
          <w:position w:val="61"/>
          <w:sz w:val="42"/>
          <w:szCs w:val="42"/>
          <w:lang w:eastAsia="zh-CN"/>
          <w14:textOutline w14:w="7809" w14:cap="sq" w14:cmpd="sng">
            <w14:solidFill>
              <w14:srgbClr w14:val="000000"/>
            </w14:solidFill>
            <w14:prstDash w14:val="solid"/>
            <w14:bevel/>
          </w14:textOutline>
        </w:rPr>
        <w:t>浮梁县城市管理局</w:t>
      </w:r>
      <w:r>
        <w:rPr>
          <w:rFonts w:ascii="宋体" w:hAnsi="宋体" w:eastAsia="宋体" w:cs="宋体"/>
          <w:spacing w:val="11"/>
          <w:position w:val="61"/>
          <w:sz w:val="42"/>
          <w:szCs w:val="42"/>
          <w14:textOutline w14:w="7809" w14:cap="sq" w14:cmpd="sng">
            <w14:solidFill>
              <w14:srgbClr w14:val="000000"/>
            </w14:solidFill>
            <w14:prstDash w14:val="solid"/>
            <w14:bevel/>
          </w14:textOutline>
        </w:rPr>
        <w:t>2022年度部门决算</w:t>
      </w:r>
    </w:p>
    <w:p>
      <w:pPr>
        <w:spacing w:line="226" w:lineRule="auto"/>
        <w:ind w:left="3658"/>
        <w:rPr>
          <w:rFonts w:ascii="黑体" w:hAnsi="黑体" w:eastAsia="黑体" w:cs="黑体"/>
          <w:sz w:val="42"/>
          <w:szCs w:val="42"/>
        </w:rPr>
      </w:pPr>
      <w:r>
        <w:rPr>
          <w:rFonts w:ascii="黑体" w:hAnsi="黑体" w:eastAsia="黑体" w:cs="黑体"/>
          <w:spacing w:val="-31"/>
          <w:sz w:val="42"/>
          <w:szCs w:val="42"/>
          <w14:textOutline w14:w="7809" w14:cap="sq" w14:cmpd="sng">
            <w14:solidFill>
              <w14:srgbClr w14:val="000000"/>
            </w14:solidFill>
            <w14:prstDash w14:val="solid"/>
            <w14:bevel/>
          </w14:textOutline>
        </w:rPr>
        <w:t>目</w:t>
      </w:r>
      <w:r>
        <w:rPr>
          <w:rFonts w:ascii="黑体" w:hAnsi="黑体" w:eastAsia="黑体" w:cs="黑体"/>
          <w:spacing w:val="43"/>
          <w:sz w:val="42"/>
          <w:szCs w:val="42"/>
        </w:rPr>
        <w:t xml:space="preserve">   </w:t>
      </w:r>
      <w:r>
        <w:rPr>
          <w:rFonts w:ascii="黑体" w:hAnsi="黑体" w:eastAsia="黑体" w:cs="黑体"/>
          <w:spacing w:val="-31"/>
          <w:sz w:val="42"/>
          <w:szCs w:val="42"/>
          <w14:textOutline w14:w="7809" w14:cap="sq" w14:cmpd="sng">
            <w14:solidFill>
              <w14:srgbClr w14:val="000000"/>
            </w14:solidFill>
            <w14:prstDash w14:val="solid"/>
            <w14:bevel/>
          </w14:textOutline>
        </w:rPr>
        <w:t>录</w:t>
      </w:r>
    </w:p>
    <w:p>
      <w:pPr>
        <w:pStyle w:val="2"/>
        <w:spacing w:line="348" w:lineRule="auto"/>
      </w:pPr>
    </w:p>
    <w:p>
      <w:pPr>
        <w:pStyle w:val="2"/>
        <w:spacing w:line="348" w:lineRule="auto"/>
      </w:pPr>
    </w:p>
    <w:p>
      <w:pPr>
        <w:spacing w:before="98" w:line="227" w:lineRule="auto"/>
        <w:ind w:left="648"/>
        <w:rPr>
          <w:rFonts w:ascii="黑体" w:hAnsi="黑体" w:eastAsia="黑体" w:cs="黑体"/>
          <w:sz w:val="30"/>
          <w:szCs w:val="30"/>
        </w:rPr>
      </w:pPr>
      <w:r>
        <w:rPr>
          <w:rFonts w:ascii="黑体" w:hAnsi="黑体" w:eastAsia="黑体" w:cs="黑体"/>
          <w:spacing w:val="-1"/>
          <w:sz w:val="30"/>
          <w:szCs w:val="30"/>
          <w14:textOutline w14:w="5629" w14:cap="sq" w14:cmpd="sng">
            <w14:solidFill>
              <w14:srgbClr w14:val="000000"/>
            </w14:solidFill>
            <w14:prstDash w14:val="solid"/>
            <w14:bevel/>
          </w14:textOutline>
        </w:rPr>
        <w:t>第一部分</w:t>
      </w:r>
      <w:r>
        <w:rPr>
          <w:rFonts w:ascii="黑体" w:hAnsi="黑体" w:eastAsia="黑体" w:cs="黑体"/>
          <w:spacing w:val="64"/>
          <w:sz w:val="30"/>
          <w:szCs w:val="30"/>
        </w:rPr>
        <w:t xml:space="preserve">  </w:t>
      </w:r>
      <w:r>
        <w:rPr>
          <w:rFonts w:hint="eastAsia" w:ascii="黑体" w:hAnsi="黑体" w:eastAsia="黑体" w:cs="黑体"/>
          <w:spacing w:val="-1"/>
          <w:sz w:val="30"/>
          <w:szCs w:val="30"/>
          <w:lang w:eastAsia="zh-CN"/>
          <w14:textOutline w14:w="5629" w14:cap="sq" w14:cmpd="sng">
            <w14:solidFill>
              <w14:srgbClr w14:val="000000"/>
            </w14:solidFill>
            <w14:prstDash w14:val="solid"/>
            <w14:bevel/>
          </w14:textOutline>
        </w:rPr>
        <w:t>浮梁县城市管理局</w:t>
      </w:r>
      <w:r>
        <w:rPr>
          <w:rFonts w:ascii="黑体" w:hAnsi="黑体" w:eastAsia="黑体" w:cs="黑体"/>
          <w:spacing w:val="-1"/>
          <w:sz w:val="30"/>
          <w:szCs w:val="30"/>
          <w14:textOutline w14:w="5629" w14:cap="sq" w14:cmpd="sng">
            <w14:solidFill>
              <w14:srgbClr w14:val="000000"/>
            </w14:solidFill>
            <w14:prstDash w14:val="solid"/>
            <w14:bevel/>
          </w14:textOutline>
        </w:rPr>
        <w:t>部门概况</w:t>
      </w:r>
    </w:p>
    <w:p>
      <w:pPr>
        <w:spacing w:before="216" w:line="629" w:lineRule="exact"/>
        <w:ind w:left="1275"/>
        <w:rPr>
          <w:rFonts w:ascii="仿宋" w:hAnsi="仿宋" w:eastAsia="仿宋" w:cs="仿宋"/>
          <w:sz w:val="30"/>
          <w:szCs w:val="30"/>
        </w:rPr>
      </w:pPr>
      <w:r>
        <w:rPr>
          <w:rFonts w:ascii="仿宋" w:hAnsi="仿宋" w:eastAsia="仿宋" w:cs="仿宋"/>
          <w:spacing w:val="9"/>
          <w:position w:val="24"/>
          <w:sz w:val="30"/>
          <w:szCs w:val="30"/>
        </w:rPr>
        <w:t>一、部门主要职责</w:t>
      </w:r>
    </w:p>
    <w:p>
      <w:pPr>
        <w:spacing w:before="1" w:line="227" w:lineRule="auto"/>
        <w:ind w:left="1280"/>
        <w:rPr>
          <w:rFonts w:ascii="仿宋" w:hAnsi="仿宋" w:eastAsia="仿宋" w:cs="仿宋"/>
          <w:sz w:val="30"/>
          <w:szCs w:val="30"/>
        </w:rPr>
      </w:pPr>
      <w:r>
        <w:rPr>
          <w:rFonts w:ascii="仿宋" w:hAnsi="仿宋" w:eastAsia="仿宋" w:cs="仿宋"/>
          <w:spacing w:val="12"/>
          <w:sz w:val="30"/>
          <w:szCs w:val="30"/>
        </w:rPr>
        <w:t>二、部门基本情况</w:t>
      </w:r>
    </w:p>
    <w:p>
      <w:pPr>
        <w:spacing w:before="226" w:line="228" w:lineRule="auto"/>
        <w:ind w:left="648"/>
        <w:rPr>
          <w:rFonts w:ascii="黑体" w:hAnsi="黑体" w:eastAsia="黑体" w:cs="黑体"/>
          <w:sz w:val="30"/>
          <w:szCs w:val="30"/>
        </w:rPr>
      </w:pPr>
      <w:r>
        <w:rPr>
          <w:rFonts w:ascii="黑体" w:hAnsi="黑体" w:eastAsia="黑体" w:cs="黑体"/>
          <w:spacing w:val="15"/>
          <w:sz w:val="30"/>
          <w:szCs w:val="30"/>
          <w14:textOutline w14:w="5629" w14:cap="sq" w14:cmpd="sng">
            <w14:solidFill>
              <w14:srgbClr w14:val="000000"/>
            </w14:solidFill>
            <w14:prstDash w14:val="solid"/>
            <w14:bevel/>
          </w14:textOutline>
        </w:rPr>
        <w:t>第二部分</w:t>
      </w:r>
      <w:r>
        <w:rPr>
          <w:rFonts w:ascii="黑体" w:hAnsi="黑体" w:eastAsia="黑体" w:cs="黑体"/>
          <w:spacing w:val="15"/>
          <w:sz w:val="30"/>
          <w:szCs w:val="30"/>
        </w:rPr>
        <w:t xml:space="preserve">  </w:t>
      </w:r>
      <w:r>
        <w:rPr>
          <w:rFonts w:ascii="黑体" w:hAnsi="黑体" w:eastAsia="黑体" w:cs="黑体"/>
          <w:spacing w:val="15"/>
          <w:sz w:val="30"/>
          <w:szCs w:val="30"/>
          <w14:textOutline w14:w="5629" w14:cap="sq" w14:cmpd="sng">
            <w14:solidFill>
              <w14:srgbClr w14:val="000000"/>
            </w14:solidFill>
            <w14:prstDash w14:val="solid"/>
            <w14:bevel/>
          </w14:textOutline>
        </w:rPr>
        <w:t>2022年度部门决算表</w:t>
      </w:r>
    </w:p>
    <w:p>
      <w:pPr>
        <w:spacing w:before="233" w:line="628" w:lineRule="exact"/>
        <w:ind w:left="1275"/>
        <w:rPr>
          <w:rFonts w:ascii="仿宋" w:hAnsi="仿宋" w:eastAsia="仿宋" w:cs="仿宋"/>
          <w:sz w:val="30"/>
          <w:szCs w:val="30"/>
        </w:rPr>
      </w:pPr>
      <w:r>
        <w:rPr>
          <w:rFonts w:ascii="仿宋" w:hAnsi="仿宋" w:eastAsia="仿宋" w:cs="仿宋"/>
          <w:spacing w:val="11"/>
          <w:position w:val="24"/>
          <w:sz w:val="30"/>
          <w:szCs w:val="30"/>
        </w:rPr>
        <w:t>一、收入支出决算总表</w:t>
      </w:r>
    </w:p>
    <w:p>
      <w:pPr>
        <w:spacing w:before="2" w:line="227" w:lineRule="auto"/>
        <w:ind w:left="1280"/>
        <w:rPr>
          <w:rFonts w:ascii="仿宋" w:hAnsi="仿宋" w:eastAsia="仿宋" w:cs="仿宋"/>
          <w:sz w:val="30"/>
          <w:szCs w:val="30"/>
        </w:rPr>
      </w:pPr>
      <w:r>
        <w:rPr>
          <w:rFonts w:ascii="仿宋" w:hAnsi="仿宋" w:eastAsia="仿宋" w:cs="仿宋"/>
          <w:spacing w:val="-7"/>
          <w:sz w:val="30"/>
          <w:szCs w:val="30"/>
        </w:rPr>
        <w:t>二、 收入决算表</w:t>
      </w:r>
    </w:p>
    <w:p>
      <w:pPr>
        <w:spacing w:before="227" w:line="228" w:lineRule="auto"/>
        <w:ind w:left="1279"/>
        <w:rPr>
          <w:rFonts w:ascii="仿宋" w:hAnsi="仿宋" w:eastAsia="仿宋" w:cs="仿宋"/>
          <w:sz w:val="30"/>
          <w:szCs w:val="30"/>
        </w:rPr>
      </w:pPr>
      <w:r>
        <w:rPr>
          <w:rFonts w:ascii="仿宋" w:hAnsi="仿宋" w:eastAsia="仿宋" w:cs="仿宋"/>
          <w:spacing w:val="10"/>
          <w:sz w:val="30"/>
          <w:szCs w:val="30"/>
        </w:rPr>
        <w:t>三、支出决算表</w:t>
      </w:r>
    </w:p>
    <w:p>
      <w:pPr>
        <w:spacing w:before="239" w:line="228" w:lineRule="auto"/>
        <w:ind w:left="1307"/>
        <w:rPr>
          <w:rFonts w:ascii="仿宋" w:hAnsi="仿宋" w:eastAsia="仿宋" w:cs="仿宋"/>
          <w:sz w:val="30"/>
          <w:szCs w:val="30"/>
        </w:rPr>
      </w:pPr>
      <w:r>
        <w:rPr>
          <w:rFonts w:ascii="仿宋" w:hAnsi="仿宋" w:eastAsia="仿宋" w:cs="仿宋"/>
          <w:spacing w:val="-1"/>
          <w:sz w:val="30"/>
          <w:szCs w:val="30"/>
        </w:rPr>
        <w:t>四</w:t>
      </w:r>
      <w:r>
        <w:rPr>
          <w:rFonts w:ascii="仿宋" w:hAnsi="仿宋" w:eastAsia="仿宋" w:cs="仿宋"/>
          <w:spacing w:val="43"/>
          <w:sz w:val="30"/>
          <w:szCs w:val="30"/>
        </w:rPr>
        <w:t xml:space="preserve"> </w:t>
      </w:r>
      <w:r>
        <w:rPr>
          <w:rFonts w:ascii="仿宋" w:hAnsi="仿宋" w:eastAsia="仿宋" w:cs="仿宋"/>
          <w:spacing w:val="-1"/>
          <w:sz w:val="30"/>
          <w:szCs w:val="30"/>
        </w:rPr>
        <w:t>、财政拨款收入支出决算总表</w:t>
      </w:r>
    </w:p>
    <w:p>
      <w:pPr>
        <w:spacing w:before="220" w:line="228" w:lineRule="auto"/>
        <w:ind w:left="1275"/>
        <w:rPr>
          <w:rFonts w:ascii="仿宋" w:hAnsi="仿宋" w:eastAsia="仿宋" w:cs="仿宋"/>
          <w:sz w:val="30"/>
          <w:szCs w:val="30"/>
        </w:rPr>
      </w:pPr>
      <w:r>
        <w:rPr>
          <w:rFonts w:ascii="仿宋" w:hAnsi="仿宋" w:eastAsia="仿宋" w:cs="仿宋"/>
          <w:spacing w:val="6"/>
          <w:sz w:val="30"/>
          <w:szCs w:val="30"/>
        </w:rPr>
        <w:t>五、 一般公共预算财政拨款支出决算表</w:t>
      </w:r>
    </w:p>
    <w:p>
      <w:pPr>
        <w:spacing w:before="239" w:line="228" w:lineRule="auto"/>
        <w:ind w:left="1273"/>
        <w:rPr>
          <w:rFonts w:ascii="仿宋" w:hAnsi="仿宋" w:eastAsia="仿宋" w:cs="仿宋"/>
          <w:sz w:val="30"/>
          <w:szCs w:val="30"/>
        </w:rPr>
      </w:pPr>
      <w:r>
        <w:rPr>
          <w:rFonts w:ascii="仿宋" w:hAnsi="仿宋" w:eastAsia="仿宋" w:cs="仿宋"/>
          <w:spacing w:val="7"/>
          <w:sz w:val="30"/>
          <w:szCs w:val="30"/>
        </w:rPr>
        <w:t>六、 一般公共预算财政拨款基本支出决算表</w:t>
      </w:r>
    </w:p>
    <w:p>
      <w:pPr>
        <w:spacing w:before="220" w:line="617" w:lineRule="exact"/>
        <w:ind w:left="1277"/>
        <w:rPr>
          <w:rFonts w:ascii="仿宋" w:hAnsi="仿宋" w:eastAsia="仿宋" w:cs="仿宋"/>
          <w:sz w:val="30"/>
          <w:szCs w:val="30"/>
        </w:rPr>
      </w:pPr>
      <w:r>
        <w:rPr>
          <w:rFonts w:ascii="仿宋" w:hAnsi="仿宋" w:eastAsia="仿宋" w:cs="仿宋"/>
          <w:spacing w:val="15"/>
          <w:position w:val="23"/>
          <w:sz w:val="30"/>
          <w:szCs w:val="30"/>
        </w:rPr>
        <w:t>七、政府性基金预算财政拨款收入支出决算表</w:t>
      </w:r>
    </w:p>
    <w:p>
      <w:pPr>
        <w:spacing w:before="1" w:line="227" w:lineRule="auto"/>
        <w:ind w:left="1269"/>
        <w:rPr>
          <w:rFonts w:ascii="仿宋" w:hAnsi="仿宋" w:eastAsia="仿宋" w:cs="仿宋"/>
          <w:sz w:val="30"/>
          <w:szCs w:val="30"/>
        </w:rPr>
      </w:pPr>
      <w:r>
        <w:rPr>
          <w:rFonts w:ascii="仿宋" w:hAnsi="仿宋" w:eastAsia="仿宋" w:cs="仿宋"/>
          <w:spacing w:val="8"/>
          <w:sz w:val="30"/>
          <w:szCs w:val="30"/>
        </w:rPr>
        <w:t>八、 国有资本经营预算财政拨款支出决算表</w:t>
      </w:r>
    </w:p>
    <w:p>
      <w:pPr>
        <w:spacing w:before="215" w:line="228" w:lineRule="auto"/>
        <w:ind w:left="1282"/>
        <w:rPr>
          <w:rFonts w:ascii="仿宋" w:hAnsi="仿宋" w:eastAsia="仿宋" w:cs="仿宋"/>
          <w:sz w:val="30"/>
          <w:szCs w:val="30"/>
        </w:rPr>
      </w:pPr>
      <w:r>
        <w:rPr>
          <w:rFonts w:ascii="仿宋" w:hAnsi="仿宋" w:eastAsia="仿宋" w:cs="仿宋"/>
          <w:spacing w:val="9"/>
          <w:sz w:val="30"/>
          <w:szCs w:val="30"/>
        </w:rPr>
        <w:t>九、财政拨款“</w:t>
      </w:r>
      <w:r>
        <w:rPr>
          <w:rFonts w:ascii="仿宋" w:hAnsi="仿宋" w:eastAsia="仿宋" w:cs="仿宋"/>
          <w:spacing w:val="-115"/>
          <w:sz w:val="30"/>
          <w:szCs w:val="30"/>
        </w:rPr>
        <w:t xml:space="preserve"> </w:t>
      </w:r>
      <w:r>
        <w:rPr>
          <w:rFonts w:ascii="仿宋" w:hAnsi="仿宋" w:eastAsia="仿宋" w:cs="仿宋"/>
          <w:spacing w:val="9"/>
          <w:sz w:val="30"/>
          <w:szCs w:val="30"/>
        </w:rPr>
        <w:t>三公</w:t>
      </w:r>
      <w:r>
        <w:rPr>
          <w:rFonts w:ascii="仿宋" w:hAnsi="仿宋" w:eastAsia="仿宋" w:cs="仿宋"/>
          <w:spacing w:val="-104"/>
          <w:sz w:val="30"/>
          <w:szCs w:val="30"/>
        </w:rPr>
        <w:t xml:space="preserve"> </w:t>
      </w:r>
      <w:r>
        <w:rPr>
          <w:rFonts w:ascii="仿宋" w:hAnsi="仿宋" w:eastAsia="仿宋" w:cs="仿宋"/>
          <w:spacing w:val="9"/>
          <w:sz w:val="30"/>
          <w:szCs w:val="30"/>
        </w:rPr>
        <w:t>”经费支出决算表</w:t>
      </w:r>
    </w:p>
    <w:p>
      <w:pPr>
        <w:spacing w:before="237" w:line="229" w:lineRule="auto"/>
        <w:ind w:left="1279"/>
        <w:rPr>
          <w:rFonts w:ascii="仿宋" w:hAnsi="仿宋" w:eastAsia="仿宋" w:cs="仿宋"/>
          <w:sz w:val="30"/>
          <w:szCs w:val="30"/>
        </w:rPr>
      </w:pPr>
      <w:r>
        <w:rPr>
          <w:rFonts w:ascii="仿宋" w:hAnsi="仿宋" w:eastAsia="仿宋" w:cs="仿宋"/>
          <w:spacing w:val="-1"/>
          <w:sz w:val="30"/>
          <w:szCs w:val="30"/>
        </w:rPr>
        <w:t>十 、国有资产占用情况表</w:t>
      </w:r>
    </w:p>
    <w:p>
      <w:pPr>
        <w:spacing w:line="229" w:lineRule="auto"/>
        <w:rPr>
          <w:rFonts w:ascii="仿宋" w:hAnsi="仿宋" w:eastAsia="仿宋" w:cs="仿宋"/>
          <w:sz w:val="30"/>
          <w:szCs w:val="30"/>
        </w:rPr>
        <w:sectPr>
          <w:footerReference r:id="rId5" w:type="default"/>
          <w:pgSz w:w="11880" w:h="16900"/>
          <w:pgMar w:top="1436" w:right="1482" w:bottom="1656" w:left="1677" w:header="0" w:footer="1351" w:gutter="0"/>
          <w:cols w:space="720" w:num="1"/>
        </w:sectPr>
      </w:pPr>
      <w:bookmarkStart w:id="0" w:name="_GoBack"/>
      <w:bookmarkEnd w:id="0"/>
    </w:p>
    <w:p>
      <w:pPr>
        <w:pStyle w:val="2"/>
        <w:spacing w:line="250" w:lineRule="auto"/>
      </w:pPr>
    </w:p>
    <w:p>
      <w:pPr>
        <w:pStyle w:val="2"/>
        <w:spacing w:line="250" w:lineRule="auto"/>
      </w:pPr>
    </w:p>
    <w:p>
      <w:pPr>
        <w:pStyle w:val="2"/>
        <w:spacing w:line="250" w:lineRule="auto"/>
      </w:pPr>
    </w:p>
    <w:p>
      <w:pPr>
        <w:spacing w:before="98" w:line="227" w:lineRule="auto"/>
        <w:ind w:left="504"/>
        <w:rPr>
          <w:rFonts w:ascii="黑体" w:hAnsi="黑体" w:eastAsia="黑体" w:cs="黑体"/>
          <w:sz w:val="30"/>
          <w:szCs w:val="30"/>
        </w:rPr>
      </w:pPr>
      <w:r>
        <w:rPr>
          <w:rFonts w:ascii="黑体" w:hAnsi="黑体" w:eastAsia="黑体" w:cs="黑体"/>
          <w:spacing w:val="13"/>
          <w:sz w:val="30"/>
          <w:szCs w:val="30"/>
          <w14:textOutline w14:w="5629" w14:cap="sq" w14:cmpd="sng">
            <w14:solidFill>
              <w14:srgbClr w14:val="000000"/>
            </w14:solidFill>
            <w14:prstDash w14:val="solid"/>
            <w14:bevel/>
          </w14:textOutline>
        </w:rPr>
        <w:t>第三部分</w:t>
      </w:r>
      <w:r>
        <w:rPr>
          <w:rFonts w:ascii="黑体" w:hAnsi="黑体" w:eastAsia="黑体" w:cs="黑体"/>
          <w:spacing w:val="13"/>
          <w:sz w:val="30"/>
          <w:szCs w:val="30"/>
        </w:rPr>
        <w:t xml:space="preserve">  </w:t>
      </w:r>
      <w:r>
        <w:rPr>
          <w:rFonts w:ascii="黑体" w:hAnsi="黑体" w:eastAsia="黑体" w:cs="黑体"/>
          <w:spacing w:val="13"/>
          <w:sz w:val="30"/>
          <w:szCs w:val="30"/>
          <w14:textOutline w14:w="5629" w14:cap="sq" w14:cmpd="sng">
            <w14:solidFill>
              <w14:srgbClr w14:val="000000"/>
            </w14:solidFill>
            <w14:prstDash w14:val="solid"/>
            <w14:bevel/>
          </w14:textOutline>
        </w:rPr>
        <w:t>2022年度部门决算情况说明</w:t>
      </w:r>
    </w:p>
    <w:p>
      <w:pPr>
        <w:spacing w:before="226" w:line="628" w:lineRule="exact"/>
        <w:ind w:left="1134"/>
        <w:rPr>
          <w:rFonts w:ascii="仿宋" w:hAnsi="仿宋" w:eastAsia="仿宋" w:cs="仿宋"/>
          <w:sz w:val="30"/>
          <w:szCs w:val="30"/>
        </w:rPr>
      </w:pPr>
      <w:r>
        <w:rPr>
          <w:rFonts w:ascii="仿宋" w:hAnsi="仿宋" w:eastAsia="仿宋" w:cs="仿宋"/>
          <w:spacing w:val="10"/>
          <w:position w:val="24"/>
          <w:sz w:val="30"/>
          <w:szCs w:val="30"/>
        </w:rPr>
        <w:t>一、收入决算情况说明</w:t>
      </w:r>
    </w:p>
    <w:p>
      <w:pPr>
        <w:spacing w:before="1" w:line="227" w:lineRule="auto"/>
        <w:ind w:left="1139"/>
        <w:rPr>
          <w:rFonts w:ascii="仿宋" w:hAnsi="仿宋" w:eastAsia="仿宋" w:cs="仿宋"/>
          <w:sz w:val="30"/>
          <w:szCs w:val="30"/>
        </w:rPr>
      </w:pPr>
      <w:r>
        <w:rPr>
          <w:rFonts w:ascii="仿宋" w:hAnsi="仿宋" w:eastAsia="仿宋" w:cs="仿宋"/>
          <w:spacing w:val="10"/>
          <w:sz w:val="30"/>
          <w:szCs w:val="30"/>
        </w:rPr>
        <w:t>二、支出决算情况说明</w:t>
      </w:r>
    </w:p>
    <w:p>
      <w:pPr>
        <w:spacing w:before="227" w:line="228" w:lineRule="auto"/>
        <w:ind w:left="1138"/>
        <w:rPr>
          <w:rFonts w:ascii="仿宋" w:hAnsi="仿宋" w:eastAsia="仿宋" w:cs="仿宋"/>
          <w:sz w:val="30"/>
          <w:szCs w:val="30"/>
        </w:rPr>
      </w:pPr>
      <w:r>
        <w:rPr>
          <w:rFonts w:ascii="仿宋" w:hAnsi="仿宋" w:eastAsia="仿宋" w:cs="仿宋"/>
          <w:spacing w:val="10"/>
          <w:sz w:val="30"/>
          <w:szCs w:val="30"/>
        </w:rPr>
        <w:t>三、财政拨款支出决算情况说明</w:t>
      </w:r>
    </w:p>
    <w:p>
      <w:pPr>
        <w:spacing w:before="208" w:line="631" w:lineRule="exact"/>
        <w:ind w:left="1166"/>
        <w:rPr>
          <w:rFonts w:ascii="仿宋" w:hAnsi="仿宋" w:eastAsia="仿宋" w:cs="仿宋"/>
          <w:sz w:val="30"/>
          <w:szCs w:val="30"/>
        </w:rPr>
      </w:pPr>
      <w:r>
        <w:rPr>
          <w:rFonts w:ascii="仿宋" w:hAnsi="仿宋" w:eastAsia="仿宋" w:cs="仿宋"/>
          <w:spacing w:val="3"/>
          <w:position w:val="24"/>
          <w:sz w:val="30"/>
          <w:szCs w:val="30"/>
        </w:rPr>
        <w:t>四</w:t>
      </w:r>
      <w:r>
        <w:rPr>
          <w:rFonts w:ascii="仿宋" w:hAnsi="仿宋" w:eastAsia="仿宋" w:cs="仿宋"/>
          <w:spacing w:val="57"/>
          <w:position w:val="24"/>
          <w:sz w:val="30"/>
          <w:szCs w:val="30"/>
        </w:rPr>
        <w:t xml:space="preserve"> </w:t>
      </w:r>
      <w:r>
        <w:rPr>
          <w:rFonts w:ascii="仿宋" w:hAnsi="仿宋" w:eastAsia="仿宋" w:cs="仿宋"/>
          <w:spacing w:val="3"/>
          <w:position w:val="24"/>
          <w:sz w:val="30"/>
          <w:szCs w:val="30"/>
        </w:rPr>
        <w:t>、一般公共预算财政拨款基本支出决算情况说明</w:t>
      </w:r>
    </w:p>
    <w:p>
      <w:pPr>
        <w:spacing w:before="1" w:line="227" w:lineRule="auto"/>
        <w:ind w:left="1134"/>
        <w:rPr>
          <w:rFonts w:ascii="仿宋" w:hAnsi="仿宋" w:eastAsia="仿宋" w:cs="仿宋"/>
          <w:sz w:val="30"/>
          <w:szCs w:val="30"/>
        </w:rPr>
      </w:pPr>
      <w:r>
        <w:rPr>
          <w:rFonts w:ascii="仿宋" w:hAnsi="仿宋" w:eastAsia="仿宋" w:cs="仿宋"/>
          <w:spacing w:val="10"/>
          <w:sz w:val="30"/>
          <w:szCs w:val="30"/>
        </w:rPr>
        <w:t>五、财政拨款“三公</w:t>
      </w:r>
      <w:r>
        <w:rPr>
          <w:rFonts w:ascii="仿宋" w:hAnsi="仿宋" w:eastAsia="仿宋" w:cs="仿宋"/>
          <w:spacing w:val="-84"/>
          <w:sz w:val="30"/>
          <w:szCs w:val="30"/>
        </w:rPr>
        <w:t xml:space="preserve"> </w:t>
      </w:r>
      <w:r>
        <w:rPr>
          <w:rFonts w:ascii="仿宋" w:hAnsi="仿宋" w:eastAsia="仿宋" w:cs="仿宋"/>
          <w:spacing w:val="10"/>
          <w:sz w:val="30"/>
          <w:szCs w:val="30"/>
        </w:rPr>
        <w:t>”经费支出决算情况说明</w:t>
      </w:r>
    </w:p>
    <w:p>
      <w:pPr>
        <w:spacing w:before="225" w:line="593" w:lineRule="exact"/>
        <w:ind w:left="1132"/>
        <w:rPr>
          <w:rFonts w:ascii="仿宋" w:hAnsi="仿宋" w:eastAsia="仿宋" w:cs="仿宋"/>
          <w:sz w:val="30"/>
          <w:szCs w:val="30"/>
        </w:rPr>
      </w:pPr>
      <w:r>
        <w:rPr>
          <w:rFonts w:ascii="仿宋" w:hAnsi="仿宋" w:eastAsia="仿宋" w:cs="仿宋"/>
          <w:spacing w:val="12"/>
          <w:position w:val="21"/>
          <w:sz w:val="30"/>
          <w:szCs w:val="30"/>
        </w:rPr>
        <w:t>六、机关运行经费支出情况说明</w:t>
      </w:r>
    </w:p>
    <w:p>
      <w:pPr>
        <w:spacing w:before="1" w:line="228" w:lineRule="auto"/>
        <w:ind w:left="1135"/>
        <w:rPr>
          <w:rFonts w:ascii="仿宋" w:hAnsi="仿宋" w:eastAsia="仿宋" w:cs="仿宋"/>
          <w:sz w:val="30"/>
          <w:szCs w:val="30"/>
        </w:rPr>
      </w:pPr>
      <w:r>
        <w:rPr>
          <w:rFonts w:ascii="仿宋" w:hAnsi="仿宋" w:eastAsia="仿宋" w:cs="仿宋"/>
          <w:spacing w:val="12"/>
          <w:sz w:val="30"/>
          <w:szCs w:val="30"/>
        </w:rPr>
        <w:t>七、政府采购支出情况说明</w:t>
      </w:r>
    </w:p>
    <w:p>
      <w:pPr>
        <w:spacing w:before="259" w:line="229" w:lineRule="auto"/>
        <w:ind w:left="1128"/>
        <w:rPr>
          <w:rFonts w:ascii="仿宋" w:hAnsi="仿宋" w:eastAsia="仿宋" w:cs="仿宋"/>
          <w:sz w:val="30"/>
          <w:szCs w:val="30"/>
        </w:rPr>
      </w:pPr>
      <w:r>
        <w:rPr>
          <w:rFonts w:ascii="仿宋" w:hAnsi="仿宋" w:eastAsia="仿宋" w:cs="仿宋"/>
          <w:spacing w:val="1"/>
          <w:sz w:val="30"/>
          <w:szCs w:val="30"/>
        </w:rPr>
        <w:t>八 、国有资产占用情况说明</w:t>
      </w:r>
    </w:p>
    <w:p>
      <w:pPr>
        <w:spacing w:before="226" w:line="581" w:lineRule="exact"/>
        <w:ind w:left="1140"/>
        <w:rPr>
          <w:rFonts w:ascii="仿宋" w:hAnsi="仿宋" w:eastAsia="仿宋" w:cs="仿宋"/>
          <w:sz w:val="30"/>
          <w:szCs w:val="30"/>
        </w:rPr>
      </w:pPr>
      <w:r>
        <w:rPr>
          <w:rFonts w:ascii="仿宋" w:hAnsi="仿宋" w:eastAsia="仿宋" w:cs="仿宋"/>
          <w:spacing w:val="-2"/>
          <w:position w:val="20"/>
          <w:sz w:val="30"/>
          <w:szCs w:val="30"/>
        </w:rPr>
        <w:t>九、 预算绩效情况说明</w:t>
      </w:r>
    </w:p>
    <w:p>
      <w:pPr>
        <w:spacing w:before="1" w:line="227" w:lineRule="auto"/>
        <w:ind w:left="499"/>
        <w:rPr>
          <w:rFonts w:ascii="黑体" w:hAnsi="黑体" w:eastAsia="黑体" w:cs="黑体"/>
          <w:sz w:val="30"/>
          <w:szCs w:val="30"/>
        </w:rPr>
      </w:pPr>
      <w:r>
        <w:rPr>
          <w:rFonts w:ascii="黑体" w:hAnsi="黑体" w:eastAsia="黑体" w:cs="黑体"/>
          <w:spacing w:val="10"/>
          <w:sz w:val="30"/>
          <w:szCs w:val="30"/>
        </w:rPr>
        <w:t>第四部分</w:t>
      </w:r>
      <w:r>
        <w:rPr>
          <w:rFonts w:ascii="黑体" w:hAnsi="黑体" w:eastAsia="黑体" w:cs="黑体"/>
          <w:spacing w:val="22"/>
          <w:sz w:val="30"/>
          <w:szCs w:val="30"/>
        </w:rPr>
        <w:t xml:space="preserve">  </w:t>
      </w:r>
      <w:r>
        <w:rPr>
          <w:rFonts w:ascii="黑体" w:hAnsi="黑体" w:eastAsia="黑体" w:cs="黑体"/>
          <w:spacing w:val="10"/>
          <w:sz w:val="30"/>
          <w:szCs w:val="30"/>
        </w:rPr>
        <w:t>名词解释</w:t>
      </w:r>
    </w:p>
    <w:p>
      <w:pPr>
        <w:spacing w:before="259" w:line="228" w:lineRule="auto"/>
        <w:ind w:left="499"/>
        <w:rPr>
          <w:rFonts w:ascii="黑体" w:hAnsi="黑体" w:eastAsia="黑体" w:cs="黑体"/>
          <w:sz w:val="30"/>
          <w:szCs w:val="30"/>
        </w:rPr>
      </w:pPr>
      <w:r>
        <w:rPr>
          <w:rFonts w:ascii="黑体" w:hAnsi="黑体" w:eastAsia="黑体" w:cs="黑体"/>
          <w:spacing w:val="7"/>
          <w:sz w:val="30"/>
          <w:szCs w:val="30"/>
        </w:rPr>
        <w:t>第五部分</w:t>
      </w:r>
      <w:r>
        <w:rPr>
          <w:rFonts w:ascii="黑体" w:hAnsi="黑体" w:eastAsia="黑体" w:cs="黑体"/>
          <w:spacing w:val="29"/>
          <w:sz w:val="30"/>
          <w:szCs w:val="30"/>
        </w:rPr>
        <w:t xml:space="preserve">  </w:t>
      </w:r>
      <w:r>
        <w:rPr>
          <w:rFonts w:ascii="黑体" w:hAnsi="黑体" w:eastAsia="黑体" w:cs="黑体"/>
          <w:spacing w:val="7"/>
          <w:sz w:val="30"/>
          <w:szCs w:val="30"/>
        </w:rPr>
        <w:t>附件</w:t>
      </w:r>
    </w:p>
    <w:p>
      <w:pPr>
        <w:spacing w:line="228" w:lineRule="auto"/>
        <w:rPr>
          <w:rFonts w:ascii="黑体" w:hAnsi="黑体" w:eastAsia="黑体" w:cs="黑体"/>
          <w:sz w:val="30"/>
          <w:szCs w:val="30"/>
        </w:rPr>
        <w:sectPr>
          <w:footerReference r:id="rId6" w:type="default"/>
          <w:pgSz w:w="11870" w:h="16830"/>
          <w:pgMar w:top="1430" w:right="1523" w:bottom="1575" w:left="1780" w:header="0" w:footer="1271" w:gutter="0"/>
          <w:cols w:space="720" w:num="1"/>
        </w:sectPr>
      </w:pPr>
    </w:p>
    <w:p>
      <w:pPr>
        <w:pStyle w:val="2"/>
        <w:spacing w:line="302" w:lineRule="auto"/>
      </w:pPr>
    </w:p>
    <w:p>
      <w:pPr>
        <w:pStyle w:val="2"/>
        <w:spacing w:line="303" w:lineRule="auto"/>
      </w:pPr>
    </w:p>
    <w:p>
      <w:pPr>
        <w:spacing w:before="134" w:line="224" w:lineRule="auto"/>
        <w:ind w:left="2292"/>
        <w:jc w:val="both"/>
        <w:rPr>
          <w:rFonts w:ascii="宋体" w:hAnsi="宋体" w:eastAsia="宋体" w:cs="宋体"/>
          <w:spacing w:val="92"/>
          <w:sz w:val="41"/>
          <w:szCs w:val="41"/>
        </w:rPr>
      </w:pPr>
      <w:r>
        <w:rPr>
          <w:rFonts w:ascii="宋体" w:hAnsi="宋体" w:eastAsia="宋体" w:cs="宋体"/>
          <w:spacing w:val="3"/>
          <w:sz w:val="41"/>
          <w:szCs w:val="41"/>
          <w14:textOutline w14:w="7627" w14:cap="sq" w14:cmpd="sng">
            <w14:solidFill>
              <w14:srgbClr w14:val="000000"/>
            </w14:solidFill>
            <w14:prstDash w14:val="solid"/>
            <w14:bevel/>
          </w14:textOutline>
        </w:rPr>
        <w:t>第一部分</w:t>
      </w:r>
    </w:p>
    <w:p>
      <w:pPr>
        <w:spacing w:before="134" w:line="224" w:lineRule="auto"/>
        <w:ind w:left="2292"/>
        <w:jc w:val="both"/>
        <w:rPr>
          <w:rFonts w:ascii="宋体" w:hAnsi="宋体" w:eastAsia="宋体" w:cs="宋体"/>
          <w:sz w:val="41"/>
          <w:szCs w:val="41"/>
        </w:rPr>
      </w:pPr>
      <w:r>
        <w:rPr>
          <w:rFonts w:hint="eastAsia" w:ascii="宋体" w:hAnsi="宋体" w:eastAsia="宋体" w:cs="宋体"/>
          <w:spacing w:val="3"/>
          <w:sz w:val="41"/>
          <w:szCs w:val="41"/>
          <w:lang w:eastAsia="zh-CN"/>
          <w14:textOutline w14:w="7627" w14:cap="sq" w14:cmpd="sng">
            <w14:solidFill>
              <w14:srgbClr w14:val="000000"/>
            </w14:solidFill>
            <w14:prstDash w14:val="solid"/>
            <w14:bevel/>
          </w14:textOutline>
        </w:rPr>
        <w:t>浮梁县城市管理局</w:t>
      </w:r>
      <w:r>
        <w:rPr>
          <w:rFonts w:ascii="宋体" w:hAnsi="宋体" w:eastAsia="宋体" w:cs="宋体"/>
          <w:spacing w:val="3"/>
          <w:sz w:val="41"/>
          <w:szCs w:val="41"/>
          <w14:textOutline w14:w="7627" w14:cap="sq" w14:cmpd="sng">
            <w14:solidFill>
              <w14:srgbClr w14:val="000000"/>
            </w14:solidFill>
            <w14:prstDash w14:val="solid"/>
            <w14:bevel/>
          </w14:textOutline>
        </w:rPr>
        <w:t>部门概况</w:t>
      </w:r>
    </w:p>
    <w:p>
      <w:pPr>
        <w:pStyle w:val="2"/>
        <w:spacing w:line="336" w:lineRule="auto"/>
      </w:pPr>
    </w:p>
    <w:p>
      <w:pPr>
        <w:pStyle w:val="2"/>
        <w:spacing w:line="336" w:lineRule="auto"/>
      </w:pPr>
    </w:p>
    <w:p>
      <w:pPr>
        <w:spacing w:before="101" w:line="228" w:lineRule="auto"/>
        <w:ind w:left="630"/>
        <w:outlineLvl w:val="0"/>
        <w:rPr>
          <w:rFonts w:ascii="黑体" w:hAnsi="黑体" w:eastAsia="黑体" w:cs="黑体"/>
          <w:sz w:val="31"/>
          <w:szCs w:val="31"/>
        </w:rPr>
      </w:pPr>
      <w:r>
        <w:rPr>
          <w:rFonts w:ascii="黑体" w:hAnsi="黑体" w:eastAsia="黑体" w:cs="黑体"/>
          <w:sz w:val="31"/>
          <w:szCs w:val="31"/>
          <w14:textOutline w14:w="5793" w14:cap="sq" w14:cmpd="sng">
            <w14:solidFill>
              <w14:srgbClr w14:val="000000"/>
            </w14:solidFill>
            <w14:prstDash w14:val="solid"/>
            <w14:bevel/>
          </w14:textOutline>
        </w:rPr>
        <w:t>一、部门主要职能</w:t>
      </w:r>
    </w:p>
    <w:p>
      <w:pPr>
        <w:widowControl/>
        <w:shd w:val="clear" w:color="auto" w:fill="FFFFFF"/>
        <w:spacing w:line="360" w:lineRule="atLeast"/>
        <w:ind w:firstLine="480"/>
        <w:jc w:val="left"/>
        <w:rPr>
          <w:rFonts w:ascii="仿宋" w:hAnsi="仿宋" w:eastAsia="仿宋" w:cs="Arial"/>
          <w:color w:val="333333"/>
          <w:kern w:val="0"/>
          <w:sz w:val="32"/>
          <w:szCs w:val="32"/>
        </w:rPr>
      </w:pPr>
      <w:r>
        <w:rPr>
          <w:rFonts w:hint="eastAsia" w:ascii="仿宋" w:hAnsi="仿宋" w:eastAsia="仿宋"/>
          <w:sz w:val="30"/>
          <w:szCs w:val="30"/>
        </w:rPr>
        <w:t>（一）</w:t>
      </w:r>
      <w:r>
        <w:rPr>
          <w:rFonts w:hint="eastAsia" w:ascii="仿宋_GB2312" w:hAnsi="Calibri" w:eastAsia="仿宋_GB2312"/>
          <w:sz w:val="30"/>
          <w:szCs w:val="30"/>
        </w:rPr>
        <w:t>基本职能：</w:t>
      </w:r>
      <w:r>
        <w:rPr>
          <w:rFonts w:hint="eastAsia" w:ascii="仿宋" w:hAnsi="仿宋" w:eastAsia="仿宋" w:cs="Arial"/>
          <w:color w:val="333333"/>
          <w:kern w:val="0"/>
          <w:sz w:val="32"/>
          <w:szCs w:val="32"/>
        </w:rPr>
        <w:t>（1）</w:t>
      </w:r>
      <w:r>
        <w:rPr>
          <w:rFonts w:ascii="仿宋" w:hAnsi="仿宋" w:eastAsia="仿宋" w:cs="Arial"/>
          <w:color w:val="333333"/>
          <w:kern w:val="0"/>
          <w:sz w:val="32"/>
          <w:szCs w:val="32"/>
        </w:rPr>
        <w:t>研究制定该区城镇市容环境管理及综合执法工作的中长期规划和年度计划；研究制定城市容貌管理标准和现代化管理手段；组织草拟我区城市环境卫生、市政设施、园林绿化，市容环境的管理办法。</w:t>
      </w:r>
    </w:p>
    <w:p>
      <w:pPr>
        <w:widowControl/>
        <w:shd w:val="clear" w:color="auto" w:fill="FFFFFF"/>
        <w:spacing w:line="360" w:lineRule="atLeast"/>
        <w:ind w:firstLine="480"/>
        <w:jc w:val="left"/>
        <w:rPr>
          <w:rFonts w:ascii="仿宋" w:hAnsi="仿宋" w:eastAsia="仿宋" w:cs="Arial"/>
          <w:color w:val="333333"/>
          <w:kern w:val="0"/>
          <w:sz w:val="32"/>
          <w:szCs w:val="32"/>
        </w:rPr>
      </w:pPr>
      <w:r>
        <w:rPr>
          <w:rFonts w:hint="eastAsia" w:ascii="仿宋" w:hAnsi="仿宋" w:eastAsia="仿宋" w:cs="Arial"/>
          <w:color w:val="333333"/>
          <w:kern w:val="0"/>
          <w:sz w:val="32"/>
          <w:szCs w:val="32"/>
        </w:rPr>
        <w:t>（2）</w:t>
      </w:r>
      <w:r>
        <w:rPr>
          <w:rFonts w:ascii="仿宋" w:hAnsi="仿宋" w:eastAsia="仿宋" w:cs="Arial"/>
          <w:color w:val="333333"/>
          <w:kern w:val="0"/>
          <w:sz w:val="32"/>
          <w:szCs w:val="32"/>
        </w:rPr>
        <w:t>负责牵头编制我区城市管理及综合执法工作经费的年度计划和中长期计划；会同有关部门对市容环境行政事业性收费工作进行监督管理。</w:t>
      </w:r>
    </w:p>
    <w:p>
      <w:pPr>
        <w:widowControl/>
        <w:shd w:val="clear" w:color="auto" w:fill="FFFFFF"/>
        <w:spacing w:line="360" w:lineRule="atLeast"/>
        <w:ind w:firstLine="480"/>
        <w:jc w:val="left"/>
        <w:rPr>
          <w:rFonts w:ascii="仿宋" w:hAnsi="仿宋" w:eastAsia="仿宋" w:cs="Arial"/>
          <w:color w:val="333333"/>
          <w:kern w:val="0"/>
          <w:sz w:val="32"/>
          <w:szCs w:val="32"/>
        </w:rPr>
      </w:pPr>
      <w:r>
        <w:rPr>
          <w:rFonts w:hint="eastAsia" w:ascii="仿宋" w:hAnsi="仿宋" w:eastAsia="仿宋" w:cs="Arial"/>
          <w:color w:val="333333"/>
          <w:kern w:val="0"/>
          <w:sz w:val="32"/>
          <w:szCs w:val="32"/>
        </w:rPr>
        <w:t>（3）</w:t>
      </w:r>
      <w:r>
        <w:rPr>
          <w:rFonts w:ascii="仿宋" w:hAnsi="仿宋" w:eastAsia="仿宋" w:cs="Arial"/>
          <w:color w:val="333333"/>
          <w:kern w:val="0"/>
          <w:sz w:val="32"/>
          <w:szCs w:val="32"/>
        </w:rPr>
        <w:t>主管城市环境卫生工作；负责大、中型市容环境卫生设施建设项目的方案审查和实施的监督管理，参与城市新建、改扩建项目中的市容环卫配套设施方案的审核和监督管理；负责管理城市道路的冲洗洒水和生活垃圾、特种垃圾、建筑垃圾的收集、清运、处置；负责机动车清洗、环境卫生企业的行业管理。</w:t>
      </w:r>
    </w:p>
    <w:p>
      <w:pPr>
        <w:widowControl/>
        <w:shd w:val="clear" w:color="auto" w:fill="FFFFFF"/>
        <w:spacing w:line="360" w:lineRule="atLeast"/>
        <w:ind w:firstLine="480"/>
        <w:jc w:val="left"/>
        <w:rPr>
          <w:rFonts w:ascii="仿宋" w:hAnsi="仿宋" w:eastAsia="仿宋" w:cs="Arial"/>
          <w:color w:val="333333"/>
          <w:kern w:val="0"/>
          <w:sz w:val="32"/>
          <w:szCs w:val="32"/>
        </w:rPr>
      </w:pPr>
      <w:r>
        <w:rPr>
          <w:rFonts w:hint="eastAsia" w:ascii="仿宋" w:hAnsi="仿宋" w:eastAsia="仿宋" w:cs="Arial"/>
          <w:color w:val="333333"/>
          <w:kern w:val="0"/>
          <w:sz w:val="32"/>
          <w:szCs w:val="32"/>
        </w:rPr>
        <w:t>（4）</w:t>
      </w:r>
      <w:r>
        <w:rPr>
          <w:rFonts w:ascii="仿宋" w:hAnsi="仿宋" w:eastAsia="仿宋" w:cs="Arial"/>
          <w:color w:val="333333"/>
          <w:kern w:val="0"/>
          <w:sz w:val="32"/>
          <w:szCs w:val="32"/>
        </w:rPr>
        <w:t>负责对临时占用城市道路（含人行道）；对利用城市道路设置建筑物、构筑物（路名牌、人行道护栏、车行道隔离栏、安全岛等除外）的行为进行监督管理。</w:t>
      </w:r>
    </w:p>
    <w:p>
      <w:pPr>
        <w:widowControl/>
        <w:shd w:val="clear" w:color="auto" w:fill="FFFFFF"/>
        <w:spacing w:line="360" w:lineRule="atLeast"/>
        <w:ind w:firstLine="480"/>
        <w:jc w:val="left"/>
        <w:rPr>
          <w:rFonts w:ascii="仿宋" w:hAnsi="仿宋" w:eastAsia="仿宋" w:cs="Arial"/>
          <w:color w:val="333333"/>
          <w:kern w:val="0"/>
          <w:sz w:val="32"/>
          <w:szCs w:val="32"/>
        </w:rPr>
      </w:pPr>
      <w:r>
        <w:rPr>
          <w:rFonts w:hint="eastAsia" w:ascii="仿宋" w:hAnsi="仿宋" w:eastAsia="仿宋" w:cs="Arial"/>
          <w:color w:val="333333"/>
          <w:kern w:val="0"/>
          <w:sz w:val="32"/>
          <w:szCs w:val="32"/>
        </w:rPr>
        <w:t>（5）</w:t>
      </w:r>
      <w:r>
        <w:rPr>
          <w:rFonts w:ascii="仿宋" w:hAnsi="仿宋" w:eastAsia="仿宋" w:cs="Arial"/>
          <w:color w:val="333333"/>
          <w:kern w:val="0"/>
          <w:sz w:val="32"/>
          <w:szCs w:val="32"/>
        </w:rPr>
        <w:t>负责城区停车场（库）、菜市场的组织实施；负责临时占道机动车、非机动车停车场（点）的定点工作；负责政府投资建设的机动车停车场（点）的日常管理；负责三轮车日常管理。</w:t>
      </w:r>
    </w:p>
    <w:p>
      <w:pPr>
        <w:widowControl/>
        <w:shd w:val="clear" w:color="auto" w:fill="FFFFFF"/>
        <w:spacing w:line="360" w:lineRule="atLeast"/>
        <w:ind w:firstLine="480"/>
        <w:jc w:val="left"/>
        <w:rPr>
          <w:rFonts w:ascii="仿宋" w:hAnsi="仿宋" w:eastAsia="仿宋" w:cs="Arial"/>
          <w:color w:val="333333"/>
          <w:kern w:val="0"/>
          <w:sz w:val="32"/>
          <w:szCs w:val="32"/>
        </w:rPr>
      </w:pPr>
      <w:r>
        <w:rPr>
          <w:rFonts w:hint="eastAsia" w:ascii="仿宋" w:hAnsi="仿宋" w:eastAsia="仿宋" w:cs="Arial"/>
          <w:color w:val="333333"/>
          <w:kern w:val="0"/>
          <w:sz w:val="32"/>
          <w:szCs w:val="32"/>
        </w:rPr>
        <w:t>（6）</w:t>
      </w:r>
      <w:r>
        <w:rPr>
          <w:rFonts w:ascii="仿宋" w:hAnsi="仿宋" w:eastAsia="仿宋" w:cs="Arial"/>
          <w:color w:val="333333"/>
          <w:kern w:val="0"/>
          <w:sz w:val="32"/>
          <w:szCs w:val="32"/>
        </w:rPr>
        <w:t>负责城镇户外广告定点的监督管理；对利用园林绿化设施、市政府附属设施和利用建筑物等占用城市空间影响市容市貌的行为进行监督管理。</w:t>
      </w:r>
    </w:p>
    <w:p>
      <w:pPr>
        <w:widowControl/>
        <w:shd w:val="clear" w:color="auto" w:fill="FFFFFF"/>
        <w:spacing w:line="360" w:lineRule="atLeast"/>
        <w:ind w:firstLine="480"/>
        <w:jc w:val="left"/>
        <w:rPr>
          <w:rFonts w:ascii="仿宋" w:hAnsi="仿宋" w:eastAsia="仿宋" w:cs="Arial"/>
          <w:color w:val="333333"/>
          <w:kern w:val="0"/>
          <w:sz w:val="32"/>
          <w:szCs w:val="32"/>
        </w:rPr>
      </w:pPr>
      <w:r>
        <w:rPr>
          <w:rFonts w:hint="eastAsia" w:ascii="仿宋" w:hAnsi="仿宋" w:eastAsia="仿宋" w:cs="Arial"/>
          <w:color w:val="333333"/>
          <w:kern w:val="0"/>
          <w:sz w:val="32"/>
          <w:szCs w:val="32"/>
        </w:rPr>
        <w:t>（7）</w:t>
      </w:r>
      <w:r>
        <w:rPr>
          <w:rFonts w:ascii="仿宋" w:hAnsi="仿宋" w:eastAsia="仿宋" w:cs="Arial"/>
          <w:color w:val="333333"/>
          <w:kern w:val="0"/>
          <w:sz w:val="32"/>
          <w:szCs w:val="32"/>
        </w:rPr>
        <w:t>负责城区路灯和城市夜景灯饰的设置及维护管理；组织、协调、管理城市“光彩工程”。</w:t>
      </w:r>
    </w:p>
    <w:p>
      <w:pPr>
        <w:widowControl/>
        <w:shd w:val="clear" w:color="auto" w:fill="FFFFFF"/>
        <w:spacing w:line="360" w:lineRule="atLeast"/>
        <w:ind w:firstLine="480"/>
        <w:jc w:val="left"/>
        <w:rPr>
          <w:rFonts w:ascii="仿宋" w:hAnsi="仿宋" w:eastAsia="仿宋" w:cs="Arial"/>
          <w:color w:val="333333"/>
          <w:kern w:val="0"/>
          <w:sz w:val="32"/>
          <w:szCs w:val="32"/>
        </w:rPr>
      </w:pPr>
      <w:r>
        <w:rPr>
          <w:rFonts w:hint="eastAsia" w:ascii="仿宋" w:hAnsi="仿宋" w:eastAsia="仿宋" w:cs="Arial"/>
          <w:color w:val="333333"/>
          <w:kern w:val="0"/>
          <w:sz w:val="32"/>
          <w:szCs w:val="32"/>
        </w:rPr>
        <w:t>（8）</w:t>
      </w:r>
      <w:r>
        <w:rPr>
          <w:rFonts w:ascii="仿宋" w:hAnsi="仿宋" w:eastAsia="仿宋" w:cs="Arial"/>
          <w:color w:val="333333"/>
          <w:kern w:val="0"/>
          <w:sz w:val="32"/>
          <w:szCs w:val="32"/>
        </w:rPr>
        <w:t>参与城市管理工作目标的制定，受理市民有关城市市容环境管理的来信来访和群众投诉。</w:t>
      </w:r>
    </w:p>
    <w:p>
      <w:pPr>
        <w:widowControl/>
        <w:shd w:val="clear" w:color="auto" w:fill="FFFFFF"/>
        <w:spacing w:line="360" w:lineRule="atLeast"/>
        <w:ind w:firstLine="480"/>
        <w:jc w:val="left"/>
        <w:rPr>
          <w:rFonts w:ascii="仿宋" w:hAnsi="仿宋" w:eastAsia="仿宋" w:cs="Arial"/>
          <w:color w:val="333333"/>
          <w:kern w:val="0"/>
          <w:sz w:val="32"/>
          <w:szCs w:val="32"/>
        </w:rPr>
      </w:pPr>
      <w:r>
        <w:rPr>
          <w:rFonts w:hint="eastAsia" w:ascii="仿宋" w:hAnsi="仿宋" w:eastAsia="仿宋" w:cs="Arial"/>
          <w:color w:val="333333"/>
          <w:kern w:val="0"/>
          <w:sz w:val="32"/>
          <w:szCs w:val="32"/>
        </w:rPr>
        <w:t>（9）</w:t>
      </w:r>
      <w:r>
        <w:rPr>
          <w:rFonts w:ascii="仿宋" w:hAnsi="仿宋" w:eastAsia="仿宋" w:cs="Arial"/>
          <w:color w:val="333333"/>
          <w:kern w:val="0"/>
          <w:sz w:val="32"/>
          <w:szCs w:val="32"/>
        </w:rPr>
        <w:t>负责城市管理的科学研究和社会宣传教育工作。</w:t>
      </w:r>
    </w:p>
    <w:p>
      <w:pPr>
        <w:widowControl/>
        <w:shd w:val="clear" w:color="auto" w:fill="FFFFFF"/>
        <w:spacing w:line="360" w:lineRule="atLeast"/>
        <w:ind w:firstLine="480"/>
        <w:jc w:val="left"/>
        <w:rPr>
          <w:rFonts w:ascii="仿宋" w:hAnsi="仿宋" w:eastAsia="仿宋" w:cs="Arial"/>
          <w:color w:val="333333"/>
          <w:kern w:val="0"/>
          <w:sz w:val="32"/>
          <w:szCs w:val="32"/>
        </w:rPr>
      </w:pPr>
      <w:r>
        <w:rPr>
          <w:rFonts w:hint="eastAsia" w:ascii="仿宋" w:hAnsi="仿宋" w:eastAsia="仿宋" w:cs="Arial"/>
          <w:color w:val="333333"/>
          <w:kern w:val="0"/>
          <w:sz w:val="32"/>
          <w:szCs w:val="32"/>
        </w:rPr>
        <w:t>（10）</w:t>
      </w:r>
      <w:r>
        <w:rPr>
          <w:rFonts w:ascii="仿宋" w:hAnsi="仿宋" w:eastAsia="仿宋" w:cs="Arial"/>
          <w:color w:val="333333"/>
          <w:kern w:val="0"/>
          <w:sz w:val="32"/>
          <w:szCs w:val="32"/>
        </w:rPr>
        <w:t>指导、监督各乡镇城镇管理及行政执法工作。</w:t>
      </w:r>
    </w:p>
    <w:p>
      <w:pPr>
        <w:widowControl/>
        <w:shd w:val="clear" w:color="auto" w:fill="FFFFFF"/>
        <w:spacing w:line="360" w:lineRule="atLeast"/>
        <w:ind w:firstLine="480"/>
        <w:jc w:val="left"/>
        <w:rPr>
          <w:rFonts w:ascii="仿宋" w:hAnsi="仿宋" w:eastAsia="仿宋" w:cs="Arial"/>
          <w:color w:val="333333"/>
          <w:kern w:val="0"/>
          <w:sz w:val="32"/>
          <w:szCs w:val="32"/>
        </w:rPr>
      </w:pPr>
      <w:r>
        <w:rPr>
          <w:rFonts w:hint="eastAsia" w:ascii="仿宋" w:hAnsi="仿宋" w:eastAsia="仿宋" w:cs="Arial"/>
          <w:color w:val="333333"/>
          <w:kern w:val="0"/>
          <w:sz w:val="32"/>
          <w:szCs w:val="32"/>
        </w:rPr>
        <w:t>（11）</w:t>
      </w:r>
      <w:r>
        <w:rPr>
          <w:rFonts w:ascii="仿宋" w:hAnsi="仿宋" w:eastAsia="仿宋" w:cs="Arial"/>
          <w:color w:val="333333"/>
          <w:kern w:val="0"/>
          <w:sz w:val="32"/>
          <w:szCs w:val="32"/>
        </w:rPr>
        <w:t>行使市容环境卫生管理、城市绿化管理、市政管理方面法律、法规、规章规定的行政处罚权。</w:t>
      </w:r>
    </w:p>
    <w:p>
      <w:pPr>
        <w:widowControl/>
        <w:shd w:val="clear" w:color="auto" w:fill="FFFFFF"/>
        <w:spacing w:line="360" w:lineRule="atLeast"/>
        <w:ind w:firstLine="480"/>
        <w:jc w:val="left"/>
        <w:rPr>
          <w:rFonts w:hint="eastAsia" w:ascii="仿宋" w:hAnsi="仿宋" w:eastAsia="仿宋"/>
          <w:sz w:val="30"/>
          <w:szCs w:val="30"/>
        </w:rPr>
      </w:pPr>
      <w:r>
        <w:rPr>
          <w:rFonts w:hint="eastAsia" w:ascii="仿宋" w:hAnsi="仿宋" w:eastAsia="仿宋" w:cs="Arial"/>
          <w:color w:val="333333"/>
          <w:kern w:val="0"/>
          <w:sz w:val="32"/>
          <w:szCs w:val="32"/>
        </w:rPr>
        <w:t>（12）</w:t>
      </w:r>
      <w:r>
        <w:rPr>
          <w:rFonts w:ascii="仿宋" w:hAnsi="仿宋" w:eastAsia="仿宋" w:cs="Arial"/>
          <w:color w:val="333333"/>
          <w:kern w:val="0"/>
          <w:sz w:val="32"/>
          <w:szCs w:val="32"/>
        </w:rPr>
        <w:t>集中行使对乱建乱搭、环境污染、临时占用城市道路和城区河堤通道、无照商贩、无证饮食品店摊点等行政执法的组织、指挥、协调和行政处罚。</w:t>
      </w:r>
    </w:p>
    <w:p>
      <w:pPr>
        <w:pStyle w:val="2"/>
        <w:spacing w:line="346" w:lineRule="auto"/>
      </w:pPr>
    </w:p>
    <w:p>
      <w:pPr>
        <w:spacing w:before="20" w:line="94" w:lineRule="exact"/>
        <w:ind w:left="733"/>
        <w:rPr>
          <w:rFonts w:ascii="宋体" w:hAnsi="宋体" w:eastAsia="宋体" w:cs="宋体"/>
          <w:sz w:val="6"/>
          <w:szCs w:val="6"/>
        </w:rPr>
      </w:pPr>
      <w:r>
        <w:rPr>
          <w:rFonts w:ascii="宋体" w:hAnsi="宋体" w:eastAsia="宋体" w:cs="宋体"/>
          <w:spacing w:val="-3"/>
          <w:position w:val="1"/>
          <w:sz w:val="6"/>
          <w:szCs w:val="6"/>
        </w:rPr>
        <w:t>……</w:t>
      </w:r>
      <w:r>
        <w:rPr>
          <w:rFonts w:ascii="宋体" w:hAnsi="宋体" w:eastAsia="宋体" w:cs="宋体"/>
          <w:spacing w:val="8"/>
          <w:w w:val="102"/>
          <w:position w:val="1"/>
          <w:sz w:val="6"/>
          <w:szCs w:val="6"/>
        </w:rPr>
        <w:t xml:space="preserve">   </w:t>
      </w:r>
      <w:r>
        <w:rPr>
          <w:rFonts w:ascii="宋体" w:hAnsi="宋体" w:eastAsia="宋体" w:cs="宋体"/>
          <w:spacing w:val="-3"/>
          <w:position w:val="1"/>
          <w:sz w:val="6"/>
          <w:szCs w:val="6"/>
        </w:rPr>
        <w:t>………</w:t>
      </w:r>
    </w:p>
    <w:p>
      <w:pPr>
        <w:spacing w:before="324" w:line="228" w:lineRule="auto"/>
        <w:ind w:left="630"/>
        <w:outlineLvl w:val="0"/>
        <w:rPr>
          <w:rFonts w:ascii="黑体" w:hAnsi="黑体" w:eastAsia="黑体" w:cs="黑体"/>
          <w:sz w:val="31"/>
          <w:szCs w:val="31"/>
        </w:rPr>
      </w:pPr>
      <w:r>
        <w:rPr>
          <w:rFonts w:ascii="黑体" w:hAnsi="黑体" w:eastAsia="黑体" w:cs="黑体"/>
          <w:spacing w:val="-9"/>
          <w:sz w:val="31"/>
          <w:szCs w:val="31"/>
          <w14:textOutline w14:w="5793" w14:cap="sq" w14:cmpd="sng">
            <w14:solidFill>
              <w14:srgbClr w14:val="000000"/>
            </w14:solidFill>
            <w14:prstDash w14:val="solid"/>
            <w14:bevel/>
          </w14:textOutline>
        </w:rPr>
        <w:t>二、</w:t>
      </w:r>
      <w:r>
        <w:rPr>
          <w:rFonts w:ascii="黑体" w:hAnsi="黑体" w:eastAsia="黑体" w:cs="黑体"/>
          <w:spacing w:val="-52"/>
          <w:sz w:val="31"/>
          <w:szCs w:val="31"/>
        </w:rPr>
        <w:t xml:space="preserve"> </w:t>
      </w:r>
      <w:r>
        <w:rPr>
          <w:rFonts w:ascii="黑体" w:hAnsi="黑体" w:eastAsia="黑体" w:cs="黑体"/>
          <w:spacing w:val="-9"/>
          <w:sz w:val="31"/>
          <w:szCs w:val="31"/>
          <w14:textOutline w14:w="5793" w14:cap="sq" w14:cmpd="sng">
            <w14:solidFill>
              <w14:srgbClr w14:val="000000"/>
            </w14:solidFill>
            <w14:prstDash w14:val="solid"/>
            <w14:bevel/>
          </w14:textOutline>
        </w:rPr>
        <w:t>部门基本情况</w:t>
      </w:r>
    </w:p>
    <w:p>
      <w:pPr>
        <w:spacing w:line="226" w:lineRule="auto"/>
        <w:rPr>
          <w:rFonts w:ascii="仿宋" w:hAnsi="仿宋" w:eastAsia="仿宋" w:cs="仿宋"/>
          <w:sz w:val="31"/>
          <w:szCs w:val="31"/>
        </w:rPr>
      </w:pPr>
      <w:r>
        <w:rPr>
          <w:rFonts w:ascii="仿宋" w:hAnsi="仿宋" w:eastAsia="仿宋" w:cs="仿宋"/>
          <w:spacing w:val="-5"/>
          <w:position w:val="21"/>
          <w:sz w:val="31"/>
          <w:szCs w:val="31"/>
        </w:rPr>
        <w:t>纳入本套部门决算汇编范围的单位共</w:t>
      </w:r>
      <w:r>
        <w:rPr>
          <w:rFonts w:hint="eastAsia" w:ascii="仿宋" w:hAnsi="仿宋" w:eastAsia="仿宋" w:cs="仿宋"/>
          <w:spacing w:val="69"/>
          <w:position w:val="21"/>
          <w:sz w:val="31"/>
          <w:szCs w:val="31"/>
          <w:lang w:val="en-US" w:eastAsia="zh-CN"/>
        </w:rPr>
        <w:t>3</w:t>
      </w:r>
      <w:r>
        <w:rPr>
          <w:rFonts w:ascii="仿宋" w:hAnsi="仿宋" w:eastAsia="仿宋" w:cs="仿宋"/>
          <w:spacing w:val="-5"/>
          <w:position w:val="21"/>
          <w:sz w:val="31"/>
          <w:szCs w:val="31"/>
        </w:rPr>
        <w:t>个，包括：</w:t>
      </w:r>
      <w:r>
        <w:rPr>
          <w:rFonts w:hint="eastAsia" w:ascii="仿宋" w:hAnsi="仿宋" w:eastAsia="仿宋" w:cs="仿宋"/>
          <w:spacing w:val="-5"/>
          <w:position w:val="21"/>
          <w:sz w:val="31"/>
          <w:szCs w:val="31"/>
          <w:lang w:eastAsia="zh-CN"/>
        </w:rPr>
        <w:t>浮梁县城市管理局、浮梁县城市管理行政执法大队、浮梁县市政服务中心。</w:t>
      </w:r>
    </w:p>
    <w:p>
      <w:pPr>
        <w:spacing w:before="1" w:line="225" w:lineRule="auto"/>
        <w:ind w:left="91"/>
        <w:rPr>
          <w:rFonts w:ascii="仿宋" w:hAnsi="仿宋" w:eastAsia="仿宋" w:cs="仿宋"/>
          <w:sz w:val="31"/>
          <w:szCs w:val="31"/>
        </w:rPr>
      </w:pPr>
      <w:r>
        <w:rPr>
          <w:rFonts w:ascii="仿宋" w:hAnsi="仿宋" w:eastAsia="仿宋" w:cs="仿宋"/>
          <w:spacing w:val="15"/>
          <w:sz w:val="31"/>
          <w:szCs w:val="31"/>
        </w:rPr>
        <w:t>本部门2022年年末实有人数</w:t>
      </w:r>
      <w:r>
        <w:rPr>
          <w:rFonts w:hint="eastAsia" w:ascii="仿宋_GB2312" w:hAnsi="仿宋_GB2312" w:eastAsia="仿宋_GB2312" w:cs="仿宋_GB2312"/>
          <w:sz w:val="30"/>
          <w:szCs w:val="30"/>
          <w:lang w:val="en-US" w:eastAsia="zh-CN"/>
        </w:rPr>
        <w:t>48</w:t>
      </w:r>
      <w:r>
        <w:rPr>
          <w:rFonts w:hint="eastAsia" w:ascii="仿宋" w:hAnsi="仿宋" w:eastAsia="仿宋"/>
          <w:sz w:val="30"/>
          <w:szCs w:val="30"/>
        </w:rPr>
        <w:t>人，其中在职人员</w:t>
      </w:r>
      <w:r>
        <w:rPr>
          <w:rFonts w:hint="eastAsia" w:ascii="仿宋_GB2312" w:hAnsi="仿宋_GB2312" w:eastAsia="仿宋_GB2312" w:cs="仿宋_GB2312"/>
          <w:sz w:val="30"/>
          <w:szCs w:val="30"/>
          <w:lang w:val="en-US" w:eastAsia="zh-CN"/>
        </w:rPr>
        <w:t>48</w:t>
      </w:r>
      <w:r>
        <w:rPr>
          <w:rFonts w:hint="eastAsia" w:ascii="仿宋" w:hAnsi="仿宋" w:eastAsia="仿宋"/>
          <w:sz w:val="30"/>
          <w:szCs w:val="30"/>
        </w:rPr>
        <w:t>人，年末其他人员</w:t>
      </w:r>
      <w:r>
        <w:rPr>
          <w:rFonts w:hint="eastAsia" w:ascii="仿宋" w:hAnsi="仿宋" w:eastAsia="仿宋"/>
          <w:sz w:val="30"/>
          <w:szCs w:val="30"/>
          <w:lang w:val="en-US" w:eastAsia="zh-CN"/>
        </w:rPr>
        <w:t>165</w:t>
      </w:r>
      <w:r>
        <w:rPr>
          <w:rFonts w:hint="eastAsia" w:ascii="仿宋" w:hAnsi="仿宋" w:eastAsia="仿宋"/>
          <w:sz w:val="30"/>
          <w:szCs w:val="30"/>
        </w:rPr>
        <w:t>人</w:t>
      </w:r>
      <w:r>
        <w:rPr>
          <w:rFonts w:hint="eastAsia" w:ascii="仿宋" w:hAnsi="仿宋" w:eastAsia="仿宋"/>
          <w:sz w:val="30"/>
          <w:szCs w:val="30"/>
          <w:lang w:eastAsia="zh-CN"/>
        </w:rPr>
        <w:t>，</w:t>
      </w:r>
      <w:r>
        <w:rPr>
          <w:rFonts w:hint="eastAsia" w:ascii="仿宋" w:hAnsi="仿宋" w:eastAsia="仿宋"/>
          <w:sz w:val="30"/>
          <w:szCs w:val="30"/>
        </w:rPr>
        <w:t>年末学生人数</w:t>
      </w:r>
      <w:r>
        <w:rPr>
          <w:rFonts w:hint="eastAsia" w:ascii="仿宋" w:hAnsi="仿宋" w:eastAsia="仿宋"/>
          <w:sz w:val="30"/>
          <w:szCs w:val="30"/>
          <w:lang w:val="en-US" w:eastAsia="zh-CN"/>
        </w:rPr>
        <w:t>0</w:t>
      </w:r>
      <w:r>
        <w:rPr>
          <w:rFonts w:hint="eastAsia" w:ascii="仿宋" w:hAnsi="仿宋" w:eastAsia="仿宋"/>
          <w:sz w:val="30"/>
          <w:szCs w:val="30"/>
        </w:rPr>
        <w:t>人。</w:t>
      </w:r>
    </w:p>
    <w:p>
      <w:pPr>
        <w:spacing w:line="225" w:lineRule="auto"/>
        <w:rPr>
          <w:rFonts w:ascii="仿宋" w:hAnsi="仿宋" w:eastAsia="仿宋" w:cs="仿宋"/>
          <w:sz w:val="31"/>
          <w:szCs w:val="31"/>
        </w:rPr>
        <w:sectPr>
          <w:footerReference r:id="rId7" w:type="default"/>
          <w:pgSz w:w="11870" w:h="16840"/>
          <w:pgMar w:top="1431" w:right="1461" w:bottom="1640" w:left="1660" w:header="0" w:footer="1326" w:gutter="0"/>
          <w:cols w:space="720" w:num="1"/>
        </w:sectPr>
      </w:pPr>
    </w:p>
    <w:p>
      <w:pPr>
        <w:pStyle w:val="2"/>
        <w:spacing w:line="318" w:lineRule="auto"/>
      </w:pPr>
    </w:p>
    <w:p>
      <w:pPr>
        <w:pStyle w:val="2"/>
        <w:spacing w:line="319" w:lineRule="auto"/>
      </w:pPr>
    </w:p>
    <w:p>
      <w:pPr>
        <w:spacing w:before="137" w:line="224" w:lineRule="auto"/>
        <w:ind w:left="1556"/>
        <w:rPr>
          <w:rFonts w:ascii="宋体" w:hAnsi="宋体" w:eastAsia="宋体" w:cs="宋体"/>
          <w:sz w:val="42"/>
          <w:szCs w:val="42"/>
        </w:rPr>
      </w:pPr>
      <w:r>
        <w:rPr>
          <w:rFonts w:ascii="宋体" w:hAnsi="宋体" w:eastAsia="宋体" w:cs="宋体"/>
          <w:spacing w:val="12"/>
          <w:sz w:val="42"/>
          <w:szCs w:val="42"/>
          <w14:textOutline w14:w="7809" w14:cap="sq" w14:cmpd="sng">
            <w14:solidFill>
              <w14:srgbClr w14:val="000000"/>
            </w14:solidFill>
            <w14:prstDash w14:val="solid"/>
            <w14:bevel/>
          </w14:textOutline>
        </w:rPr>
        <w:t>第二部分</w:t>
      </w:r>
      <w:r>
        <w:rPr>
          <w:rFonts w:ascii="宋体" w:hAnsi="宋体" w:eastAsia="宋体" w:cs="宋体"/>
          <w:spacing w:val="12"/>
          <w:sz w:val="42"/>
          <w:szCs w:val="42"/>
        </w:rPr>
        <w:t xml:space="preserve">  </w:t>
      </w:r>
      <w:r>
        <w:rPr>
          <w:rFonts w:ascii="宋体" w:hAnsi="宋体" w:eastAsia="宋体" w:cs="宋体"/>
          <w:spacing w:val="12"/>
          <w:sz w:val="42"/>
          <w:szCs w:val="42"/>
          <w14:textOutline w14:w="7809" w14:cap="sq" w14:cmpd="sng">
            <w14:solidFill>
              <w14:srgbClr w14:val="000000"/>
            </w14:solidFill>
            <w14:prstDash w14:val="solid"/>
            <w14:bevel/>
          </w14:textOutline>
        </w:rPr>
        <w:t>2022年度部门决算表</w:t>
      </w:r>
    </w:p>
    <w:p>
      <w:pPr>
        <w:spacing w:before="23"/>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65"/>
        <w:gridCol w:w="519"/>
        <w:gridCol w:w="870"/>
        <w:gridCol w:w="2791"/>
        <w:gridCol w:w="519"/>
        <w:gridCol w:w="12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6"/>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56" w:type="pct"/>
            <w:tcBorders>
              <w:top w:val="nil"/>
              <w:left w:val="nil"/>
              <w:bottom w:val="nil"/>
              <w:right w:val="nil"/>
            </w:tcBorders>
            <w:shd w:val="clear" w:color="auto" w:fill="auto"/>
            <w:noWrap/>
            <w:vAlign w:val="bottom"/>
          </w:tcPr>
          <w:p>
            <w:pPr>
              <w:rPr>
                <w:rFonts w:hint="eastAsia" w:ascii="Arial" w:hAnsi="Arial" w:cs="Arial"/>
                <w:i w:val="0"/>
                <w:iCs w:val="0"/>
                <w:color w:val="000000"/>
                <w:sz w:val="11"/>
                <w:szCs w:val="11"/>
                <w:u w:val="none"/>
              </w:rPr>
            </w:pPr>
          </w:p>
        </w:tc>
        <w:tc>
          <w:tcPr>
            <w:tcW w:w="290" w:type="pct"/>
            <w:tcBorders>
              <w:top w:val="nil"/>
              <w:left w:val="nil"/>
              <w:bottom w:val="nil"/>
              <w:right w:val="nil"/>
            </w:tcBorders>
            <w:shd w:val="clear" w:color="auto" w:fill="auto"/>
            <w:noWrap/>
            <w:vAlign w:val="bottom"/>
          </w:tcPr>
          <w:p>
            <w:pPr>
              <w:rPr>
                <w:rFonts w:hint="default" w:ascii="Arial" w:hAnsi="Arial" w:cs="Arial"/>
                <w:i w:val="0"/>
                <w:iCs w:val="0"/>
                <w:color w:val="000000"/>
                <w:sz w:val="11"/>
                <w:szCs w:val="11"/>
                <w:u w:val="none"/>
              </w:rPr>
            </w:pPr>
          </w:p>
        </w:tc>
        <w:tc>
          <w:tcPr>
            <w:tcW w:w="485" w:type="pct"/>
            <w:tcBorders>
              <w:top w:val="nil"/>
              <w:left w:val="nil"/>
              <w:bottom w:val="nil"/>
              <w:right w:val="nil"/>
            </w:tcBorders>
            <w:shd w:val="clear" w:color="auto" w:fill="auto"/>
            <w:noWrap/>
            <w:vAlign w:val="bottom"/>
          </w:tcPr>
          <w:p>
            <w:pPr>
              <w:rPr>
                <w:rFonts w:hint="default" w:ascii="Arial" w:hAnsi="Arial" w:cs="Arial"/>
                <w:i w:val="0"/>
                <w:iCs w:val="0"/>
                <w:color w:val="000000"/>
                <w:sz w:val="11"/>
                <w:szCs w:val="11"/>
                <w:u w:val="none"/>
              </w:rPr>
            </w:pPr>
          </w:p>
        </w:tc>
        <w:tc>
          <w:tcPr>
            <w:tcW w:w="1559" w:type="pct"/>
            <w:tcBorders>
              <w:top w:val="nil"/>
              <w:left w:val="nil"/>
              <w:bottom w:val="nil"/>
              <w:right w:val="nil"/>
            </w:tcBorders>
            <w:shd w:val="clear" w:color="auto" w:fill="auto"/>
            <w:noWrap/>
            <w:vAlign w:val="bottom"/>
          </w:tcPr>
          <w:p>
            <w:pPr>
              <w:rPr>
                <w:rFonts w:hint="default" w:ascii="Arial" w:hAnsi="Arial" w:cs="Arial"/>
                <w:i w:val="0"/>
                <w:iCs w:val="0"/>
                <w:color w:val="000000"/>
                <w:sz w:val="11"/>
                <w:szCs w:val="11"/>
                <w:u w:val="none"/>
              </w:rPr>
            </w:pPr>
          </w:p>
        </w:tc>
        <w:tc>
          <w:tcPr>
            <w:tcW w:w="290" w:type="pct"/>
            <w:tcBorders>
              <w:top w:val="nil"/>
              <w:left w:val="nil"/>
              <w:bottom w:val="nil"/>
              <w:right w:val="nil"/>
            </w:tcBorders>
            <w:shd w:val="clear" w:color="auto" w:fill="auto"/>
            <w:noWrap/>
            <w:vAlign w:val="bottom"/>
          </w:tcPr>
          <w:p>
            <w:pPr>
              <w:rPr>
                <w:rFonts w:hint="default" w:ascii="Arial" w:hAnsi="Arial" w:cs="Arial"/>
                <w:i w:val="0"/>
                <w:iCs w:val="0"/>
                <w:color w:val="000000"/>
                <w:sz w:val="11"/>
                <w:szCs w:val="11"/>
                <w:u w:val="none"/>
              </w:rPr>
            </w:pPr>
          </w:p>
        </w:tc>
        <w:tc>
          <w:tcPr>
            <w:tcW w:w="718"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56"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编制单位：浮梁县城市管理局</w:t>
            </w:r>
          </w:p>
        </w:tc>
        <w:tc>
          <w:tcPr>
            <w:tcW w:w="290" w:type="pct"/>
            <w:tcBorders>
              <w:top w:val="nil"/>
              <w:left w:val="nil"/>
              <w:bottom w:val="nil"/>
              <w:right w:val="nil"/>
            </w:tcBorders>
            <w:shd w:val="clear" w:color="auto" w:fill="auto"/>
            <w:noWrap/>
            <w:vAlign w:val="bottom"/>
          </w:tcPr>
          <w:p>
            <w:pPr>
              <w:rPr>
                <w:rFonts w:hint="default" w:ascii="Arial" w:hAnsi="Arial" w:cs="Arial"/>
                <w:i w:val="0"/>
                <w:iCs w:val="0"/>
                <w:color w:val="000000"/>
                <w:sz w:val="11"/>
                <w:szCs w:val="11"/>
                <w:u w:val="none"/>
              </w:rPr>
            </w:pPr>
          </w:p>
        </w:tc>
        <w:tc>
          <w:tcPr>
            <w:tcW w:w="485" w:type="pct"/>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2022年度</w:t>
            </w:r>
          </w:p>
        </w:tc>
        <w:tc>
          <w:tcPr>
            <w:tcW w:w="1559" w:type="pct"/>
            <w:tcBorders>
              <w:top w:val="nil"/>
              <w:left w:val="nil"/>
              <w:bottom w:val="nil"/>
              <w:right w:val="nil"/>
            </w:tcBorders>
            <w:shd w:val="clear" w:color="auto" w:fill="auto"/>
            <w:noWrap/>
            <w:vAlign w:val="bottom"/>
          </w:tcPr>
          <w:p>
            <w:pPr>
              <w:rPr>
                <w:rFonts w:hint="default" w:ascii="Arial" w:hAnsi="Arial" w:cs="Arial"/>
                <w:i w:val="0"/>
                <w:iCs w:val="0"/>
                <w:color w:val="000000"/>
                <w:sz w:val="11"/>
                <w:szCs w:val="11"/>
                <w:u w:val="none"/>
              </w:rPr>
            </w:pPr>
          </w:p>
        </w:tc>
        <w:tc>
          <w:tcPr>
            <w:tcW w:w="290" w:type="pct"/>
            <w:tcBorders>
              <w:top w:val="nil"/>
              <w:left w:val="nil"/>
              <w:bottom w:val="nil"/>
              <w:right w:val="nil"/>
            </w:tcBorders>
            <w:shd w:val="clear" w:color="auto" w:fill="auto"/>
            <w:noWrap/>
            <w:vAlign w:val="bottom"/>
          </w:tcPr>
          <w:p>
            <w:pPr>
              <w:rPr>
                <w:rFonts w:hint="default" w:ascii="Arial" w:hAnsi="Arial" w:cs="Arial"/>
                <w:i w:val="0"/>
                <w:iCs w:val="0"/>
                <w:color w:val="000000"/>
                <w:sz w:val="11"/>
                <w:szCs w:val="11"/>
                <w:u w:val="none"/>
              </w:rPr>
            </w:pPr>
          </w:p>
        </w:tc>
        <w:tc>
          <w:tcPr>
            <w:tcW w:w="718"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2432" w:type="pct"/>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收     入</w:t>
            </w:r>
          </w:p>
        </w:tc>
        <w:tc>
          <w:tcPr>
            <w:tcW w:w="2567" w:type="pct"/>
            <w:gridSpan w:val="3"/>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项    目</w:t>
            </w: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行次</w:t>
            </w:r>
          </w:p>
        </w:tc>
        <w:tc>
          <w:tcPr>
            <w:tcW w:w="48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决算数</w:t>
            </w:r>
          </w:p>
        </w:tc>
        <w:tc>
          <w:tcPr>
            <w:tcW w:w="155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项目（按功能分类）</w:t>
            </w: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行次</w:t>
            </w:r>
          </w:p>
        </w:tc>
        <w:tc>
          <w:tcPr>
            <w:tcW w:w="71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栏    次</w:t>
            </w:r>
          </w:p>
        </w:tc>
        <w:tc>
          <w:tcPr>
            <w:tcW w:w="290" w:type="pct"/>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5"/>
                <w:szCs w:val="15"/>
                <w:u w:val="none"/>
              </w:rPr>
            </w:pPr>
          </w:p>
        </w:tc>
        <w:tc>
          <w:tcPr>
            <w:tcW w:w="48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w:t>
            </w:r>
          </w:p>
        </w:tc>
        <w:tc>
          <w:tcPr>
            <w:tcW w:w="155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栏    次</w:t>
            </w:r>
          </w:p>
        </w:tc>
        <w:tc>
          <w:tcPr>
            <w:tcW w:w="290" w:type="pct"/>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5"/>
                <w:szCs w:val="15"/>
                <w:u w:val="none"/>
              </w:rPr>
            </w:pPr>
          </w:p>
        </w:tc>
        <w:tc>
          <w:tcPr>
            <w:tcW w:w="71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一、一般公共预算财政拨款收入</w:t>
            </w: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8,552.28</w:t>
            </w:r>
          </w:p>
        </w:tc>
        <w:tc>
          <w:tcPr>
            <w:tcW w:w="155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一、一般公共服务支出</w:t>
            </w: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32</w:t>
            </w:r>
          </w:p>
        </w:tc>
        <w:tc>
          <w:tcPr>
            <w:tcW w:w="7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二、政府性基金预算财政拨款收入</w:t>
            </w: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1,249.63</w:t>
            </w:r>
          </w:p>
        </w:tc>
        <w:tc>
          <w:tcPr>
            <w:tcW w:w="155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二、外交支出</w:t>
            </w: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33</w:t>
            </w:r>
          </w:p>
        </w:tc>
        <w:tc>
          <w:tcPr>
            <w:tcW w:w="7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三、国有资本经营预算财政拨款收入</w:t>
            </w: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3</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155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三、国防支出</w:t>
            </w: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34</w:t>
            </w:r>
          </w:p>
        </w:tc>
        <w:tc>
          <w:tcPr>
            <w:tcW w:w="7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四、上级补助收入</w:t>
            </w: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4</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155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四、公共安全支出</w:t>
            </w: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35</w:t>
            </w:r>
          </w:p>
        </w:tc>
        <w:tc>
          <w:tcPr>
            <w:tcW w:w="7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五、事业收入</w:t>
            </w: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5</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155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五、教育支出</w:t>
            </w: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36</w:t>
            </w:r>
          </w:p>
        </w:tc>
        <w:tc>
          <w:tcPr>
            <w:tcW w:w="7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六、经营收入</w:t>
            </w: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6</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155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六、科学技术支出</w:t>
            </w: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37</w:t>
            </w:r>
          </w:p>
        </w:tc>
        <w:tc>
          <w:tcPr>
            <w:tcW w:w="7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七、附属单位上缴收入</w:t>
            </w: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7</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155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七、文化旅游体育与传媒支出</w:t>
            </w: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38</w:t>
            </w:r>
          </w:p>
        </w:tc>
        <w:tc>
          <w:tcPr>
            <w:tcW w:w="7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八、其他收入</w:t>
            </w: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8</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155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八、社会保障和就业支出</w:t>
            </w: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39</w:t>
            </w:r>
          </w:p>
        </w:tc>
        <w:tc>
          <w:tcPr>
            <w:tcW w:w="7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79.01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5"/>
                <w:szCs w:val="15"/>
                <w:u w:val="none"/>
              </w:rPr>
            </w:pP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9</w:t>
            </w:r>
          </w:p>
        </w:tc>
        <w:tc>
          <w:tcPr>
            <w:tcW w:w="485"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155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九、卫生健康支出</w:t>
            </w: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40</w:t>
            </w:r>
          </w:p>
        </w:tc>
        <w:tc>
          <w:tcPr>
            <w:tcW w:w="7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5"/>
                <w:szCs w:val="15"/>
                <w:u w:val="none"/>
              </w:rPr>
            </w:pP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w:t>
            </w:r>
          </w:p>
        </w:tc>
        <w:tc>
          <w:tcPr>
            <w:tcW w:w="485"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155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十、节能环保支出</w:t>
            </w: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41</w:t>
            </w:r>
          </w:p>
        </w:tc>
        <w:tc>
          <w:tcPr>
            <w:tcW w:w="7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3,092.62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5"/>
                <w:szCs w:val="15"/>
                <w:u w:val="none"/>
              </w:rPr>
            </w:pP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11</w:t>
            </w:r>
          </w:p>
        </w:tc>
        <w:tc>
          <w:tcPr>
            <w:tcW w:w="485"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155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十一、城乡社区支出</w:t>
            </w: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42</w:t>
            </w:r>
          </w:p>
        </w:tc>
        <w:tc>
          <w:tcPr>
            <w:tcW w:w="7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6,403.96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5"/>
                <w:szCs w:val="15"/>
                <w:u w:val="none"/>
              </w:rPr>
            </w:pP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12</w:t>
            </w:r>
          </w:p>
        </w:tc>
        <w:tc>
          <w:tcPr>
            <w:tcW w:w="485"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155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十二、农林水支出</w:t>
            </w: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43</w:t>
            </w:r>
          </w:p>
        </w:tc>
        <w:tc>
          <w:tcPr>
            <w:tcW w:w="7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5"/>
                <w:szCs w:val="15"/>
                <w:u w:val="none"/>
              </w:rPr>
            </w:pP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13</w:t>
            </w:r>
          </w:p>
        </w:tc>
        <w:tc>
          <w:tcPr>
            <w:tcW w:w="485"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155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十三、交通运输支出</w:t>
            </w: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44</w:t>
            </w:r>
          </w:p>
        </w:tc>
        <w:tc>
          <w:tcPr>
            <w:tcW w:w="7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65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5"/>
                <w:szCs w:val="15"/>
                <w:u w:val="none"/>
              </w:rPr>
            </w:pP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14</w:t>
            </w:r>
          </w:p>
        </w:tc>
        <w:tc>
          <w:tcPr>
            <w:tcW w:w="485"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155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十四、资源勘探工业信息等支出</w:t>
            </w: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45</w:t>
            </w:r>
          </w:p>
        </w:tc>
        <w:tc>
          <w:tcPr>
            <w:tcW w:w="7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5"/>
                <w:szCs w:val="15"/>
                <w:u w:val="none"/>
              </w:rPr>
            </w:pP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15</w:t>
            </w:r>
          </w:p>
        </w:tc>
        <w:tc>
          <w:tcPr>
            <w:tcW w:w="485"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155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十五、商业服务业等支出</w:t>
            </w: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46</w:t>
            </w:r>
          </w:p>
        </w:tc>
        <w:tc>
          <w:tcPr>
            <w:tcW w:w="7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5"/>
                <w:szCs w:val="15"/>
                <w:u w:val="none"/>
              </w:rPr>
            </w:pP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16</w:t>
            </w:r>
          </w:p>
        </w:tc>
        <w:tc>
          <w:tcPr>
            <w:tcW w:w="485"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155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十六、金融支出</w:t>
            </w: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47</w:t>
            </w:r>
          </w:p>
        </w:tc>
        <w:tc>
          <w:tcPr>
            <w:tcW w:w="7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5"/>
                <w:szCs w:val="15"/>
                <w:u w:val="none"/>
              </w:rPr>
            </w:pP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17</w:t>
            </w:r>
          </w:p>
        </w:tc>
        <w:tc>
          <w:tcPr>
            <w:tcW w:w="485"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155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十七、援助其他地区支出</w:t>
            </w: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48</w:t>
            </w:r>
          </w:p>
        </w:tc>
        <w:tc>
          <w:tcPr>
            <w:tcW w:w="7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5"/>
                <w:szCs w:val="15"/>
                <w:u w:val="none"/>
              </w:rPr>
            </w:pP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18</w:t>
            </w:r>
          </w:p>
        </w:tc>
        <w:tc>
          <w:tcPr>
            <w:tcW w:w="485"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155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十八、自然资源海洋气象等支出</w:t>
            </w: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49</w:t>
            </w:r>
          </w:p>
        </w:tc>
        <w:tc>
          <w:tcPr>
            <w:tcW w:w="7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5"/>
                <w:szCs w:val="15"/>
                <w:u w:val="none"/>
              </w:rPr>
            </w:pP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19</w:t>
            </w:r>
          </w:p>
        </w:tc>
        <w:tc>
          <w:tcPr>
            <w:tcW w:w="485"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155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十九、住房保障支出</w:t>
            </w: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50</w:t>
            </w:r>
          </w:p>
        </w:tc>
        <w:tc>
          <w:tcPr>
            <w:tcW w:w="7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38.67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5"/>
                <w:szCs w:val="15"/>
                <w:u w:val="none"/>
              </w:rPr>
            </w:pP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20</w:t>
            </w:r>
          </w:p>
        </w:tc>
        <w:tc>
          <w:tcPr>
            <w:tcW w:w="485"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155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二十、粮油物资储备支出</w:t>
            </w: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51</w:t>
            </w:r>
          </w:p>
        </w:tc>
        <w:tc>
          <w:tcPr>
            <w:tcW w:w="7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5"/>
                <w:szCs w:val="15"/>
                <w:u w:val="none"/>
              </w:rPr>
            </w:pP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21</w:t>
            </w:r>
          </w:p>
        </w:tc>
        <w:tc>
          <w:tcPr>
            <w:tcW w:w="485"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155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二十一、国有资本经营预算支出</w:t>
            </w: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52</w:t>
            </w:r>
          </w:p>
        </w:tc>
        <w:tc>
          <w:tcPr>
            <w:tcW w:w="7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5"/>
                <w:szCs w:val="15"/>
                <w:u w:val="none"/>
              </w:rPr>
            </w:pP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22</w:t>
            </w:r>
          </w:p>
        </w:tc>
        <w:tc>
          <w:tcPr>
            <w:tcW w:w="485"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155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二十二、灾害防治及应急管理支出</w:t>
            </w: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53</w:t>
            </w:r>
          </w:p>
        </w:tc>
        <w:tc>
          <w:tcPr>
            <w:tcW w:w="7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5"/>
                <w:szCs w:val="15"/>
                <w:u w:val="none"/>
              </w:rPr>
            </w:pP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23</w:t>
            </w:r>
          </w:p>
        </w:tc>
        <w:tc>
          <w:tcPr>
            <w:tcW w:w="485"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155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二十三、其他支出</w:t>
            </w: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54</w:t>
            </w:r>
          </w:p>
        </w:tc>
        <w:tc>
          <w:tcPr>
            <w:tcW w:w="7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5"/>
                <w:szCs w:val="15"/>
                <w:u w:val="none"/>
              </w:rPr>
            </w:pP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24</w:t>
            </w:r>
          </w:p>
        </w:tc>
        <w:tc>
          <w:tcPr>
            <w:tcW w:w="485"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155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二十四、债务还本支出</w:t>
            </w: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55</w:t>
            </w:r>
          </w:p>
        </w:tc>
        <w:tc>
          <w:tcPr>
            <w:tcW w:w="7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b/>
                <w:bCs/>
                <w:i w:val="0"/>
                <w:iCs w:val="0"/>
                <w:color w:val="000000"/>
                <w:sz w:val="15"/>
                <w:szCs w:val="15"/>
                <w:u w:val="none"/>
              </w:rPr>
            </w:pP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25</w:t>
            </w:r>
          </w:p>
        </w:tc>
        <w:tc>
          <w:tcPr>
            <w:tcW w:w="485"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5"/>
                <w:szCs w:val="15"/>
                <w:u w:val="none"/>
              </w:rPr>
            </w:pPr>
          </w:p>
        </w:tc>
        <w:tc>
          <w:tcPr>
            <w:tcW w:w="155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二十五、债务付息支出</w:t>
            </w: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56</w:t>
            </w:r>
          </w:p>
        </w:tc>
        <w:tc>
          <w:tcPr>
            <w:tcW w:w="7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5"/>
                <w:szCs w:val="15"/>
                <w:u w:val="none"/>
              </w:rPr>
            </w:pP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26</w:t>
            </w:r>
          </w:p>
        </w:tc>
        <w:tc>
          <w:tcPr>
            <w:tcW w:w="485"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5"/>
                <w:szCs w:val="15"/>
                <w:u w:val="none"/>
              </w:rPr>
            </w:pPr>
          </w:p>
        </w:tc>
        <w:tc>
          <w:tcPr>
            <w:tcW w:w="155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二十六、抗疫特别国债安排的支出</w:t>
            </w: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57</w:t>
            </w:r>
          </w:p>
        </w:tc>
        <w:tc>
          <w:tcPr>
            <w:tcW w:w="7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本年收入合计</w:t>
            </w: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27</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9,801.91</w:t>
            </w:r>
          </w:p>
        </w:tc>
        <w:tc>
          <w:tcPr>
            <w:tcW w:w="155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本年支出合计</w:t>
            </w: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58</w:t>
            </w:r>
          </w:p>
        </w:tc>
        <w:tc>
          <w:tcPr>
            <w:tcW w:w="7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9,801.91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使用非财政拨款结余</w:t>
            </w: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28</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155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结余分配                 </w:t>
            </w: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59</w:t>
            </w:r>
          </w:p>
        </w:tc>
        <w:tc>
          <w:tcPr>
            <w:tcW w:w="7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年初结转和结余</w:t>
            </w: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29</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155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年末结转和结余                                </w:t>
            </w: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60</w:t>
            </w:r>
          </w:p>
        </w:tc>
        <w:tc>
          <w:tcPr>
            <w:tcW w:w="7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b/>
                <w:bCs/>
                <w:i w:val="0"/>
                <w:iCs w:val="0"/>
                <w:color w:val="000000"/>
                <w:sz w:val="15"/>
                <w:szCs w:val="15"/>
                <w:u w:val="none"/>
              </w:rPr>
            </w:pP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30</w:t>
            </w:r>
          </w:p>
        </w:tc>
        <w:tc>
          <w:tcPr>
            <w:tcW w:w="485"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5"/>
                <w:szCs w:val="15"/>
                <w:u w:val="none"/>
              </w:rPr>
            </w:pPr>
          </w:p>
        </w:tc>
        <w:tc>
          <w:tcPr>
            <w:tcW w:w="1559" w:type="pct"/>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b/>
                <w:bCs/>
                <w:i w:val="0"/>
                <w:iCs w:val="0"/>
                <w:color w:val="000000"/>
                <w:sz w:val="15"/>
                <w:szCs w:val="15"/>
                <w:u w:val="none"/>
              </w:rPr>
            </w:pP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61</w:t>
            </w:r>
          </w:p>
        </w:tc>
        <w:tc>
          <w:tcPr>
            <w:tcW w:w="71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65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snapToGrid w:val="0"/>
                <w:color w:val="000000"/>
                <w:kern w:val="0"/>
                <w:sz w:val="15"/>
                <w:szCs w:val="15"/>
                <w:u w:val="none"/>
                <w:lang w:val="en-US" w:eastAsia="zh-CN" w:bidi="ar"/>
              </w:rPr>
              <w:t>总计</w:t>
            </w: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31</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9,801.91</w:t>
            </w:r>
          </w:p>
        </w:tc>
        <w:tc>
          <w:tcPr>
            <w:tcW w:w="155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snapToGrid w:val="0"/>
                <w:color w:val="000000"/>
                <w:kern w:val="0"/>
                <w:sz w:val="15"/>
                <w:szCs w:val="15"/>
                <w:u w:val="none"/>
                <w:lang w:val="en-US" w:eastAsia="zh-CN" w:bidi="ar"/>
              </w:rPr>
              <w:t>总计</w:t>
            </w:r>
          </w:p>
        </w:tc>
        <w:tc>
          <w:tcPr>
            <w:tcW w:w="2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62</w:t>
            </w:r>
          </w:p>
        </w:tc>
        <w:tc>
          <w:tcPr>
            <w:tcW w:w="7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9,801.91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注：1.本表反映部门(单位)本年度的总收支和年末结转结余情况。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2.本套报表金额单位转换时可能存在尾数误差。</w:t>
            </w:r>
          </w:p>
        </w:tc>
      </w:tr>
    </w:tbl>
    <w:p>
      <w:pPr>
        <w:pStyle w:val="2"/>
        <w:spacing w:line="257" w:lineRule="auto"/>
      </w:pPr>
    </w:p>
    <w:p>
      <w:pPr>
        <w:pStyle w:val="2"/>
        <w:spacing w:line="257" w:lineRule="auto"/>
      </w:pPr>
    </w:p>
    <w:p>
      <w:pPr>
        <w:pStyle w:val="2"/>
        <w:spacing w:line="257" w:lineRule="auto"/>
      </w:pPr>
    </w:p>
    <w:p>
      <w:pPr>
        <w:spacing w:line="188" w:lineRule="auto"/>
        <w:rPr>
          <w:rFonts w:ascii="宋体" w:hAnsi="宋体" w:eastAsia="宋体" w:cs="宋体"/>
          <w:sz w:val="28"/>
          <w:szCs w:val="28"/>
        </w:rPr>
        <w:sectPr>
          <w:footerReference r:id="rId8" w:type="default"/>
          <w:pgSz w:w="11890" w:h="16800"/>
          <w:pgMar w:top="1428" w:right="1491" w:bottom="400" w:left="1664" w:header="0" w:footer="0" w:gutter="0"/>
          <w:cols w:space="720" w:num="1"/>
        </w:sectPr>
      </w:pPr>
    </w:p>
    <w:p>
      <w:pPr>
        <w:spacing w:before="115"/>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6"/>
        <w:gridCol w:w="326"/>
        <w:gridCol w:w="326"/>
        <w:gridCol w:w="2331"/>
        <w:gridCol w:w="884"/>
        <w:gridCol w:w="884"/>
        <w:gridCol w:w="884"/>
        <w:gridCol w:w="656"/>
        <w:gridCol w:w="656"/>
        <w:gridCol w:w="785"/>
        <w:gridCol w:w="9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11"/>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4" w:type="pct"/>
            <w:tcBorders>
              <w:top w:val="nil"/>
              <w:left w:val="nil"/>
              <w:bottom w:val="nil"/>
              <w:right w:val="nil"/>
            </w:tcBorders>
            <w:shd w:val="clear" w:color="auto" w:fill="auto"/>
            <w:noWrap/>
            <w:vAlign w:val="bottom"/>
          </w:tcPr>
          <w:p>
            <w:pPr>
              <w:rPr>
                <w:rFonts w:hint="eastAsia" w:ascii="Arial" w:hAnsi="Arial" w:cs="Arial"/>
                <w:i w:val="0"/>
                <w:iCs w:val="0"/>
                <w:color w:val="000000"/>
                <w:sz w:val="8"/>
                <w:szCs w:val="8"/>
                <w:u w:val="none"/>
              </w:rPr>
            </w:pPr>
          </w:p>
        </w:tc>
        <w:tc>
          <w:tcPr>
            <w:tcW w:w="144" w:type="pct"/>
            <w:tcBorders>
              <w:top w:val="nil"/>
              <w:left w:val="nil"/>
              <w:bottom w:val="nil"/>
              <w:right w:val="nil"/>
            </w:tcBorders>
            <w:shd w:val="clear" w:color="auto" w:fill="auto"/>
            <w:noWrap/>
            <w:vAlign w:val="bottom"/>
          </w:tcPr>
          <w:p>
            <w:pPr>
              <w:rPr>
                <w:rFonts w:hint="default" w:ascii="Arial" w:hAnsi="Arial" w:cs="Arial"/>
                <w:i w:val="0"/>
                <w:iCs w:val="0"/>
                <w:color w:val="000000"/>
                <w:sz w:val="8"/>
                <w:szCs w:val="8"/>
                <w:u w:val="none"/>
              </w:rPr>
            </w:pPr>
          </w:p>
        </w:tc>
        <w:tc>
          <w:tcPr>
            <w:tcW w:w="144" w:type="pct"/>
            <w:tcBorders>
              <w:top w:val="nil"/>
              <w:left w:val="nil"/>
              <w:bottom w:val="nil"/>
              <w:right w:val="nil"/>
            </w:tcBorders>
            <w:shd w:val="clear" w:color="auto" w:fill="auto"/>
            <w:noWrap/>
            <w:vAlign w:val="bottom"/>
          </w:tcPr>
          <w:p>
            <w:pPr>
              <w:rPr>
                <w:rFonts w:hint="default" w:ascii="Arial" w:hAnsi="Arial" w:cs="Arial"/>
                <w:i w:val="0"/>
                <w:iCs w:val="0"/>
                <w:color w:val="000000"/>
                <w:sz w:val="8"/>
                <w:szCs w:val="8"/>
                <w:u w:val="none"/>
              </w:rPr>
            </w:pPr>
          </w:p>
        </w:tc>
        <w:tc>
          <w:tcPr>
            <w:tcW w:w="1313" w:type="pct"/>
            <w:tcBorders>
              <w:top w:val="nil"/>
              <w:left w:val="nil"/>
              <w:bottom w:val="nil"/>
              <w:right w:val="nil"/>
            </w:tcBorders>
            <w:shd w:val="clear" w:color="auto" w:fill="auto"/>
            <w:noWrap/>
            <w:vAlign w:val="bottom"/>
          </w:tcPr>
          <w:p>
            <w:pPr>
              <w:rPr>
                <w:rFonts w:hint="default" w:ascii="Arial" w:hAnsi="Arial" w:cs="Arial"/>
                <w:i w:val="0"/>
                <w:iCs w:val="0"/>
                <w:color w:val="000000"/>
                <w:sz w:val="8"/>
                <w:szCs w:val="8"/>
                <w:u w:val="none"/>
              </w:rPr>
            </w:pPr>
          </w:p>
        </w:tc>
        <w:tc>
          <w:tcPr>
            <w:tcW w:w="510" w:type="pct"/>
            <w:tcBorders>
              <w:top w:val="nil"/>
              <w:left w:val="nil"/>
              <w:bottom w:val="nil"/>
              <w:right w:val="nil"/>
            </w:tcBorders>
            <w:shd w:val="clear" w:color="auto" w:fill="auto"/>
            <w:noWrap/>
            <w:vAlign w:val="bottom"/>
          </w:tcPr>
          <w:p>
            <w:pPr>
              <w:rPr>
                <w:rFonts w:hint="default" w:ascii="Arial" w:hAnsi="Arial" w:cs="Arial"/>
                <w:i w:val="0"/>
                <w:iCs w:val="0"/>
                <w:color w:val="000000"/>
                <w:sz w:val="8"/>
                <w:szCs w:val="8"/>
                <w:u w:val="none"/>
              </w:rPr>
            </w:pPr>
          </w:p>
        </w:tc>
        <w:tc>
          <w:tcPr>
            <w:tcW w:w="510" w:type="pct"/>
            <w:tcBorders>
              <w:top w:val="nil"/>
              <w:left w:val="nil"/>
              <w:bottom w:val="nil"/>
              <w:right w:val="nil"/>
            </w:tcBorders>
            <w:shd w:val="clear" w:color="auto" w:fill="auto"/>
            <w:noWrap/>
            <w:vAlign w:val="bottom"/>
          </w:tcPr>
          <w:p>
            <w:pPr>
              <w:rPr>
                <w:rFonts w:hint="default" w:ascii="Arial" w:hAnsi="Arial" w:cs="Arial"/>
                <w:i w:val="0"/>
                <w:iCs w:val="0"/>
                <w:color w:val="000000"/>
                <w:sz w:val="8"/>
                <w:szCs w:val="8"/>
                <w:u w:val="none"/>
              </w:rPr>
            </w:pPr>
          </w:p>
        </w:tc>
        <w:tc>
          <w:tcPr>
            <w:tcW w:w="510" w:type="pct"/>
            <w:tcBorders>
              <w:top w:val="nil"/>
              <w:left w:val="nil"/>
              <w:bottom w:val="nil"/>
              <w:right w:val="nil"/>
            </w:tcBorders>
            <w:shd w:val="clear" w:color="auto" w:fill="auto"/>
            <w:noWrap/>
            <w:vAlign w:val="bottom"/>
          </w:tcPr>
          <w:p>
            <w:pPr>
              <w:rPr>
                <w:rFonts w:hint="default" w:ascii="Arial" w:hAnsi="Arial" w:cs="Arial"/>
                <w:i w:val="0"/>
                <w:iCs w:val="0"/>
                <w:color w:val="000000"/>
                <w:sz w:val="8"/>
                <w:szCs w:val="8"/>
                <w:u w:val="none"/>
              </w:rPr>
            </w:pPr>
          </w:p>
        </w:tc>
        <w:tc>
          <w:tcPr>
            <w:tcW w:w="363" w:type="pct"/>
            <w:tcBorders>
              <w:top w:val="nil"/>
              <w:left w:val="nil"/>
              <w:bottom w:val="nil"/>
              <w:right w:val="nil"/>
            </w:tcBorders>
            <w:shd w:val="clear" w:color="auto" w:fill="auto"/>
            <w:noWrap/>
            <w:vAlign w:val="bottom"/>
          </w:tcPr>
          <w:p>
            <w:pPr>
              <w:rPr>
                <w:rFonts w:hint="default" w:ascii="Arial" w:hAnsi="Arial" w:cs="Arial"/>
                <w:i w:val="0"/>
                <w:iCs w:val="0"/>
                <w:color w:val="000000"/>
                <w:sz w:val="8"/>
                <w:szCs w:val="8"/>
                <w:u w:val="none"/>
              </w:rPr>
            </w:pPr>
          </w:p>
        </w:tc>
        <w:tc>
          <w:tcPr>
            <w:tcW w:w="363" w:type="pct"/>
            <w:tcBorders>
              <w:top w:val="nil"/>
              <w:left w:val="nil"/>
              <w:bottom w:val="nil"/>
              <w:right w:val="nil"/>
            </w:tcBorders>
            <w:shd w:val="clear" w:color="auto" w:fill="auto"/>
            <w:noWrap/>
            <w:vAlign w:val="bottom"/>
          </w:tcPr>
          <w:p>
            <w:pPr>
              <w:rPr>
                <w:rFonts w:hint="default" w:ascii="Arial" w:hAnsi="Arial" w:cs="Arial"/>
                <w:i w:val="0"/>
                <w:iCs w:val="0"/>
                <w:color w:val="000000"/>
                <w:sz w:val="8"/>
                <w:szCs w:val="8"/>
                <w:u w:val="none"/>
              </w:rPr>
            </w:pPr>
          </w:p>
        </w:tc>
        <w:tc>
          <w:tcPr>
            <w:tcW w:w="455" w:type="pct"/>
            <w:tcBorders>
              <w:top w:val="nil"/>
              <w:left w:val="nil"/>
              <w:bottom w:val="nil"/>
              <w:right w:val="nil"/>
            </w:tcBorders>
            <w:shd w:val="clear" w:color="auto" w:fill="auto"/>
            <w:noWrap/>
            <w:vAlign w:val="bottom"/>
          </w:tcPr>
          <w:p>
            <w:pPr>
              <w:rPr>
                <w:rFonts w:hint="default" w:ascii="Arial" w:hAnsi="Arial" w:cs="Arial"/>
                <w:i w:val="0"/>
                <w:iCs w:val="0"/>
                <w:color w:val="000000"/>
                <w:sz w:val="8"/>
                <w:szCs w:val="8"/>
                <w:u w:val="none"/>
              </w:rPr>
            </w:pPr>
          </w:p>
        </w:tc>
        <w:tc>
          <w:tcPr>
            <w:tcW w:w="540"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8"/>
                <w:szCs w:val="8"/>
                <w:u w:val="none"/>
              </w:rPr>
            </w:pPr>
            <w:r>
              <w:rPr>
                <w:rFonts w:hint="eastAsia" w:ascii="宋体" w:hAnsi="宋体" w:eastAsia="宋体" w:cs="宋体"/>
                <w:i w:val="0"/>
                <w:iCs w:val="0"/>
                <w:snapToGrid w:val="0"/>
                <w:color w:val="000000"/>
                <w:kern w:val="0"/>
                <w:sz w:val="10"/>
                <w:szCs w:val="1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257" w:type="pct"/>
            <w:gridSpan w:val="5"/>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8"/>
                <w:szCs w:val="8"/>
                <w:u w:val="none"/>
              </w:rPr>
            </w:pPr>
            <w:r>
              <w:rPr>
                <w:rFonts w:hint="eastAsia" w:ascii="宋体" w:hAnsi="宋体" w:eastAsia="宋体" w:cs="宋体"/>
                <w:i w:val="0"/>
                <w:iCs w:val="0"/>
                <w:snapToGrid w:val="0"/>
                <w:color w:val="000000"/>
                <w:kern w:val="0"/>
                <w:sz w:val="8"/>
                <w:szCs w:val="8"/>
                <w:u w:val="none"/>
                <w:lang w:val="en-US" w:eastAsia="zh-CN" w:bidi="ar"/>
              </w:rPr>
              <w:t>编制单位：浮梁县城市管理局</w:t>
            </w:r>
          </w:p>
        </w:tc>
        <w:tc>
          <w:tcPr>
            <w:tcW w:w="510" w:type="pct"/>
            <w:tcBorders>
              <w:top w:val="nil"/>
              <w:left w:val="nil"/>
              <w:bottom w:val="nil"/>
              <w:right w:val="nil"/>
            </w:tcBorders>
            <w:shd w:val="clear" w:color="auto" w:fill="auto"/>
            <w:noWrap/>
            <w:vAlign w:val="bottom"/>
          </w:tcPr>
          <w:p>
            <w:pPr>
              <w:rPr>
                <w:rFonts w:hint="default" w:ascii="Arial" w:hAnsi="Arial" w:cs="Arial"/>
                <w:i w:val="0"/>
                <w:iCs w:val="0"/>
                <w:color w:val="000000"/>
                <w:sz w:val="8"/>
                <w:szCs w:val="8"/>
                <w:u w:val="none"/>
              </w:rPr>
            </w:pPr>
          </w:p>
        </w:tc>
        <w:tc>
          <w:tcPr>
            <w:tcW w:w="510" w:type="pct"/>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8"/>
                <w:szCs w:val="8"/>
                <w:u w:val="none"/>
              </w:rPr>
            </w:pPr>
            <w:r>
              <w:rPr>
                <w:rFonts w:hint="eastAsia" w:ascii="宋体" w:hAnsi="宋体" w:eastAsia="宋体" w:cs="宋体"/>
                <w:i w:val="0"/>
                <w:iCs w:val="0"/>
                <w:snapToGrid w:val="0"/>
                <w:color w:val="000000"/>
                <w:kern w:val="0"/>
                <w:sz w:val="8"/>
                <w:szCs w:val="8"/>
                <w:u w:val="none"/>
                <w:lang w:val="en-US" w:eastAsia="zh-CN" w:bidi="ar"/>
              </w:rPr>
              <w:t>2022年度</w:t>
            </w:r>
          </w:p>
        </w:tc>
        <w:tc>
          <w:tcPr>
            <w:tcW w:w="363" w:type="pct"/>
            <w:tcBorders>
              <w:top w:val="nil"/>
              <w:left w:val="nil"/>
              <w:bottom w:val="nil"/>
              <w:right w:val="nil"/>
            </w:tcBorders>
            <w:shd w:val="clear" w:color="auto" w:fill="auto"/>
            <w:noWrap/>
            <w:vAlign w:val="bottom"/>
          </w:tcPr>
          <w:p>
            <w:pPr>
              <w:rPr>
                <w:rFonts w:hint="default" w:ascii="Arial" w:hAnsi="Arial" w:cs="Arial"/>
                <w:i w:val="0"/>
                <w:iCs w:val="0"/>
                <w:color w:val="000000"/>
                <w:sz w:val="8"/>
                <w:szCs w:val="8"/>
                <w:u w:val="none"/>
              </w:rPr>
            </w:pPr>
          </w:p>
        </w:tc>
        <w:tc>
          <w:tcPr>
            <w:tcW w:w="363" w:type="pct"/>
            <w:tcBorders>
              <w:top w:val="nil"/>
              <w:left w:val="nil"/>
              <w:bottom w:val="nil"/>
              <w:right w:val="nil"/>
            </w:tcBorders>
            <w:shd w:val="clear" w:color="auto" w:fill="auto"/>
            <w:noWrap/>
            <w:vAlign w:val="bottom"/>
          </w:tcPr>
          <w:p>
            <w:pPr>
              <w:rPr>
                <w:rFonts w:hint="default" w:ascii="Arial" w:hAnsi="Arial" w:cs="Arial"/>
                <w:i w:val="0"/>
                <w:iCs w:val="0"/>
                <w:color w:val="000000"/>
                <w:sz w:val="8"/>
                <w:szCs w:val="8"/>
                <w:u w:val="none"/>
              </w:rPr>
            </w:pPr>
          </w:p>
        </w:tc>
        <w:tc>
          <w:tcPr>
            <w:tcW w:w="455" w:type="pct"/>
            <w:tcBorders>
              <w:top w:val="nil"/>
              <w:left w:val="nil"/>
              <w:bottom w:val="nil"/>
              <w:right w:val="nil"/>
            </w:tcBorders>
            <w:shd w:val="clear" w:color="auto" w:fill="auto"/>
            <w:noWrap/>
            <w:vAlign w:val="bottom"/>
          </w:tcPr>
          <w:p>
            <w:pPr>
              <w:rPr>
                <w:rFonts w:hint="default" w:ascii="Arial" w:hAnsi="Arial" w:cs="Arial"/>
                <w:i w:val="0"/>
                <w:iCs w:val="0"/>
                <w:color w:val="000000"/>
                <w:sz w:val="8"/>
                <w:szCs w:val="8"/>
                <w:u w:val="none"/>
              </w:rPr>
            </w:pPr>
          </w:p>
        </w:tc>
        <w:tc>
          <w:tcPr>
            <w:tcW w:w="540"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8"/>
                <w:szCs w:val="8"/>
                <w:u w:val="none"/>
              </w:rPr>
            </w:pPr>
            <w:r>
              <w:rPr>
                <w:rFonts w:hint="eastAsia" w:ascii="宋体" w:hAnsi="宋体" w:eastAsia="宋体" w:cs="宋体"/>
                <w:i w:val="0"/>
                <w:iCs w:val="0"/>
                <w:snapToGrid w:val="0"/>
                <w:color w:val="000000"/>
                <w:kern w:val="0"/>
                <w:sz w:val="8"/>
                <w:szCs w:val="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47" w:type="pct"/>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项    目</w:t>
            </w:r>
          </w:p>
        </w:tc>
        <w:tc>
          <w:tcPr>
            <w:tcW w:w="510" w:type="pct"/>
            <w:vMerge w:val="restart"/>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本年收入合计</w:t>
            </w:r>
          </w:p>
        </w:tc>
        <w:tc>
          <w:tcPr>
            <w:tcW w:w="510" w:type="pct"/>
            <w:vMerge w:val="restart"/>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财政拨款收入</w:t>
            </w:r>
          </w:p>
        </w:tc>
        <w:tc>
          <w:tcPr>
            <w:tcW w:w="510" w:type="pct"/>
            <w:vMerge w:val="restart"/>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上级补助收入</w:t>
            </w:r>
          </w:p>
        </w:tc>
        <w:tc>
          <w:tcPr>
            <w:tcW w:w="363" w:type="pct"/>
            <w:vMerge w:val="restart"/>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事业收入</w:t>
            </w:r>
          </w:p>
        </w:tc>
        <w:tc>
          <w:tcPr>
            <w:tcW w:w="363" w:type="pct"/>
            <w:vMerge w:val="restart"/>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经营收入</w:t>
            </w:r>
          </w:p>
        </w:tc>
        <w:tc>
          <w:tcPr>
            <w:tcW w:w="455"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附属单位上缴收入</w:t>
            </w:r>
          </w:p>
        </w:tc>
        <w:tc>
          <w:tcPr>
            <w:tcW w:w="540" w:type="pct"/>
            <w:vMerge w:val="restart"/>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 w:type="pct"/>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支出功能分类科目编码</w:t>
            </w:r>
          </w:p>
        </w:tc>
        <w:tc>
          <w:tcPr>
            <w:tcW w:w="1313"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科目名称</w:t>
            </w:r>
          </w:p>
        </w:tc>
        <w:tc>
          <w:tcPr>
            <w:tcW w:w="510" w:type="pct"/>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1"/>
                <w:szCs w:val="11"/>
                <w:u w:val="none"/>
              </w:rPr>
            </w:pPr>
          </w:p>
        </w:tc>
        <w:tc>
          <w:tcPr>
            <w:tcW w:w="510" w:type="pct"/>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1"/>
                <w:szCs w:val="11"/>
                <w:u w:val="none"/>
              </w:rPr>
            </w:pPr>
          </w:p>
        </w:tc>
        <w:tc>
          <w:tcPr>
            <w:tcW w:w="510" w:type="pct"/>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1"/>
                <w:szCs w:val="11"/>
                <w:u w:val="none"/>
              </w:rPr>
            </w:pPr>
          </w:p>
        </w:tc>
        <w:tc>
          <w:tcPr>
            <w:tcW w:w="363" w:type="pct"/>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1"/>
                <w:szCs w:val="11"/>
                <w:u w:val="none"/>
              </w:rPr>
            </w:pPr>
          </w:p>
        </w:tc>
        <w:tc>
          <w:tcPr>
            <w:tcW w:w="363" w:type="pct"/>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1"/>
                <w:szCs w:val="11"/>
                <w:u w:val="none"/>
              </w:rPr>
            </w:pPr>
          </w:p>
        </w:tc>
        <w:tc>
          <w:tcPr>
            <w:tcW w:w="45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1"/>
                <w:szCs w:val="11"/>
                <w:u w:val="none"/>
              </w:rPr>
            </w:pPr>
          </w:p>
        </w:tc>
        <w:tc>
          <w:tcPr>
            <w:tcW w:w="540" w:type="pct"/>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1"/>
                <w:szCs w:val="11"/>
                <w:u w:val="none"/>
              </w:rPr>
            </w:pPr>
          </w:p>
        </w:tc>
        <w:tc>
          <w:tcPr>
            <w:tcW w:w="1313"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1"/>
                <w:szCs w:val="11"/>
                <w:u w:val="none"/>
              </w:rPr>
            </w:pPr>
          </w:p>
        </w:tc>
        <w:tc>
          <w:tcPr>
            <w:tcW w:w="510" w:type="pct"/>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1"/>
                <w:szCs w:val="11"/>
                <w:u w:val="none"/>
              </w:rPr>
            </w:pPr>
          </w:p>
        </w:tc>
        <w:tc>
          <w:tcPr>
            <w:tcW w:w="510" w:type="pct"/>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1"/>
                <w:szCs w:val="11"/>
                <w:u w:val="none"/>
              </w:rPr>
            </w:pPr>
          </w:p>
        </w:tc>
        <w:tc>
          <w:tcPr>
            <w:tcW w:w="510" w:type="pct"/>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1"/>
                <w:szCs w:val="11"/>
                <w:u w:val="none"/>
              </w:rPr>
            </w:pPr>
          </w:p>
        </w:tc>
        <w:tc>
          <w:tcPr>
            <w:tcW w:w="363" w:type="pct"/>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1"/>
                <w:szCs w:val="11"/>
                <w:u w:val="none"/>
              </w:rPr>
            </w:pPr>
          </w:p>
        </w:tc>
        <w:tc>
          <w:tcPr>
            <w:tcW w:w="363" w:type="pct"/>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1"/>
                <w:szCs w:val="11"/>
                <w:u w:val="none"/>
              </w:rPr>
            </w:pPr>
          </w:p>
        </w:tc>
        <w:tc>
          <w:tcPr>
            <w:tcW w:w="45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1"/>
                <w:szCs w:val="11"/>
                <w:u w:val="none"/>
              </w:rPr>
            </w:pPr>
          </w:p>
        </w:tc>
        <w:tc>
          <w:tcPr>
            <w:tcW w:w="540" w:type="pct"/>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33"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1"/>
                <w:szCs w:val="11"/>
                <w:u w:val="none"/>
              </w:rPr>
            </w:pPr>
          </w:p>
        </w:tc>
        <w:tc>
          <w:tcPr>
            <w:tcW w:w="1313"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1"/>
                <w:szCs w:val="11"/>
                <w:u w:val="none"/>
              </w:rPr>
            </w:pPr>
          </w:p>
        </w:tc>
        <w:tc>
          <w:tcPr>
            <w:tcW w:w="510" w:type="pct"/>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1"/>
                <w:szCs w:val="11"/>
                <w:u w:val="none"/>
              </w:rPr>
            </w:pPr>
          </w:p>
        </w:tc>
        <w:tc>
          <w:tcPr>
            <w:tcW w:w="510" w:type="pct"/>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1"/>
                <w:szCs w:val="11"/>
                <w:u w:val="none"/>
              </w:rPr>
            </w:pPr>
          </w:p>
        </w:tc>
        <w:tc>
          <w:tcPr>
            <w:tcW w:w="510" w:type="pct"/>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1"/>
                <w:szCs w:val="11"/>
                <w:u w:val="none"/>
              </w:rPr>
            </w:pPr>
          </w:p>
        </w:tc>
        <w:tc>
          <w:tcPr>
            <w:tcW w:w="363" w:type="pct"/>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1"/>
                <w:szCs w:val="11"/>
                <w:u w:val="none"/>
              </w:rPr>
            </w:pPr>
          </w:p>
        </w:tc>
        <w:tc>
          <w:tcPr>
            <w:tcW w:w="363" w:type="pct"/>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1"/>
                <w:szCs w:val="11"/>
                <w:u w:val="none"/>
              </w:rPr>
            </w:pPr>
          </w:p>
        </w:tc>
        <w:tc>
          <w:tcPr>
            <w:tcW w:w="45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1"/>
                <w:szCs w:val="11"/>
                <w:u w:val="none"/>
              </w:rPr>
            </w:pPr>
          </w:p>
        </w:tc>
        <w:tc>
          <w:tcPr>
            <w:tcW w:w="540" w:type="pct"/>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tcW w:w="144" w:type="pct"/>
            <w:vMerge w:val="restar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类</w:t>
            </w:r>
          </w:p>
        </w:tc>
        <w:tc>
          <w:tcPr>
            <w:tcW w:w="144"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款</w:t>
            </w:r>
          </w:p>
        </w:tc>
        <w:tc>
          <w:tcPr>
            <w:tcW w:w="144"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项</w:t>
            </w:r>
          </w:p>
        </w:tc>
        <w:tc>
          <w:tcPr>
            <w:tcW w:w="131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栏次</w:t>
            </w:r>
          </w:p>
        </w:tc>
        <w:tc>
          <w:tcPr>
            <w:tcW w:w="51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1</w:t>
            </w:r>
          </w:p>
        </w:tc>
        <w:tc>
          <w:tcPr>
            <w:tcW w:w="51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w:t>
            </w:r>
          </w:p>
        </w:tc>
        <w:tc>
          <w:tcPr>
            <w:tcW w:w="51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3</w:t>
            </w:r>
          </w:p>
        </w:tc>
        <w:tc>
          <w:tcPr>
            <w:tcW w:w="36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4</w:t>
            </w:r>
          </w:p>
        </w:tc>
        <w:tc>
          <w:tcPr>
            <w:tcW w:w="36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5</w:t>
            </w:r>
          </w:p>
        </w:tc>
        <w:tc>
          <w:tcPr>
            <w:tcW w:w="45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6</w:t>
            </w:r>
          </w:p>
        </w:tc>
        <w:tc>
          <w:tcPr>
            <w:tcW w:w="54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 xml:space="preserve">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 w:hRule="atLeast"/>
        </w:trPr>
        <w:tc>
          <w:tcPr>
            <w:tcW w:w="144" w:type="pct"/>
            <w:vMerge w:val="continue"/>
            <w:tcBorders>
              <w:top w:val="nil"/>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1"/>
                <w:szCs w:val="11"/>
                <w:u w:val="none"/>
              </w:rPr>
            </w:pPr>
          </w:p>
        </w:tc>
        <w:tc>
          <w:tcPr>
            <w:tcW w:w="144"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1"/>
                <w:szCs w:val="11"/>
                <w:u w:val="none"/>
              </w:rPr>
            </w:pPr>
          </w:p>
        </w:tc>
        <w:tc>
          <w:tcPr>
            <w:tcW w:w="144"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1"/>
                <w:szCs w:val="11"/>
                <w:u w:val="none"/>
              </w:rPr>
            </w:pPr>
          </w:p>
        </w:tc>
        <w:tc>
          <w:tcPr>
            <w:tcW w:w="131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合计</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9,801.91</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9,801.91</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4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5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208</w:t>
            </w:r>
          </w:p>
        </w:tc>
        <w:tc>
          <w:tcPr>
            <w:tcW w:w="1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社会保障和就业支出</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79.01</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79.01</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4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5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20805</w:t>
            </w:r>
          </w:p>
        </w:tc>
        <w:tc>
          <w:tcPr>
            <w:tcW w:w="1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行政事业单位养老支出</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79.01</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79.01</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4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5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2080505</w:t>
            </w:r>
          </w:p>
        </w:tc>
        <w:tc>
          <w:tcPr>
            <w:tcW w:w="1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 xml:space="preserve">  机关事业单位基本养老保险缴费支出</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52.67</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52.67</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4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5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2080506</w:t>
            </w:r>
          </w:p>
        </w:tc>
        <w:tc>
          <w:tcPr>
            <w:tcW w:w="1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 xml:space="preserve">  机关事业单位职业年金缴费支出</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26.34</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26.34</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4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5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210</w:t>
            </w:r>
          </w:p>
        </w:tc>
        <w:tc>
          <w:tcPr>
            <w:tcW w:w="1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卫生健康支出</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17.65</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17.65</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4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5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21011</w:t>
            </w:r>
          </w:p>
        </w:tc>
        <w:tc>
          <w:tcPr>
            <w:tcW w:w="1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行政事业单位医疗</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17.65</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17.65</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4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5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2101101</w:t>
            </w:r>
          </w:p>
        </w:tc>
        <w:tc>
          <w:tcPr>
            <w:tcW w:w="1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 xml:space="preserve">  行政单位医疗</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16.99</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16.99</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4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5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2101199</w:t>
            </w:r>
          </w:p>
        </w:tc>
        <w:tc>
          <w:tcPr>
            <w:tcW w:w="1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 xml:space="preserve">  其他行政事业单位医疗支出</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0.66</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0.66</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4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5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211</w:t>
            </w:r>
          </w:p>
        </w:tc>
        <w:tc>
          <w:tcPr>
            <w:tcW w:w="1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节能环保支出</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3,092.62</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3,092.62</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4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5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21103</w:t>
            </w:r>
          </w:p>
        </w:tc>
        <w:tc>
          <w:tcPr>
            <w:tcW w:w="1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污染防治</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300.00</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300.00</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4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5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2110304</w:t>
            </w:r>
          </w:p>
        </w:tc>
        <w:tc>
          <w:tcPr>
            <w:tcW w:w="1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 xml:space="preserve">  固体废弃物与化学品</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300.00</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300.00</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4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5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21104</w:t>
            </w:r>
          </w:p>
        </w:tc>
        <w:tc>
          <w:tcPr>
            <w:tcW w:w="1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自然生态保护</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2,710.62</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2,710.62</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4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5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2110402</w:t>
            </w:r>
          </w:p>
        </w:tc>
        <w:tc>
          <w:tcPr>
            <w:tcW w:w="1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 xml:space="preserve">  农村环境保护</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2,710.62</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2,710.62</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4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5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21199</w:t>
            </w:r>
          </w:p>
        </w:tc>
        <w:tc>
          <w:tcPr>
            <w:tcW w:w="1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其他节能环保支出</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82.00</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82.00</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4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5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2119999</w:t>
            </w:r>
          </w:p>
        </w:tc>
        <w:tc>
          <w:tcPr>
            <w:tcW w:w="1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 xml:space="preserve">  其他节能环保支出</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82.00</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82.00</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4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5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212</w:t>
            </w:r>
          </w:p>
        </w:tc>
        <w:tc>
          <w:tcPr>
            <w:tcW w:w="1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城乡社区支出</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6,403.96</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6,403.96</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4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5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21201</w:t>
            </w:r>
          </w:p>
        </w:tc>
        <w:tc>
          <w:tcPr>
            <w:tcW w:w="1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城乡社区管理事务</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1,655.66</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1,655.66</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4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5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2120101</w:t>
            </w:r>
          </w:p>
        </w:tc>
        <w:tc>
          <w:tcPr>
            <w:tcW w:w="1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 xml:space="preserve">  行政运行</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1,516.47</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1,516.47</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4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5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2120102</w:t>
            </w:r>
          </w:p>
        </w:tc>
        <w:tc>
          <w:tcPr>
            <w:tcW w:w="1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 xml:space="preserve">  一般行政管理事务</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32.00</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32.00</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4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5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2120199</w:t>
            </w:r>
          </w:p>
        </w:tc>
        <w:tc>
          <w:tcPr>
            <w:tcW w:w="1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 xml:space="preserve">  其他城乡社区管理事务支出</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107.19</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107.19</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4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5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21202</w:t>
            </w:r>
          </w:p>
        </w:tc>
        <w:tc>
          <w:tcPr>
            <w:tcW w:w="1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城乡社区规划与管理</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14.00</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14.00</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4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5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2120201</w:t>
            </w:r>
          </w:p>
        </w:tc>
        <w:tc>
          <w:tcPr>
            <w:tcW w:w="1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 xml:space="preserve">  城乡社区规划与管理</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14.00</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14.00</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4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5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21205</w:t>
            </w:r>
          </w:p>
        </w:tc>
        <w:tc>
          <w:tcPr>
            <w:tcW w:w="1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城乡社区环境卫生</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2,441.17</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2,441.17</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4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5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2120501</w:t>
            </w:r>
          </w:p>
        </w:tc>
        <w:tc>
          <w:tcPr>
            <w:tcW w:w="1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 xml:space="preserve">  城乡社区环境卫生</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2,441.17</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2,441.17</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4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5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21208</w:t>
            </w:r>
          </w:p>
        </w:tc>
        <w:tc>
          <w:tcPr>
            <w:tcW w:w="1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国有土地使用权出让收入安排的支出</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1,017.63</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1,017.63</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4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5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2120803</w:t>
            </w:r>
          </w:p>
        </w:tc>
        <w:tc>
          <w:tcPr>
            <w:tcW w:w="1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 xml:space="preserve">  城市建设支出</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1,017.63</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1,017.63</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4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5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21213</w:t>
            </w:r>
          </w:p>
        </w:tc>
        <w:tc>
          <w:tcPr>
            <w:tcW w:w="1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城市基础设施配套费安排的支出</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62.00</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62.00</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4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5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2121399</w:t>
            </w:r>
          </w:p>
        </w:tc>
        <w:tc>
          <w:tcPr>
            <w:tcW w:w="1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 xml:space="preserve">  其他城市基础设施配套费安排的支出</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62.00</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62.00</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4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5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21299</w:t>
            </w:r>
          </w:p>
        </w:tc>
        <w:tc>
          <w:tcPr>
            <w:tcW w:w="1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其他城乡社区支出</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1,213.50</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1,213.50</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4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5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2129999</w:t>
            </w:r>
          </w:p>
        </w:tc>
        <w:tc>
          <w:tcPr>
            <w:tcW w:w="1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 xml:space="preserve">  其他城乡社区支出</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1,213.50</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1,213.50</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4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5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221</w:t>
            </w:r>
          </w:p>
        </w:tc>
        <w:tc>
          <w:tcPr>
            <w:tcW w:w="1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住房保障支出</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38.67</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38.67</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4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5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22102</w:t>
            </w:r>
          </w:p>
        </w:tc>
        <w:tc>
          <w:tcPr>
            <w:tcW w:w="1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住房改革支出</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38.67</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38.67</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4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5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2210201</w:t>
            </w:r>
          </w:p>
        </w:tc>
        <w:tc>
          <w:tcPr>
            <w:tcW w:w="1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 xml:space="preserve">  住房公积金</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38.67</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38.67</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4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5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234</w:t>
            </w:r>
          </w:p>
        </w:tc>
        <w:tc>
          <w:tcPr>
            <w:tcW w:w="1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抗疫特别国债安排的支出</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170.00</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170.00</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4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5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23401</w:t>
            </w:r>
          </w:p>
        </w:tc>
        <w:tc>
          <w:tcPr>
            <w:tcW w:w="1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基础设施建设</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170.00</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170.00</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4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5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2340101</w:t>
            </w:r>
          </w:p>
        </w:tc>
        <w:tc>
          <w:tcPr>
            <w:tcW w:w="1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 xml:space="preserve">  公共卫生体系建设</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170.00</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170.00</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4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5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注：本表反映部门（单位）本年度取得的各项收入情况。</w:t>
            </w:r>
          </w:p>
        </w:tc>
      </w:tr>
    </w:tbl>
    <w:p>
      <w:pPr>
        <w:spacing w:before="24"/>
      </w:pPr>
    </w:p>
    <w:p>
      <w:pPr>
        <w:spacing w:before="24"/>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6"/>
        <w:gridCol w:w="366"/>
        <w:gridCol w:w="366"/>
        <w:gridCol w:w="2766"/>
        <w:gridCol w:w="849"/>
        <w:gridCol w:w="915"/>
        <w:gridCol w:w="893"/>
        <w:gridCol w:w="762"/>
        <w:gridCol w:w="731"/>
        <w:gridCol w:w="9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1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7" w:type="pct"/>
            <w:tcBorders>
              <w:top w:val="nil"/>
              <w:left w:val="nil"/>
              <w:bottom w:val="nil"/>
              <w:right w:val="nil"/>
            </w:tcBorders>
            <w:shd w:val="clear" w:color="auto" w:fill="auto"/>
            <w:noWrap/>
            <w:vAlign w:val="bottom"/>
          </w:tcPr>
          <w:p>
            <w:pPr>
              <w:rPr>
                <w:rFonts w:hint="eastAsia" w:ascii="Arial" w:hAnsi="Arial" w:cs="Arial"/>
                <w:i w:val="0"/>
                <w:iCs w:val="0"/>
                <w:color w:val="000000"/>
                <w:sz w:val="11"/>
                <w:szCs w:val="11"/>
                <w:u w:val="none"/>
              </w:rPr>
            </w:pPr>
          </w:p>
        </w:tc>
        <w:tc>
          <w:tcPr>
            <w:tcW w:w="137" w:type="pct"/>
            <w:tcBorders>
              <w:top w:val="nil"/>
              <w:left w:val="nil"/>
              <w:bottom w:val="nil"/>
              <w:right w:val="nil"/>
            </w:tcBorders>
            <w:shd w:val="clear" w:color="auto" w:fill="auto"/>
            <w:noWrap/>
            <w:vAlign w:val="bottom"/>
          </w:tcPr>
          <w:p>
            <w:pPr>
              <w:rPr>
                <w:rFonts w:hint="default" w:ascii="Arial" w:hAnsi="Arial" w:cs="Arial"/>
                <w:i w:val="0"/>
                <w:iCs w:val="0"/>
                <w:color w:val="000000"/>
                <w:sz w:val="11"/>
                <w:szCs w:val="11"/>
                <w:u w:val="none"/>
              </w:rPr>
            </w:pPr>
          </w:p>
        </w:tc>
        <w:tc>
          <w:tcPr>
            <w:tcW w:w="137" w:type="pct"/>
            <w:tcBorders>
              <w:top w:val="nil"/>
              <w:left w:val="nil"/>
              <w:bottom w:val="nil"/>
              <w:right w:val="nil"/>
            </w:tcBorders>
            <w:shd w:val="clear" w:color="auto" w:fill="auto"/>
            <w:noWrap/>
            <w:vAlign w:val="bottom"/>
          </w:tcPr>
          <w:p>
            <w:pPr>
              <w:rPr>
                <w:rFonts w:hint="default" w:ascii="Arial" w:hAnsi="Arial" w:cs="Arial"/>
                <w:i w:val="0"/>
                <w:iCs w:val="0"/>
                <w:color w:val="000000"/>
                <w:sz w:val="11"/>
                <w:szCs w:val="11"/>
                <w:u w:val="none"/>
              </w:rPr>
            </w:pPr>
          </w:p>
        </w:tc>
        <w:tc>
          <w:tcPr>
            <w:tcW w:w="1254" w:type="pct"/>
            <w:tcBorders>
              <w:top w:val="nil"/>
              <w:left w:val="nil"/>
              <w:bottom w:val="nil"/>
              <w:right w:val="nil"/>
            </w:tcBorders>
            <w:shd w:val="clear" w:color="auto" w:fill="auto"/>
            <w:noWrap/>
            <w:vAlign w:val="bottom"/>
          </w:tcPr>
          <w:p>
            <w:pPr>
              <w:rPr>
                <w:rFonts w:hint="default" w:ascii="Arial" w:hAnsi="Arial" w:cs="Arial"/>
                <w:i w:val="0"/>
                <w:iCs w:val="0"/>
                <w:color w:val="000000"/>
                <w:sz w:val="11"/>
                <w:szCs w:val="11"/>
                <w:u w:val="none"/>
              </w:rPr>
            </w:pPr>
          </w:p>
        </w:tc>
        <w:tc>
          <w:tcPr>
            <w:tcW w:w="561" w:type="pct"/>
            <w:tcBorders>
              <w:top w:val="nil"/>
              <w:left w:val="nil"/>
              <w:bottom w:val="nil"/>
              <w:right w:val="nil"/>
            </w:tcBorders>
            <w:shd w:val="clear" w:color="auto" w:fill="auto"/>
            <w:noWrap/>
            <w:vAlign w:val="bottom"/>
          </w:tcPr>
          <w:p>
            <w:pPr>
              <w:rPr>
                <w:rFonts w:hint="default" w:ascii="Arial" w:hAnsi="Arial" w:cs="Arial"/>
                <w:i w:val="0"/>
                <w:iCs w:val="0"/>
                <w:color w:val="000000"/>
                <w:sz w:val="11"/>
                <w:szCs w:val="11"/>
                <w:u w:val="none"/>
              </w:rPr>
            </w:pPr>
          </w:p>
        </w:tc>
        <w:tc>
          <w:tcPr>
            <w:tcW w:w="598" w:type="pct"/>
            <w:tcBorders>
              <w:top w:val="nil"/>
              <w:left w:val="nil"/>
              <w:bottom w:val="nil"/>
              <w:right w:val="nil"/>
            </w:tcBorders>
            <w:shd w:val="clear" w:color="auto" w:fill="auto"/>
            <w:noWrap/>
            <w:vAlign w:val="bottom"/>
          </w:tcPr>
          <w:p>
            <w:pPr>
              <w:rPr>
                <w:rFonts w:hint="default" w:ascii="Arial" w:hAnsi="Arial" w:cs="Arial"/>
                <w:i w:val="0"/>
                <w:iCs w:val="0"/>
                <w:color w:val="000000"/>
                <w:sz w:val="11"/>
                <w:szCs w:val="11"/>
                <w:u w:val="none"/>
              </w:rPr>
            </w:pPr>
          </w:p>
        </w:tc>
        <w:tc>
          <w:tcPr>
            <w:tcW w:w="585" w:type="pct"/>
            <w:tcBorders>
              <w:top w:val="nil"/>
              <w:left w:val="nil"/>
              <w:bottom w:val="nil"/>
              <w:right w:val="nil"/>
            </w:tcBorders>
            <w:shd w:val="clear" w:color="auto" w:fill="auto"/>
            <w:noWrap/>
            <w:vAlign w:val="bottom"/>
          </w:tcPr>
          <w:p>
            <w:pPr>
              <w:rPr>
                <w:rFonts w:hint="default" w:ascii="Arial" w:hAnsi="Arial" w:cs="Arial"/>
                <w:i w:val="0"/>
                <w:iCs w:val="0"/>
                <w:color w:val="000000"/>
                <w:sz w:val="11"/>
                <w:szCs w:val="11"/>
                <w:u w:val="none"/>
              </w:rPr>
            </w:pPr>
          </w:p>
        </w:tc>
        <w:tc>
          <w:tcPr>
            <w:tcW w:w="512" w:type="pct"/>
            <w:tcBorders>
              <w:top w:val="nil"/>
              <w:left w:val="nil"/>
              <w:bottom w:val="nil"/>
              <w:right w:val="nil"/>
            </w:tcBorders>
            <w:shd w:val="clear" w:color="auto" w:fill="auto"/>
            <w:noWrap/>
            <w:vAlign w:val="bottom"/>
          </w:tcPr>
          <w:p>
            <w:pPr>
              <w:rPr>
                <w:rFonts w:hint="default" w:ascii="Arial" w:hAnsi="Arial" w:cs="Arial"/>
                <w:i w:val="0"/>
                <w:iCs w:val="0"/>
                <w:color w:val="000000"/>
                <w:sz w:val="11"/>
                <w:szCs w:val="11"/>
                <w:u w:val="none"/>
              </w:rPr>
            </w:pPr>
          </w:p>
        </w:tc>
        <w:tc>
          <w:tcPr>
            <w:tcW w:w="495" w:type="pct"/>
            <w:tcBorders>
              <w:top w:val="nil"/>
              <w:left w:val="nil"/>
              <w:bottom w:val="nil"/>
              <w:right w:val="nil"/>
            </w:tcBorders>
            <w:shd w:val="clear" w:color="auto" w:fill="auto"/>
            <w:noWrap/>
            <w:vAlign w:val="bottom"/>
          </w:tcPr>
          <w:p>
            <w:pPr>
              <w:rPr>
                <w:rFonts w:hint="default" w:ascii="Arial" w:hAnsi="Arial" w:cs="Arial"/>
                <w:i w:val="0"/>
                <w:iCs w:val="0"/>
                <w:color w:val="000000"/>
                <w:sz w:val="11"/>
                <w:szCs w:val="11"/>
                <w:u w:val="none"/>
              </w:rPr>
            </w:pPr>
          </w:p>
        </w:tc>
        <w:tc>
          <w:tcPr>
            <w:tcW w:w="578"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228" w:type="pct"/>
            <w:gridSpan w:val="5"/>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编制单位：浮梁县城市管理局</w:t>
            </w:r>
          </w:p>
        </w:tc>
        <w:tc>
          <w:tcPr>
            <w:tcW w:w="598" w:type="pct"/>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2022年度</w:t>
            </w:r>
          </w:p>
        </w:tc>
        <w:tc>
          <w:tcPr>
            <w:tcW w:w="585" w:type="pct"/>
            <w:tcBorders>
              <w:top w:val="nil"/>
              <w:left w:val="nil"/>
              <w:bottom w:val="nil"/>
              <w:right w:val="nil"/>
            </w:tcBorders>
            <w:shd w:val="clear" w:color="auto" w:fill="auto"/>
            <w:noWrap/>
            <w:vAlign w:val="bottom"/>
          </w:tcPr>
          <w:p>
            <w:pPr>
              <w:rPr>
                <w:rFonts w:hint="default" w:ascii="Arial" w:hAnsi="Arial" w:cs="Arial"/>
                <w:i w:val="0"/>
                <w:iCs w:val="0"/>
                <w:color w:val="000000"/>
                <w:sz w:val="11"/>
                <w:szCs w:val="11"/>
                <w:u w:val="none"/>
              </w:rPr>
            </w:pPr>
          </w:p>
        </w:tc>
        <w:tc>
          <w:tcPr>
            <w:tcW w:w="512" w:type="pct"/>
            <w:tcBorders>
              <w:top w:val="nil"/>
              <w:left w:val="nil"/>
              <w:bottom w:val="nil"/>
              <w:right w:val="nil"/>
            </w:tcBorders>
            <w:shd w:val="clear" w:color="auto" w:fill="auto"/>
            <w:noWrap/>
            <w:vAlign w:val="bottom"/>
          </w:tcPr>
          <w:p>
            <w:pPr>
              <w:rPr>
                <w:rFonts w:hint="default" w:ascii="Arial" w:hAnsi="Arial" w:cs="Arial"/>
                <w:i w:val="0"/>
                <w:iCs w:val="0"/>
                <w:color w:val="000000"/>
                <w:sz w:val="11"/>
                <w:szCs w:val="11"/>
                <w:u w:val="none"/>
              </w:rPr>
            </w:pPr>
          </w:p>
        </w:tc>
        <w:tc>
          <w:tcPr>
            <w:tcW w:w="495" w:type="pct"/>
            <w:tcBorders>
              <w:top w:val="nil"/>
              <w:left w:val="nil"/>
              <w:bottom w:val="nil"/>
              <w:right w:val="nil"/>
            </w:tcBorders>
            <w:shd w:val="clear" w:color="auto" w:fill="auto"/>
            <w:noWrap/>
            <w:vAlign w:val="bottom"/>
          </w:tcPr>
          <w:p>
            <w:pPr>
              <w:rPr>
                <w:rFonts w:hint="default" w:ascii="Arial" w:hAnsi="Arial" w:cs="Arial"/>
                <w:i w:val="0"/>
                <w:iCs w:val="0"/>
                <w:color w:val="000000"/>
                <w:sz w:val="11"/>
                <w:szCs w:val="11"/>
                <w:u w:val="none"/>
              </w:rPr>
            </w:pPr>
          </w:p>
        </w:tc>
        <w:tc>
          <w:tcPr>
            <w:tcW w:w="578"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67" w:type="pct"/>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项    目</w:t>
            </w:r>
          </w:p>
        </w:tc>
        <w:tc>
          <w:tcPr>
            <w:tcW w:w="561"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本年支出合计</w:t>
            </w:r>
          </w:p>
        </w:tc>
        <w:tc>
          <w:tcPr>
            <w:tcW w:w="598"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基本支出</w:t>
            </w:r>
          </w:p>
        </w:tc>
        <w:tc>
          <w:tcPr>
            <w:tcW w:w="585"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项目支出</w:t>
            </w:r>
          </w:p>
        </w:tc>
        <w:tc>
          <w:tcPr>
            <w:tcW w:w="512"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上缴上级支出</w:t>
            </w:r>
          </w:p>
        </w:tc>
        <w:tc>
          <w:tcPr>
            <w:tcW w:w="495"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经营支出</w:t>
            </w:r>
          </w:p>
        </w:tc>
        <w:tc>
          <w:tcPr>
            <w:tcW w:w="578"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支出功能分类科目编码</w:t>
            </w:r>
          </w:p>
        </w:tc>
        <w:tc>
          <w:tcPr>
            <w:tcW w:w="1254"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科目名称</w:t>
            </w:r>
          </w:p>
        </w:tc>
        <w:tc>
          <w:tcPr>
            <w:tcW w:w="561"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rPr>
            </w:pPr>
          </w:p>
        </w:tc>
        <w:tc>
          <w:tcPr>
            <w:tcW w:w="598"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rPr>
            </w:pPr>
          </w:p>
        </w:tc>
        <w:tc>
          <w:tcPr>
            <w:tcW w:w="512"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rPr>
            </w:pPr>
          </w:p>
        </w:tc>
        <w:tc>
          <w:tcPr>
            <w:tcW w:w="49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rPr>
            </w:pPr>
          </w:p>
        </w:tc>
        <w:tc>
          <w:tcPr>
            <w:tcW w:w="578"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rPr>
            </w:pPr>
          </w:p>
        </w:tc>
        <w:tc>
          <w:tcPr>
            <w:tcW w:w="1254"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5"/>
                <w:szCs w:val="15"/>
                <w:u w:val="none"/>
              </w:rPr>
            </w:pPr>
          </w:p>
        </w:tc>
        <w:tc>
          <w:tcPr>
            <w:tcW w:w="561"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rPr>
            </w:pPr>
          </w:p>
        </w:tc>
        <w:tc>
          <w:tcPr>
            <w:tcW w:w="598"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rPr>
            </w:pPr>
          </w:p>
        </w:tc>
        <w:tc>
          <w:tcPr>
            <w:tcW w:w="512"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rPr>
            </w:pPr>
          </w:p>
        </w:tc>
        <w:tc>
          <w:tcPr>
            <w:tcW w:w="49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rPr>
            </w:pPr>
          </w:p>
        </w:tc>
        <w:tc>
          <w:tcPr>
            <w:tcW w:w="578"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13"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rPr>
            </w:pPr>
          </w:p>
        </w:tc>
        <w:tc>
          <w:tcPr>
            <w:tcW w:w="1254"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5"/>
                <w:szCs w:val="15"/>
                <w:u w:val="none"/>
              </w:rPr>
            </w:pPr>
          </w:p>
        </w:tc>
        <w:tc>
          <w:tcPr>
            <w:tcW w:w="561"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rPr>
            </w:pPr>
          </w:p>
        </w:tc>
        <w:tc>
          <w:tcPr>
            <w:tcW w:w="598"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rPr>
            </w:pPr>
          </w:p>
        </w:tc>
        <w:tc>
          <w:tcPr>
            <w:tcW w:w="512"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rPr>
            </w:pPr>
          </w:p>
        </w:tc>
        <w:tc>
          <w:tcPr>
            <w:tcW w:w="49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rPr>
            </w:pPr>
          </w:p>
        </w:tc>
        <w:tc>
          <w:tcPr>
            <w:tcW w:w="578"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trPr>
        <w:tc>
          <w:tcPr>
            <w:tcW w:w="137" w:type="pct"/>
            <w:vMerge w:val="restar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类</w:t>
            </w:r>
          </w:p>
        </w:tc>
        <w:tc>
          <w:tcPr>
            <w:tcW w:w="137"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款</w:t>
            </w:r>
          </w:p>
        </w:tc>
        <w:tc>
          <w:tcPr>
            <w:tcW w:w="137"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项</w:t>
            </w:r>
          </w:p>
        </w:tc>
        <w:tc>
          <w:tcPr>
            <w:tcW w:w="12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栏次</w:t>
            </w:r>
          </w:p>
        </w:tc>
        <w:tc>
          <w:tcPr>
            <w:tcW w:w="56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w:t>
            </w:r>
          </w:p>
        </w:tc>
        <w:tc>
          <w:tcPr>
            <w:tcW w:w="59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w:t>
            </w:r>
          </w:p>
        </w:tc>
        <w:tc>
          <w:tcPr>
            <w:tcW w:w="58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3</w:t>
            </w:r>
          </w:p>
        </w:tc>
        <w:tc>
          <w:tcPr>
            <w:tcW w:w="51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4</w:t>
            </w:r>
          </w:p>
        </w:tc>
        <w:tc>
          <w:tcPr>
            <w:tcW w:w="49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5</w:t>
            </w:r>
          </w:p>
        </w:tc>
        <w:tc>
          <w:tcPr>
            <w:tcW w:w="57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tcW w:w="137" w:type="pct"/>
            <w:vMerge w:val="continue"/>
            <w:tcBorders>
              <w:top w:val="nil"/>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5"/>
                <w:szCs w:val="15"/>
                <w:u w:val="none"/>
              </w:rPr>
            </w:pPr>
          </w:p>
        </w:tc>
        <w:tc>
          <w:tcPr>
            <w:tcW w:w="137"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5"/>
                <w:szCs w:val="15"/>
                <w:u w:val="none"/>
              </w:rPr>
            </w:pPr>
          </w:p>
        </w:tc>
        <w:tc>
          <w:tcPr>
            <w:tcW w:w="137"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5"/>
                <w:szCs w:val="15"/>
                <w:u w:val="none"/>
              </w:rPr>
            </w:pPr>
          </w:p>
        </w:tc>
        <w:tc>
          <w:tcPr>
            <w:tcW w:w="12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合计</w:t>
            </w:r>
          </w:p>
        </w:tc>
        <w:tc>
          <w:tcPr>
            <w:tcW w:w="5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9,801.91</w:t>
            </w:r>
          </w:p>
        </w:tc>
        <w:tc>
          <w:tcPr>
            <w:tcW w:w="5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2,069.05</w:t>
            </w:r>
          </w:p>
        </w:tc>
        <w:tc>
          <w:tcPr>
            <w:tcW w:w="5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7,732.87</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4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7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208</w:t>
            </w:r>
          </w:p>
        </w:tc>
        <w:tc>
          <w:tcPr>
            <w:tcW w:w="12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社会保障和就业支出</w:t>
            </w:r>
          </w:p>
        </w:tc>
        <w:tc>
          <w:tcPr>
            <w:tcW w:w="5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79.01</w:t>
            </w:r>
          </w:p>
        </w:tc>
        <w:tc>
          <w:tcPr>
            <w:tcW w:w="5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79.01</w:t>
            </w:r>
          </w:p>
        </w:tc>
        <w:tc>
          <w:tcPr>
            <w:tcW w:w="5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4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7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20805</w:t>
            </w:r>
          </w:p>
        </w:tc>
        <w:tc>
          <w:tcPr>
            <w:tcW w:w="12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行政事业单位养老支出</w:t>
            </w:r>
          </w:p>
        </w:tc>
        <w:tc>
          <w:tcPr>
            <w:tcW w:w="5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79.01</w:t>
            </w:r>
          </w:p>
        </w:tc>
        <w:tc>
          <w:tcPr>
            <w:tcW w:w="5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79.01</w:t>
            </w:r>
          </w:p>
        </w:tc>
        <w:tc>
          <w:tcPr>
            <w:tcW w:w="5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4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7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2080505</w:t>
            </w:r>
          </w:p>
        </w:tc>
        <w:tc>
          <w:tcPr>
            <w:tcW w:w="12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机关事业单位基本养老保险缴费支出</w:t>
            </w:r>
          </w:p>
        </w:tc>
        <w:tc>
          <w:tcPr>
            <w:tcW w:w="5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52.67</w:t>
            </w:r>
          </w:p>
        </w:tc>
        <w:tc>
          <w:tcPr>
            <w:tcW w:w="5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52.67</w:t>
            </w:r>
          </w:p>
        </w:tc>
        <w:tc>
          <w:tcPr>
            <w:tcW w:w="5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4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7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2080506</w:t>
            </w:r>
          </w:p>
        </w:tc>
        <w:tc>
          <w:tcPr>
            <w:tcW w:w="12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机关事业单位职业年金缴费支出</w:t>
            </w:r>
          </w:p>
        </w:tc>
        <w:tc>
          <w:tcPr>
            <w:tcW w:w="5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26.34</w:t>
            </w:r>
          </w:p>
        </w:tc>
        <w:tc>
          <w:tcPr>
            <w:tcW w:w="5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26.34</w:t>
            </w:r>
          </w:p>
        </w:tc>
        <w:tc>
          <w:tcPr>
            <w:tcW w:w="5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4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7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210</w:t>
            </w:r>
          </w:p>
        </w:tc>
        <w:tc>
          <w:tcPr>
            <w:tcW w:w="12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卫生健康支出</w:t>
            </w:r>
          </w:p>
        </w:tc>
        <w:tc>
          <w:tcPr>
            <w:tcW w:w="5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17.65</w:t>
            </w:r>
          </w:p>
        </w:tc>
        <w:tc>
          <w:tcPr>
            <w:tcW w:w="5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17.65</w:t>
            </w:r>
          </w:p>
        </w:tc>
        <w:tc>
          <w:tcPr>
            <w:tcW w:w="5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4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7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21011</w:t>
            </w:r>
          </w:p>
        </w:tc>
        <w:tc>
          <w:tcPr>
            <w:tcW w:w="12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行政事业单位医疗</w:t>
            </w:r>
          </w:p>
        </w:tc>
        <w:tc>
          <w:tcPr>
            <w:tcW w:w="5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17.65</w:t>
            </w:r>
          </w:p>
        </w:tc>
        <w:tc>
          <w:tcPr>
            <w:tcW w:w="5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17.65</w:t>
            </w:r>
          </w:p>
        </w:tc>
        <w:tc>
          <w:tcPr>
            <w:tcW w:w="5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4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7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2101101</w:t>
            </w:r>
          </w:p>
        </w:tc>
        <w:tc>
          <w:tcPr>
            <w:tcW w:w="12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行政单位医疗</w:t>
            </w:r>
          </w:p>
        </w:tc>
        <w:tc>
          <w:tcPr>
            <w:tcW w:w="5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16.99</w:t>
            </w:r>
          </w:p>
        </w:tc>
        <w:tc>
          <w:tcPr>
            <w:tcW w:w="5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16.99</w:t>
            </w:r>
          </w:p>
        </w:tc>
        <w:tc>
          <w:tcPr>
            <w:tcW w:w="5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4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7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2101199</w:t>
            </w:r>
          </w:p>
        </w:tc>
        <w:tc>
          <w:tcPr>
            <w:tcW w:w="12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其他行政事业单位医疗支出</w:t>
            </w:r>
          </w:p>
        </w:tc>
        <w:tc>
          <w:tcPr>
            <w:tcW w:w="5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0.66</w:t>
            </w:r>
          </w:p>
        </w:tc>
        <w:tc>
          <w:tcPr>
            <w:tcW w:w="5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0.66</w:t>
            </w:r>
          </w:p>
        </w:tc>
        <w:tc>
          <w:tcPr>
            <w:tcW w:w="5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4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7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211</w:t>
            </w:r>
          </w:p>
        </w:tc>
        <w:tc>
          <w:tcPr>
            <w:tcW w:w="12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节能环保支出</w:t>
            </w:r>
          </w:p>
        </w:tc>
        <w:tc>
          <w:tcPr>
            <w:tcW w:w="5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3,092.62</w:t>
            </w:r>
          </w:p>
        </w:tc>
        <w:tc>
          <w:tcPr>
            <w:tcW w:w="5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3,092.62</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4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7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21103</w:t>
            </w:r>
          </w:p>
        </w:tc>
        <w:tc>
          <w:tcPr>
            <w:tcW w:w="12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污染防治</w:t>
            </w:r>
          </w:p>
        </w:tc>
        <w:tc>
          <w:tcPr>
            <w:tcW w:w="5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300.00</w:t>
            </w:r>
          </w:p>
        </w:tc>
        <w:tc>
          <w:tcPr>
            <w:tcW w:w="5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300.00</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4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7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2110304</w:t>
            </w:r>
          </w:p>
        </w:tc>
        <w:tc>
          <w:tcPr>
            <w:tcW w:w="12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固体废弃物与化学品</w:t>
            </w:r>
          </w:p>
        </w:tc>
        <w:tc>
          <w:tcPr>
            <w:tcW w:w="5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300.00</w:t>
            </w:r>
          </w:p>
        </w:tc>
        <w:tc>
          <w:tcPr>
            <w:tcW w:w="5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300.00</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4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7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21104</w:t>
            </w:r>
          </w:p>
        </w:tc>
        <w:tc>
          <w:tcPr>
            <w:tcW w:w="12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自然生态保护</w:t>
            </w:r>
          </w:p>
        </w:tc>
        <w:tc>
          <w:tcPr>
            <w:tcW w:w="5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2,710.62</w:t>
            </w:r>
          </w:p>
        </w:tc>
        <w:tc>
          <w:tcPr>
            <w:tcW w:w="5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2,710.62</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4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7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2110402</w:t>
            </w:r>
          </w:p>
        </w:tc>
        <w:tc>
          <w:tcPr>
            <w:tcW w:w="12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农村环境保护</w:t>
            </w:r>
          </w:p>
        </w:tc>
        <w:tc>
          <w:tcPr>
            <w:tcW w:w="5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2,710.62</w:t>
            </w:r>
          </w:p>
        </w:tc>
        <w:tc>
          <w:tcPr>
            <w:tcW w:w="5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2,710.62</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4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7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21199</w:t>
            </w:r>
          </w:p>
        </w:tc>
        <w:tc>
          <w:tcPr>
            <w:tcW w:w="12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其他节能环保支出</w:t>
            </w:r>
          </w:p>
        </w:tc>
        <w:tc>
          <w:tcPr>
            <w:tcW w:w="5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82.00</w:t>
            </w:r>
          </w:p>
        </w:tc>
        <w:tc>
          <w:tcPr>
            <w:tcW w:w="5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82.00</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4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7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2119999</w:t>
            </w:r>
          </w:p>
        </w:tc>
        <w:tc>
          <w:tcPr>
            <w:tcW w:w="12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其他节能环保支出</w:t>
            </w:r>
          </w:p>
        </w:tc>
        <w:tc>
          <w:tcPr>
            <w:tcW w:w="5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82.00</w:t>
            </w:r>
          </w:p>
        </w:tc>
        <w:tc>
          <w:tcPr>
            <w:tcW w:w="5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82.00</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4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7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212</w:t>
            </w:r>
          </w:p>
        </w:tc>
        <w:tc>
          <w:tcPr>
            <w:tcW w:w="12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城乡社区支出</w:t>
            </w:r>
          </w:p>
        </w:tc>
        <w:tc>
          <w:tcPr>
            <w:tcW w:w="5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6,403.96</w:t>
            </w:r>
          </w:p>
        </w:tc>
        <w:tc>
          <w:tcPr>
            <w:tcW w:w="5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1,933.72</w:t>
            </w:r>
          </w:p>
        </w:tc>
        <w:tc>
          <w:tcPr>
            <w:tcW w:w="5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4,470.25</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4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7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21201</w:t>
            </w:r>
          </w:p>
        </w:tc>
        <w:tc>
          <w:tcPr>
            <w:tcW w:w="12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城乡社区管理事务</w:t>
            </w:r>
          </w:p>
        </w:tc>
        <w:tc>
          <w:tcPr>
            <w:tcW w:w="5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1,655.66</w:t>
            </w:r>
          </w:p>
        </w:tc>
        <w:tc>
          <w:tcPr>
            <w:tcW w:w="5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1,655.66</w:t>
            </w:r>
          </w:p>
        </w:tc>
        <w:tc>
          <w:tcPr>
            <w:tcW w:w="5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4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7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2120101</w:t>
            </w:r>
          </w:p>
        </w:tc>
        <w:tc>
          <w:tcPr>
            <w:tcW w:w="12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行政运行</w:t>
            </w:r>
          </w:p>
        </w:tc>
        <w:tc>
          <w:tcPr>
            <w:tcW w:w="5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1,516.47</w:t>
            </w:r>
          </w:p>
        </w:tc>
        <w:tc>
          <w:tcPr>
            <w:tcW w:w="5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1,516.47</w:t>
            </w:r>
          </w:p>
        </w:tc>
        <w:tc>
          <w:tcPr>
            <w:tcW w:w="5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4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7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2120102</w:t>
            </w:r>
          </w:p>
        </w:tc>
        <w:tc>
          <w:tcPr>
            <w:tcW w:w="12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一般行政管理事务</w:t>
            </w:r>
          </w:p>
        </w:tc>
        <w:tc>
          <w:tcPr>
            <w:tcW w:w="5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32.00</w:t>
            </w:r>
          </w:p>
        </w:tc>
        <w:tc>
          <w:tcPr>
            <w:tcW w:w="5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32.00</w:t>
            </w:r>
          </w:p>
        </w:tc>
        <w:tc>
          <w:tcPr>
            <w:tcW w:w="5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4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7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2120199</w:t>
            </w:r>
          </w:p>
        </w:tc>
        <w:tc>
          <w:tcPr>
            <w:tcW w:w="12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其他城乡社区管理事务支出</w:t>
            </w:r>
          </w:p>
        </w:tc>
        <w:tc>
          <w:tcPr>
            <w:tcW w:w="5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107.19</w:t>
            </w:r>
          </w:p>
        </w:tc>
        <w:tc>
          <w:tcPr>
            <w:tcW w:w="5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107.19</w:t>
            </w:r>
          </w:p>
        </w:tc>
        <w:tc>
          <w:tcPr>
            <w:tcW w:w="5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4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7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21202</w:t>
            </w:r>
          </w:p>
        </w:tc>
        <w:tc>
          <w:tcPr>
            <w:tcW w:w="12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城乡社区规划与管理</w:t>
            </w:r>
          </w:p>
        </w:tc>
        <w:tc>
          <w:tcPr>
            <w:tcW w:w="5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14.00</w:t>
            </w:r>
          </w:p>
        </w:tc>
        <w:tc>
          <w:tcPr>
            <w:tcW w:w="5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14.00</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4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7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2120201</w:t>
            </w:r>
          </w:p>
        </w:tc>
        <w:tc>
          <w:tcPr>
            <w:tcW w:w="12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城乡社区规划与管理</w:t>
            </w:r>
          </w:p>
        </w:tc>
        <w:tc>
          <w:tcPr>
            <w:tcW w:w="5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14.00</w:t>
            </w:r>
          </w:p>
        </w:tc>
        <w:tc>
          <w:tcPr>
            <w:tcW w:w="5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14.00</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4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7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21205</w:t>
            </w:r>
          </w:p>
        </w:tc>
        <w:tc>
          <w:tcPr>
            <w:tcW w:w="12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城乡社区环境卫生</w:t>
            </w:r>
          </w:p>
        </w:tc>
        <w:tc>
          <w:tcPr>
            <w:tcW w:w="5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2,441.17</w:t>
            </w:r>
          </w:p>
        </w:tc>
        <w:tc>
          <w:tcPr>
            <w:tcW w:w="5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2,441.17</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4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7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2120501</w:t>
            </w:r>
          </w:p>
        </w:tc>
        <w:tc>
          <w:tcPr>
            <w:tcW w:w="12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城乡社区环境卫生</w:t>
            </w:r>
          </w:p>
        </w:tc>
        <w:tc>
          <w:tcPr>
            <w:tcW w:w="5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2,441.17</w:t>
            </w:r>
          </w:p>
        </w:tc>
        <w:tc>
          <w:tcPr>
            <w:tcW w:w="5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2,441.17</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4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7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21208</w:t>
            </w:r>
          </w:p>
        </w:tc>
        <w:tc>
          <w:tcPr>
            <w:tcW w:w="12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国有土地使用权出让收入安排的支出</w:t>
            </w:r>
          </w:p>
        </w:tc>
        <w:tc>
          <w:tcPr>
            <w:tcW w:w="5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1,017.63</w:t>
            </w:r>
          </w:p>
        </w:tc>
        <w:tc>
          <w:tcPr>
            <w:tcW w:w="5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1,017.63</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4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7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2120803</w:t>
            </w:r>
          </w:p>
        </w:tc>
        <w:tc>
          <w:tcPr>
            <w:tcW w:w="12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城市建设支出</w:t>
            </w:r>
          </w:p>
        </w:tc>
        <w:tc>
          <w:tcPr>
            <w:tcW w:w="5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1,017.63</w:t>
            </w:r>
          </w:p>
        </w:tc>
        <w:tc>
          <w:tcPr>
            <w:tcW w:w="5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1,017.63</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4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7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21213</w:t>
            </w:r>
          </w:p>
        </w:tc>
        <w:tc>
          <w:tcPr>
            <w:tcW w:w="12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城市基础设施配套费安排的支出</w:t>
            </w:r>
          </w:p>
        </w:tc>
        <w:tc>
          <w:tcPr>
            <w:tcW w:w="5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62.00</w:t>
            </w:r>
          </w:p>
        </w:tc>
        <w:tc>
          <w:tcPr>
            <w:tcW w:w="5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62.00</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4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7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2121399</w:t>
            </w:r>
          </w:p>
        </w:tc>
        <w:tc>
          <w:tcPr>
            <w:tcW w:w="12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其他城市基础设施配套费安排的支出</w:t>
            </w:r>
          </w:p>
        </w:tc>
        <w:tc>
          <w:tcPr>
            <w:tcW w:w="5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62.00</w:t>
            </w:r>
          </w:p>
        </w:tc>
        <w:tc>
          <w:tcPr>
            <w:tcW w:w="5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62.00</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4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7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21299</w:t>
            </w:r>
          </w:p>
        </w:tc>
        <w:tc>
          <w:tcPr>
            <w:tcW w:w="12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其他城乡社区支出</w:t>
            </w:r>
          </w:p>
        </w:tc>
        <w:tc>
          <w:tcPr>
            <w:tcW w:w="5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1,213.50</w:t>
            </w:r>
          </w:p>
        </w:tc>
        <w:tc>
          <w:tcPr>
            <w:tcW w:w="5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278.05</w:t>
            </w:r>
          </w:p>
        </w:tc>
        <w:tc>
          <w:tcPr>
            <w:tcW w:w="5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935.45</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4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7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2129999</w:t>
            </w:r>
          </w:p>
        </w:tc>
        <w:tc>
          <w:tcPr>
            <w:tcW w:w="12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其他城乡社区支出</w:t>
            </w:r>
          </w:p>
        </w:tc>
        <w:tc>
          <w:tcPr>
            <w:tcW w:w="5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1,213.50</w:t>
            </w:r>
          </w:p>
        </w:tc>
        <w:tc>
          <w:tcPr>
            <w:tcW w:w="5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278.05</w:t>
            </w:r>
          </w:p>
        </w:tc>
        <w:tc>
          <w:tcPr>
            <w:tcW w:w="5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935.45</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4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7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221</w:t>
            </w:r>
          </w:p>
        </w:tc>
        <w:tc>
          <w:tcPr>
            <w:tcW w:w="12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住房保障支出</w:t>
            </w:r>
          </w:p>
        </w:tc>
        <w:tc>
          <w:tcPr>
            <w:tcW w:w="5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38.67</w:t>
            </w:r>
          </w:p>
        </w:tc>
        <w:tc>
          <w:tcPr>
            <w:tcW w:w="5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38.67</w:t>
            </w:r>
          </w:p>
        </w:tc>
        <w:tc>
          <w:tcPr>
            <w:tcW w:w="5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4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7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22102</w:t>
            </w:r>
          </w:p>
        </w:tc>
        <w:tc>
          <w:tcPr>
            <w:tcW w:w="12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住房改革支出</w:t>
            </w:r>
          </w:p>
        </w:tc>
        <w:tc>
          <w:tcPr>
            <w:tcW w:w="5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38.67</w:t>
            </w:r>
          </w:p>
        </w:tc>
        <w:tc>
          <w:tcPr>
            <w:tcW w:w="5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38.67</w:t>
            </w:r>
          </w:p>
        </w:tc>
        <w:tc>
          <w:tcPr>
            <w:tcW w:w="5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4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7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2210201</w:t>
            </w:r>
          </w:p>
        </w:tc>
        <w:tc>
          <w:tcPr>
            <w:tcW w:w="12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住房公积金</w:t>
            </w:r>
          </w:p>
        </w:tc>
        <w:tc>
          <w:tcPr>
            <w:tcW w:w="5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38.67</w:t>
            </w:r>
          </w:p>
        </w:tc>
        <w:tc>
          <w:tcPr>
            <w:tcW w:w="5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38.67</w:t>
            </w:r>
          </w:p>
        </w:tc>
        <w:tc>
          <w:tcPr>
            <w:tcW w:w="5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4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7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234</w:t>
            </w:r>
          </w:p>
        </w:tc>
        <w:tc>
          <w:tcPr>
            <w:tcW w:w="12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抗疫特别国债安排的支出</w:t>
            </w:r>
          </w:p>
        </w:tc>
        <w:tc>
          <w:tcPr>
            <w:tcW w:w="5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170.00</w:t>
            </w:r>
          </w:p>
        </w:tc>
        <w:tc>
          <w:tcPr>
            <w:tcW w:w="5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170.00</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4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7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23401</w:t>
            </w:r>
          </w:p>
        </w:tc>
        <w:tc>
          <w:tcPr>
            <w:tcW w:w="12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基础设施建设</w:t>
            </w:r>
          </w:p>
        </w:tc>
        <w:tc>
          <w:tcPr>
            <w:tcW w:w="5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170.00</w:t>
            </w:r>
          </w:p>
        </w:tc>
        <w:tc>
          <w:tcPr>
            <w:tcW w:w="5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170.00</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4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7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2340101</w:t>
            </w:r>
          </w:p>
        </w:tc>
        <w:tc>
          <w:tcPr>
            <w:tcW w:w="12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公共卫生体系建设</w:t>
            </w:r>
          </w:p>
        </w:tc>
        <w:tc>
          <w:tcPr>
            <w:tcW w:w="5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170.00</w:t>
            </w:r>
          </w:p>
        </w:tc>
        <w:tc>
          <w:tcPr>
            <w:tcW w:w="5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170.00</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4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57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5000" w:type="pct"/>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注：本表反映部门（单位）本年度各项支出情况。</w:t>
            </w:r>
          </w:p>
        </w:tc>
      </w:tr>
    </w:tbl>
    <w:p>
      <w:pPr>
        <w:spacing w:line="186" w:lineRule="auto"/>
        <w:rPr>
          <w:rFonts w:ascii="宋体" w:hAnsi="宋体" w:eastAsia="宋体" w:cs="宋体"/>
          <w:sz w:val="28"/>
          <w:szCs w:val="28"/>
        </w:rPr>
        <w:sectPr>
          <w:pgSz w:w="11870" w:h="16830"/>
          <w:pgMar w:top="1430" w:right="1471" w:bottom="400" w:left="1615" w:header="0" w:footer="0" w:gutter="0"/>
          <w:cols w:space="720" w:num="1"/>
        </w:sectPr>
      </w:pPr>
    </w:p>
    <w:p>
      <w:pPr>
        <w:spacing w:before="1"/>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36"/>
        <w:gridCol w:w="346"/>
        <w:gridCol w:w="800"/>
        <w:gridCol w:w="2166"/>
        <w:gridCol w:w="346"/>
        <w:gridCol w:w="736"/>
        <w:gridCol w:w="790"/>
        <w:gridCol w:w="796"/>
        <w:gridCol w:w="9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99" w:type="pct"/>
            <w:tcBorders>
              <w:top w:val="nil"/>
              <w:left w:val="nil"/>
              <w:bottom w:val="nil"/>
              <w:right w:val="nil"/>
            </w:tcBorders>
            <w:shd w:val="clear" w:color="auto" w:fill="auto"/>
            <w:noWrap/>
            <w:vAlign w:val="bottom"/>
          </w:tcPr>
          <w:p>
            <w:pPr>
              <w:rPr>
                <w:rFonts w:hint="eastAsia" w:ascii="Arial" w:hAnsi="Arial" w:cs="Arial"/>
                <w:i w:val="0"/>
                <w:iCs w:val="0"/>
                <w:color w:val="000000"/>
                <w:sz w:val="10"/>
                <w:szCs w:val="10"/>
                <w:u w:val="none"/>
              </w:rPr>
            </w:pPr>
          </w:p>
        </w:tc>
        <w:tc>
          <w:tcPr>
            <w:tcW w:w="160" w:type="pct"/>
            <w:tcBorders>
              <w:top w:val="nil"/>
              <w:left w:val="nil"/>
              <w:bottom w:val="nil"/>
              <w:right w:val="nil"/>
            </w:tcBorders>
            <w:shd w:val="clear" w:color="auto" w:fill="auto"/>
            <w:noWrap/>
            <w:vAlign w:val="bottom"/>
          </w:tcPr>
          <w:p>
            <w:pPr>
              <w:rPr>
                <w:rFonts w:hint="default" w:ascii="Arial" w:hAnsi="Arial" w:cs="Arial"/>
                <w:i w:val="0"/>
                <w:iCs w:val="0"/>
                <w:color w:val="000000"/>
                <w:sz w:val="10"/>
                <w:szCs w:val="10"/>
                <w:u w:val="none"/>
              </w:rPr>
            </w:pPr>
          </w:p>
        </w:tc>
        <w:tc>
          <w:tcPr>
            <w:tcW w:w="490" w:type="pct"/>
            <w:tcBorders>
              <w:top w:val="nil"/>
              <w:left w:val="nil"/>
              <w:bottom w:val="nil"/>
              <w:right w:val="nil"/>
            </w:tcBorders>
            <w:shd w:val="clear" w:color="auto" w:fill="auto"/>
            <w:noWrap/>
            <w:vAlign w:val="bottom"/>
          </w:tcPr>
          <w:p>
            <w:pPr>
              <w:rPr>
                <w:rFonts w:hint="default" w:ascii="Arial" w:hAnsi="Arial" w:cs="Arial"/>
                <w:i w:val="0"/>
                <w:iCs w:val="0"/>
                <w:color w:val="000000"/>
                <w:sz w:val="10"/>
                <w:szCs w:val="10"/>
                <w:u w:val="none"/>
              </w:rPr>
            </w:pPr>
          </w:p>
        </w:tc>
        <w:tc>
          <w:tcPr>
            <w:tcW w:w="1173" w:type="pct"/>
            <w:tcBorders>
              <w:top w:val="nil"/>
              <w:left w:val="nil"/>
              <w:bottom w:val="nil"/>
              <w:right w:val="nil"/>
            </w:tcBorders>
            <w:shd w:val="clear" w:color="auto" w:fill="auto"/>
            <w:noWrap/>
            <w:vAlign w:val="bottom"/>
          </w:tcPr>
          <w:p>
            <w:pPr>
              <w:rPr>
                <w:rFonts w:hint="default" w:ascii="Arial" w:hAnsi="Arial" w:cs="Arial"/>
                <w:i w:val="0"/>
                <w:iCs w:val="0"/>
                <w:color w:val="000000"/>
                <w:sz w:val="10"/>
                <w:szCs w:val="10"/>
                <w:u w:val="none"/>
              </w:rPr>
            </w:pPr>
          </w:p>
        </w:tc>
        <w:tc>
          <w:tcPr>
            <w:tcW w:w="160" w:type="pct"/>
            <w:tcBorders>
              <w:top w:val="nil"/>
              <w:left w:val="nil"/>
              <w:bottom w:val="nil"/>
              <w:right w:val="nil"/>
            </w:tcBorders>
            <w:shd w:val="clear" w:color="auto" w:fill="auto"/>
            <w:noWrap/>
            <w:vAlign w:val="bottom"/>
          </w:tcPr>
          <w:p>
            <w:pPr>
              <w:rPr>
                <w:rFonts w:hint="default" w:ascii="Arial" w:hAnsi="Arial" w:cs="Arial"/>
                <w:i w:val="0"/>
                <w:iCs w:val="0"/>
                <w:color w:val="000000"/>
                <w:sz w:val="10"/>
                <w:szCs w:val="10"/>
                <w:u w:val="none"/>
              </w:rPr>
            </w:pPr>
          </w:p>
        </w:tc>
        <w:tc>
          <w:tcPr>
            <w:tcW w:w="365" w:type="pct"/>
            <w:tcBorders>
              <w:top w:val="nil"/>
              <w:left w:val="nil"/>
              <w:bottom w:val="nil"/>
              <w:right w:val="nil"/>
            </w:tcBorders>
            <w:shd w:val="clear" w:color="auto" w:fill="auto"/>
            <w:noWrap/>
            <w:vAlign w:val="bottom"/>
          </w:tcPr>
          <w:p>
            <w:pPr>
              <w:rPr>
                <w:rFonts w:hint="default" w:ascii="Arial" w:hAnsi="Arial" w:cs="Arial"/>
                <w:i w:val="0"/>
                <w:iCs w:val="0"/>
                <w:color w:val="000000"/>
                <w:sz w:val="10"/>
                <w:szCs w:val="10"/>
                <w:u w:val="none"/>
              </w:rPr>
            </w:pPr>
          </w:p>
        </w:tc>
        <w:tc>
          <w:tcPr>
            <w:tcW w:w="485" w:type="pct"/>
            <w:tcBorders>
              <w:top w:val="nil"/>
              <w:left w:val="nil"/>
              <w:bottom w:val="nil"/>
              <w:right w:val="nil"/>
            </w:tcBorders>
            <w:shd w:val="clear" w:color="auto" w:fill="auto"/>
            <w:noWrap/>
            <w:vAlign w:val="bottom"/>
          </w:tcPr>
          <w:p>
            <w:pPr>
              <w:rPr>
                <w:rFonts w:hint="default" w:ascii="Arial" w:hAnsi="Arial" w:cs="Arial"/>
                <w:i w:val="0"/>
                <w:iCs w:val="0"/>
                <w:color w:val="000000"/>
                <w:sz w:val="10"/>
                <w:szCs w:val="10"/>
                <w:u w:val="none"/>
              </w:rPr>
            </w:pPr>
          </w:p>
        </w:tc>
        <w:tc>
          <w:tcPr>
            <w:tcW w:w="488" w:type="pct"/>
            <w:tcBorders>
              <w:top w:val="nil"/>
              <w:left w:val="nil"/>
              <w:bottom w:val="nil"/>
              <w:right w:val="nil"/>
            </w:tcBorders>
            <w:shd w:val="clear" w:color="auto" w:fill="auto"/>
            <w:noWrap/>
            <w:vAlign w:val="bottom"/>
          </w:tcPr>
          <w:p>
            <w:pPr>
              <w:rPr>
                <w:rFonts w:hint="default" w:ascii="Arial" w:hAnsi="Arial" w:cs="Arial"/>
                <w:i w:val="0"/>
                <w:iCs w:val="0"/>
                <w:color w:val="000000"/>
                <w:sz w:val="10"/>
                <w:szCs w:val="10"/>
                <w:u w:val="none"/>
              </w:rPr>
            </w:pPr>
          </w:p>
        </w:tc>
        <w:tc>
          <w:tcPr>
            <w:tcW w:w="576"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99"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编制单位：浮梁县城市管理局</w:t>
            </w:r>
          </w:p>
        </w:tc>
        <w:tc>
          <w:tcPr>
            <w:tcW w:w="160" w:type="pct"/>
            <w:tcBorders>
              <w:top w:val="nil"/>
              <w:left w:val="nil"/>
              <w:bottom w:val="nil"/>
              <w:right w:val="nil"/>
            </w:tcBorders>
            <w:shd w:val="clear" w:color="auto" w:fill="auto"/>
            <w:noWrap/>
            <w:vAlign w:val="bottom"/>
          </w:tcPr>
          <w:p>
            <w:pPr>
              <w:rPr>
                <w:rFonts w:hint="default" w:ascii="Arial" w:hAnsi="Arial" w:cs="Arial"/>
                <w:i w:val="0"/>
                <w:iCs w:val="0"/>
                <w:color w:val="000000"/>
                <w:sz w:val="10"/>
                <w:szCs w:val="10"/>
                <w:u w:val="none"/>
              </w:rPr>
            </w:pPr>
          </w:p>
        </w:tc>
        <w:tc>
          <w:tcPr>
            <w:tcW w:w="490" w:type="pct"/>
            <w:tcBorders>
              <w:top w:val="nil"/>
              <w:left w:val="nil"/>
              <w:bottom w:val="nil"/>
              <w:right w:val="nil"/>
            </w:tcBorders>
            <w:shd w:val="clear" w:color="auto" w:fill="auto"/>
            <w:noWrap/>
            <w:vAlign w:val="bottom"/>
          </w:tcPr>
          <w:p>
            <w:pPr>
              <w:rPr>
                <w:rFonts w:hint="default" w:ascii="Arial" w:hAnsi="Arial" w:cs="Arial"/>
                <w:i w:val="0"/>
                <w:iCs w:val="0"/>
                <w:color w:val="000000"/>
                <w:sz w:val="10"/>
                <w:szCs w:val="10"/>
                <w:u w:val="none"/>
              </w:rPr>
            </w:pPr>
          </w:p>
        </w:tc>
        <w:tc>
          <w:tcPr>
            <w:tcW w:w="1173" w:type="pct"/>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2022年度</w:t>
            </w:r>
          </w:p>
        </w:tc>
        <w:tc>
          <w:tcPr>
            <w:tcW w:w="160" w:type="pct"/>
            <w:tcBorders>
              <w:top w:val="nil"/>
              <w:left w:val="nil"/>
              <w:bottom w:val="nil"/>
              <w:right w:val="nil"/>
            </w:tcBorders>
            <w:shd w:val="clear" w:color="auto" w:fill="auto"/>
            <w:noWrap/>
            <w:vAlign w:val="bottom"/>
          </w:tcPr>
          <w:p>
            <w:pPr>
              <w:rPr>
                <w:rFonts w:hint="default" w:ascii="Arial" w:hAnsi="Arial" w:cs="Arial"/>
                <w:i w:val="0"/>
                <w:iCs w:val="0"/>
                <w:color w:val="000000"/>
                <w:sz w:val="10"/>
                <w:szCs w:val="10"/>
                <w:u w:val="none"/>
              </w:rPr>
            </w:pPr>
          </w:p>
        </w:tc>
        <w:tc>
          <w:tcPr>
            <w:tcW w:w="365" w:type="pct"/>
            <w:tcBorders>
              <w:top w:val="nil"/>
              <w:left w:val="nil"/>
              <w:bottom w:val="nil"/>
              <w:right w:val="nil"/>
            </w:tcBorders>
            <w:shd w:val="clear" w:color="auto" w:fill="auto"/>
            <w:noWrap/>
            <w:vAlign w:val="bottom"/>
          </w:tcPr>
          <w:p>
            <w:pPr>
              <w:rPr>
                <w:rFonts w:hint="default" w:ascii="Arial" w:hAnsi="Arial" w:cs="Arial"/>
                <w:i w:val="0"/>
                <w:iCs w:val="0"/>
                <w:color w:val="000000"/>
                <w:sz w:val="10"/>
                <w:szCs w:val="10"/>
                <w:u w:val="none"/>
              </w:rPr>
            </w:pPr>
          </w:p>
        </w:tc>
        <w:tc>
          <w:tcPr>
            <w:tcW w:w="485" w:type="pct"/>
            <w:tcBorders>
              <w:top w:val="nil"/>
              <w:left w:val="nil"/>
              <w:bottom w:val="nil"/>
              <w:right w:val="nil"/>
            </w:tcBorders>
            <w:shd w:val="clear" w:color="auto" w:fill="auto"/>
            <w:noWrap/>
            <w:vAlign w:val="bottom"/>
          </w:tcPr>
          <w:p>
            <w:pPr>
              <w:rPr>
                <w:rFonts w:hint="default" w:ascii="Arial" w:hAnsi="Arial" w:cs="Arial"/>
                <w:i w:val="0"/>
                <w:iCs w:val="0"/>
                <w:color w:val="000000"/>
                <w:sz w:val="10"/>
                <w:szCs w:val="10"/>
                <w:u w:val="none"/>
              </w:rPr>
            </w:pPr>
          </w:p>
        </w:tc>
        <w:tc>
          <w:tcPr>
            <w:tcW w:w="488" w:type="pct"/>
            <w:tcBorders>
              <w:top w:val="nil"/>
              <w:left w:val="nil"/>
              <w:bottom w:val="nil"/>
              <w:right w:val="nil"/>
            </w:tcBorders>
            <w:shd w:val="clear" w:color="auto" w:fill="auto"/>
            <w:noWrap/>
            <w:vAlign w:val="bottom"/>
          </w:tcPr>
          <w:p>
            <w:pPr>
              <w:rPr>
                <w:rFonts w:hint="default" w:ascii="Arial" w:hAnsi="Arial" w:cs="Arial"/>
                <w:i w:val="0"/>
                <w:iCs w:val="0"/>
                <w:color w:val="000000"/>
                <w:sz w:val="10"/>
                <w:szCs w:val="10"/>
                <w:u w:val="none"/>
              </w:rPr>
            </w:pPr>
          </w:p>
        </w:tc>
        <w:tc>
          <w:tcPr>
            <w:tcW w:w="576"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50" w:type="pct"/>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收     入</w:t>
            </w:r>
          </w:p>
        </w:tc>
        <w:tc>
          <w:tcPr>
            <w:tcW w:w="3249" w:type="pct"/>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vMerge w:val="restar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项    目</w:t>
            </w:r>
          </w:p>
        </w:tc>
        <w:tc>
          <w:tcPr>
            <w:tcW w:w="160"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行次</w:t>
            </w:r>
          </w:p>
        </w:tc>
        <w:tc>
          <w:tcPr>
            <w:tcW w:w="490"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金额</w:t>
            </w:r>
          </w:p>
        </w:tc>
        <w:tc>
          <w:tcPr>
            <w:tcW w:w="1173"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项目（按功能分类）</w:t>
            </w:r>
          </w:p>
        </w:tc>
        <w:tc>
          <w:tcPr>
            <w:tcW w:w="160"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行次</w:t>
            </w:r>
          </w:p>
        </w:tc>
        <w:tc>
          <w:tcPr>
            <w:tcW w:w="365"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合计</w:t>
            </w:r>
          </w:p>
        </w:tc>
        <w:tc>
          <w:tcPr>
            <w:tcW w:w="485"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一般公共预算财政拨款</w:t>
            </w:r>
          </w:p>
        </w:tc>
        <w:tc>
          <w:tcPr>
            <w:tcW w:w="488"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政府性基金预算财政拨款</w:t>
            </w:r>
          </w:p>
        </w:tc>
        <w:tc>
          <w:tcPr>
            <w:tcW w:w="576"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1099" w:type="pct"/>
            <w:vMerge w:val="continue"/>
            <w:tcBorders>
              <w:top w:val="nil"/>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3"/>
                <w:szCs w:val="13"/>
                <w:u w:val="none"/>
              </w:rPr>
            </w:pPr>
          </w:p>
        </w:tc>
        <w:tc>
          <w:tcPr>
            <w:tcW w:w="160"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3"/>
                <w:szCs w:val="13"/>
                <w:u w:val="none"/>
              </w:rPr>
            </w:pPr>
          </w:p>
        </w:tc>
        <w:tc>
          <w:tcPr>
            <w:tcW w:w="490"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3"/>
                <w:szCs w:val="13"/>
                <w:u w:val="none"/>
              </w:rPr>
            </w:pPr>
          </w:p>
        </w:tc>
        <w:tc>
          <w:tcPr>
            <w:tcW w:w="1173"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3"/>
                <w:szCs w:val="13"/>
                <w:u w:val="none"/>
              </w:rPr>
            </w:pPr>
          </w:p>
        </w:tc>
        <w:tc>
          <w:tcPr>
            <w:tcW w:w="160"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3"/>
                <w:szCs w:val="13"/>
                <w:u w:val="none"/>
              </w:rPr>
            </w:pPr>
          </w:p>
        </w:tc>
        <w:tc>
          <w:tcPr>
            <w:tcW w:w="365"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3"/>
                <w:szCs w:val="13"/>
                <w:u w:val="none"/>
              </w:rPr>
            </w:pPr>
          </w:p>
        </w:tc>
        <w:tc>
          <w:tcPr>
            <w:tcW w:w="485"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3"/>
                <w:szCs w:val="13"/>
                <w:u w:val="none"/>
              </w:rPr>
            </w:pPr>
          </w:p>
        </w:tc>
        <w:tc>
          <w:tcPr>
            <w:tcW w:w="488"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3"/>
                <w:szCs w:val="13"/>
                <w:u w:val="none"/>
              </w:rPr>
            </w:pPr>
          </w:p>
        </w:tc>
        <w:tc>
          <w:tcPr>
            <w:tcW w:w="576"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栏    次</w:t>
            </w:r>
          </w:p>
        </w:tc>
        <w:tc>
          <w:tcPr>
            <w:tcW w:w="160" w:type="pct"/>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3"/>
                <w:szCs w:val="13"/>
                <w:u w:val="none"/>
              </w:rPr>
            </w:pPr>
          </w:p>
        </w:tc>
        <w:tc>
          <w:tcPr>
            <w:tcW w:w="49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w:t>
            </w:r>
          </w:p>
        </w:tc>
        <w:tc>
          <w:tcPr>
            <w:tcW w:w="1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栏    次</w:t>
            </w:r>
          </w:p>
        </w:tc>
        <w:tc>
          <w:tcPr>
            <w:tcW w:w="160" w:type="pct"/>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3"/>
                <w:szCs w:val="13"/>
                <w:u w:val="none"/>
              </w:rPr>
            </w:pPr>
          </w:p>
        </w:tc>
        <w:tc>
          <w:tcPr>
            <w:tcW w:w="36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w:t>
            </w:r>
          </w:p>
        </w:tc>
        <w:tc>
          <w:tcPr>
            <w:tcW w:w="48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3</w:t>
            </w:r>
          </w:p>
        </w:tc>
        <w:tc>
          <w:tcPr>
            <w:tcW w:w="4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4</w:t>
            </w:r>
          </w:p>
        </w:tc>
        <w:tc>
          <w:tcPr>
            <w:tcW w:w="57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一、一般公共预算财政拨款</w:t>
            </w: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w:t>
            </w:r>
          </w:p>
        </w:tc>
        <w:tc>
          <w:tcPr>
            <w:tcW w:w="4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8,552.28</w:t>
            </w:r>
          </w:p>
        </w:tc>
        <w:tc>
          <w:tcPr>
            <w:tcW w:w="1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一、一般公共服务支出</w:t>
            </w: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33</w:t>
            </w:r>
          </w:p>
        </w:tc>
        <w:tc>
          <w:tcPr>
            <w:tcW w:w="3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4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5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二、政府性基金预算财政拨款</w:t>
            </w: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w:t>
            </w:r>
          </w:p>
        </w:tc>
        <w:tc>
          <w:tcPr>
            <w:tcW w:w="4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1,249.63</w:t>
            </w:r>
          </w:p>
        </w:tc>
        <w:tc>
          <w:tcPr>
            <w:tcW w:w="1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二、外交支出</w:t>
            </w: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34</w:t>
            </w:r>
          </w:p>
        </w:tc>
        <w:tc>
          <w:tcPr>
            <w:tcW w:w="3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4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5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三、国有资本经营预算财政拨款</w:t>
            </w: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3</w:t>
            </w:r>
          </w:p>
        </w:tc>
        <w:tc>
          <w:tcPr>
            <w:tcW w:w="4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1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三、国防支出</w:t>
            </w: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35</w:t>
            </w:r>
          </w:p>
        </w:tc>
        <w:tc>
          <w:tcPr>
            <w:tcW w:w="3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4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5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3"/>
                <w:szCs w:val="13"/>
                <w:u w:val="none"/>
              </w:rPr>
            </w:pP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4</w:t>
            </w:r>
          </w:p>
        </w:tc>
        <w:tc>
          <w:tcPr>
            <w:tcW w:w="490"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c>
          <w:tcPr>
            <w:tcW w:w="1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四、公共安全支出</w:t>
            </w: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36</w:t>
            </w:r>
          </w:p>
        </w:tc>
        <w:tc>
          <w:tcPr>
            <w:tcW w:w="3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4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5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3"/>
                <w:szCs w:val="13"/>
                <w:u w:val="none"/>
              </w:rPr>
            </w:pP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5</w:t>
            </w:r>
          </w:p>
        </w:tc>
        <w:tc>
          <w:tcPr>
            <w:tcW w:w="490"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c>
          <w:tcPr>
            <w:tcW w:w="1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五、教育支出</w:t>
            </w: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37</w:t>
            </w:r>
          </w:p>
        </w:tc>
        <w:tc>
          <w:tcPr>
            <w:tcW w:w="3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4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5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3"/>
                <w:szCs w:val="13"/>
                <w:u w:val="none"/>
              </w:rPr>
            </w:pP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6</w:t>
            </w:r>
          </w:p>
        </w:tc>
        <w:tc>
          <w:tcPr>
            <w:tcW w:w="490"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c>
          <w:tcPr>
            <w:tcW w:w="1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六、科学技术支出</w:t>
            </w: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38</w:t>
            </w:r>
          </w:p>
        </w:tc>
        <w:tc>
          <w:tcPr>
            <w:tcW w:w="3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4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5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3"/>
                <w:szCs w:val="13"/>
                <w:u w:val="none"/>
              </w:rPr>
            </w:pP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7</w:t>
            </w:r>
          </w:p>
        </w:tc>
        <w:tc>
          <w:tcPr>
            <w:tcW w:w="490"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c>
          <w:tcPr>
            <w:tcW w:w="1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七、文化旅游体育与传媒支出</w:t>
            </w: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39</w:t>
            </w:r>
          </w:p>
        </w:tc>
        <w:tc>
          <w:tcPr>
            <w:tcW w:w="3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4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5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3"/>
                <w:szCs w:val="13"/>
                <w:u w:val="none"/>
              </w:rPr>
            </w:pP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8</w:t>
            </w:r>
          </w:p>
        </w:tc>
        <w:tc>
          <w:tcPr>
            <w:tcW w:w="490"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c>
          <w:tcPr>
            <w:tcW w:w="1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八、社会保障和就业支出</w:t>
            </w: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40</w:t>
            </w:r>
          </w:p>
        </w:tc>
        <w:tc>
          <w:tcPr>
            <w:tcW w:w="3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79.01</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79.01</w:t>
            </w:r>
          </w:p>
        </w:tc>
        <w:tc>
          <w:tcPr>
            <w:tcW w:w="4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5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3"/>
                <w:szCs w:val="13"/>
                <w:u w:val="none"/>
              </w:rPr>
            </w:pP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9</w:t>
            </w:r>
          </w:p>
        </w:tc>
        <w:tc>
          <w:tcPr>
            <w:tcW w:w="490"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c>
          <w:tcPr>
            <w:tcW w:w="1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九、卫生健康支出</w:t>
            </w: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41</w:t>
            </w:r>
          </w:p>
        </w:tc>
        <w:tc>
          <w:tcPr>
            <w:tcW w:w="3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17.65</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17.65</w:t>
            </w:r>
          </w:p>
        </w:tc>
        <w:tc>
          <w:tcPr>
            <w:tcW w:w="4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5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3"/>
                <w:szCs w:val="13"/>
                <w:u w:val="none"/>
              </w:rPr>
            </w:pP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10</w:t>
            </w:r>
          </w:p>
        </w:tc>
        <w:tc>
          <w:tcPr>
            <w:tcW w:w="490"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c>
          <w:tcPr>
            <w:tcW w:w="1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十、节能环保支出</w:t>
            </w: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42</w:t>
            </w:r>
          </w:p>
        </w:tc>
        <w:tc>
          <w:tcPr>
            <w:tcW w:w="3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3,092.62</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3,092.62</w:t>
            </w:r>
          </w:p>
        </w:tc>
        <w:tc>
          <w:tcPr>
            <w:tcW w:w="4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5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3"/>
                <w:szCs w:val="13"/>
                <w:u w:val="none"/>
              </w:rPr>
            </w:pP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11</w:t>
            </w:r>
          </w:p>
        </w:tc>
        <w:tc>
          <w:tcPr>
            <w:tcW w:w="490"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c>
          <w:tcPr>
            <w:tcW w:w="1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十一、城乡社区支出</w:t>
            </w: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43</w:t>
            </w:r>
          </w:p>
        </w:tc>
        <w:tc>
          <w:tcPr>
            <w:tcW w:w="3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6,403.96</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5,324.33</w:t>
            </w:r>
          </w:p>
        </w:tc>
        <w:tc>
          <w:tcPr>
            <w:tcW w:w="4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1,079.63</w:t>
            </w:r>
          </w:p>
        </w:tc>
        <w:tc>
          <w:tcPr>
            <w:tcW w:w="5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3"/>
                <w:szCs w:val="13"/>
                <w:u w:val="none"/>
              </w:rPr>
            </w:pP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12</w:t>
            </w:r>
          </w:p>
        </w:tc>
        <w:tc>
          <w:tcPr>
            <w:tcW w:w="490"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c>
          <w:tcPr>
            <w:tcW w:w="1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十二、农林水支出</w:t>
            </w: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44</w:t>
            </w:r>
          </w:p>
        </w:tc>
        <w:tc>
          <w:tcPr>
            <w:tcW w:w="3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4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5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3"/>
                <w:szCs w:val="13"/>
                <w:u w:val="none"/>
              </w:rPr>
            </w:pP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13</w:t>
            </w:r>
          </w:p>
        </w:tc>
        <w:tc>
          <w:tcPr>
            <w:tcW w:w="490"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c>
          <w:tcPr>
            <w:tcW w:w="1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十三、交通运输支出</w:t>
            </w: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45</w:t>
            </w:r>
          </w:p>
        </w:tc>
        <w:tc>
          <w:tcPr>
            <w:tcW w:w="3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4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5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3"/>
                <w:szCs w:val="13"/>
                <w:u w:val="none"/>
              </w:rPr>
            </w:pP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14</w:t>
            </w:r>
          </w:p>
        </w:tc>
        <w:tc>
          <w:tcPr>
            <w:tcW w:w="490"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c>
          <w:tcPr>
            <w:tcW w:w="1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十四、资源勘探工业信息等支出</w:t>
            </w: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46</w:t>
            </w:r>
          </w:p>
        </w:tc>
        <w:tc>
          <w:tcPr>
            <w:tcW w:w="3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4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5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3"/>
                <w:szCs w:val="13"/>
                <w:u w:val="none"/>
              </w:rPr>
            </w:pP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15</w:t>
            </w:r>
          </w:p>
        </w:tc>
        <w:tc>
          <w:tcPr>
            <w:tcW w:w="490"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c>
          <w:tcPr>
            <w:tcW w:w="1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十五、商业服务业等支出</w:t>
            </w: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47</w:t>
            </w:r>
          </w:p>
        </w:tc>
        <w:tc>
          <w:tcPr>
            <w:tcW w:w="3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4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5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3"/>
                <w:szCs w:val="13"/>
                <w:u w:val="none"/>
              </w:rPr>
            </w:pP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16</w:t>
            </w:r>
          </w:p>
        </w:tc>
        <w:tc>
          <w:tcPr>
            <w:tcW w:w="490"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c>
          <w:tcPr>
            <w:tcW w:w="1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十六、金融支出</w:t>
            </w: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48</w:t>
            </w:r>
          </w:p>
        </w:tc>
        <w:tc>
          <w:tcPr>
            <w:tcW w:w="3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4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5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3"/>
                <w:szCs w:val="13"/>
                <w:u w:val="none"/>
              </w:rPr>
            </w:pP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17</w:t>
            </w:r>
          </w:p>
        </w:tc>
        <w:tc>
          <w:tcPr>
            <w:tcW w:w="490"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c>
          <w:tcPr>
            <w:tcW w:w="1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十七、援助其他地区支出</w:t>
            </w: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49</w:t>
            </w:r>
          </w:p>
        </w:tc>
        <w:tc>
          <w:tcPr>
            <w:tcW w:w="3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4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5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3"/>
                <w:szCs w:val="13"/>
                <w:u w:val="none"/>
              </w:rPr>
            </w:pP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18</w:t>
            </w:r>
          </w:p>
        </w:tc>
        <w:tc>
          <w:tcPr>
            <w:tcW w:w="490"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c>
          <w:tcPr>
            <w:tcW w:w="1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十八、自然资源海洋气象等支出</w:t>
            </w: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50</w:t>
            </w:r>
          </w:p>
        </w:tc>
        <w:tc>
          <w:tcPr>
            <w:tcW w:w="3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4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5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3"/>
                <w:szCs w:val="13"/>
                <w:u w:val="none"/>
              </w:rPr>
            </w:pP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19</w:t>
            </w:r>
          </w:p>
        </w:tc>
        <w:tc>
          <w:tcPr>
            <w:tcW w:w="490"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c>
          <w:tcPr>
            <w:tcW w:w="1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十九、住房保障支出</w:t>
            </w: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51</w:t>
            </w:r>
          </w:p>
        </w:tc>
        <w:tc>
          <w:tcPr>
            <w:tcW w:w="3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38.67</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38.67</w:t>
            </w:r>
          </w:p>
        </w:tc>
        <w:tc>
          <w:tcPr>
            <w:tcW w:w="4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5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3"/>
                <w:szCs w:val="13"/>
                <w:u w:val="none"/>
              </w:rPr>
            </w:pP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20</w:t>
            </w:r>
          </w:p>
        </w:tc>
        <w:tc>
          <w:tcPr>
            <w:tcW w:w="490"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c>
          <w:tcPr>
            <w:tcW w:w="1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二十、粮油物资储备支出</w:t>
            </w: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52</w:t>
            </w:r>
          </w:p>
        </w:tc>
        <w:tc>
          <w:tcPr>
            <w:tcW w:w="3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4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5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3"/>
                <w:szCs w:val="13"/>
                <w:u w:val="none"/>
              </w:rPr>
            </w:pP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21</w:t>
            </w:r>
          </w:p>
        </w:tc>
        <w:tc>
          <w:tcPr>
            <w:tcW w:w="490"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c>
          <w:tcPr>
            <w:tcW w:w="1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二十一、国有资本经营预算支出</w:t>
            </w: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53</w:t>
            </w:r>
          </w:p>
        </w:tc>
        <w:tc>
          <w:tcPr>
            <w:tcW w:w="3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4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5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3"/>
                <w:szCs w:val="13"/>
                <w:u w:val="none"/>
              </w:rPr>
            </w:pP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22</w:t>
            </w:r>
          </w:p>
        </w:tc>
        <w:tc>
          <w:tcPr>
            <w:tcW w:w="490"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c>
          <w:tcPr>
            <w:tcW w:w="1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二十二、灾害防治及应急管理支出</w:t>
            </w: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54</w:t>
            </w:r>
          </w:p>
        </w:tc>
        <w:tc>
          <w:tcPr>
            <w:tcW w:w="3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4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5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3"/>
                <w:szCs w:val="13"/>
                <w:u w:val="none"/>
              </w:rPr>
            </w:pP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23</w:t>
            </w:r>
          </w:p>
        </w:tc>
        <w:tc>
          <w:tcPr>
            <w:tcW w:w="490"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c>
          <w:tcPr>
            <w:tcW w:w="1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二十三、其他支出</w:t>
            </w: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55</w:t>
            </w:r>
          </w:p>
        </w:tc>
        <w:tc>
          <w:tcPr>
            <w:tcW w:w="3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4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5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3"/>
                <w:szCs w:val="13"/>
                <w:u w:val="none"/>
              </w:rPr>
            </w:pP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24</w:t>
            </w:r>
          </w:p>
        </w:tc>
        <w:tc>
          <w:tcPr>
            <w:tcW w:w="490"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c>
          <w:tcPr>
            <w:tcW w:w="1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二十四、债务还本支出</w:t>
            </w: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56</w:t>
            </w:r>
          </w:p>
        </w:tc>
        <w:tc>
          <w:tcPr>
            <w:tcW w:w="3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4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5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b/>
                <w:bCs/>
                <w:i w:val="0"/>
                <w:iCs w:val="0"/>
                <w:color w:val="000000"/>
                <w:sz w:val="13"/>
                <w:szCs w:val="13"/>
                <w:u w:val="none"/>
              </w:rPr>
            </w:pP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25</w:t>
            </w:r>
          </w:p>
        </w:tc>
        <w:tc>
          <w:tcPr>
            <w:tcW w:w="49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c>
          <w:tcPr>
            <w:tcW w:w="1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二十五、债务付息支出</w:t>
            </w: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57</w:t>
            </w:r>
          </w:p>
        </w:tc>
        <w:tc>
          <w:tcPr>
            <w:tcW w:w="3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4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5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3"/>
                <w:szCs w:val="13"/>
                <w:u w:val="none"/>
              </w:rPr>
            </w:pP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26</w:t>
            </w:r>
          </w:p>
        </w:tc>
        <w:tc>
          <w:tcPr>
            <w:tcW w:w="49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c>
          <w:tcPr>
            <w:tcW w:w="1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二十六、抗疫特别国债安排的支出</w:t>
            </w: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58</w:t>
            </w:r>
          </w:p>
        </w:tc>
        <w:tc>
          <w:tcPr>
            <w:tcW w:w="3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170.00</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4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170.00</w:t>
            </w:r>
          </w:p>
        </w:tc>
        <w:tc>
          <w:tcPr>
            <w:tcW w:w="5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snapToGrid w:val="0"/>
                <w:color w:val="000000"/>
                <w:kern w:val="0"/>
                <w:sz w:val="13"/>
                <w:szCs w:val="13"/>
                <w:u w:val="none"/>
                <w:lang w:val="en-US" w:eastAsia="zh-CN" w:bidi="ar"/>
              </w:rPr>
              <w:t>本年收入合计</w:t>
            </w: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27</w:t>
            </w:r>
          </w:p>
        </w:tc>
        <w:tc>
          <w:tcPr>
            <w:tcW w:w="4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9,801.91</w:t>
            </w:r>
          </w:p>
        </w:tc>
        <w:tc>
          <w:tcPr>
            <w:tcW w:w="1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snapToGrid w:val="0"/>
                <w:color w:val="000000"/>
                <w:kern w:val="0"/>
                <w:sz w:val="13"/>
                <w:szCs w:val="13"/>
                <w:u w:val="none"/>
                <w:lang w:val="en-US" w:eastAsia="zh-CN" w:bidi="ar"/>
              </w:rPr>
              <w:t>本年支出合计</w:t>
            </w: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59</w:t>
            </w:r>
          </w:p>
        </w:tc>
        <w:tc>
          <w:tcPr>
            <w:tcW w:w="3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9,801.91</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8,552.28</w:t>
            </w:r>
          </w:p>
        </w:tc>
        <w:tc>
          <w:tcPr>
            <w:tcW w:w="4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1,249.63</w:t>
            </w:r>
          </w:p>
        </w:tc>
        <w:tc>
          <w:tcPr>
            <w:tcW w:w="5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年初财政拨款结转和结余</w:t>
            </w: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28</w:t>
            </w:r>
          </w:p>
        </w:tc>
        <w:tc>
          <w:tcPr>
            <w:tcW w:w="4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1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年末财政拨款结转和结余</w:t>
            </w: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60</w:t>
            </w:r>
          </w:p>
        </w:tc>
        <w:tc>
          <w:tcPr>
            <w:tcW w:w="3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4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5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一、一般公共预算财政拨款</w:t>
            </w: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29</w:t>
            </w:r>
          </w:p>
        </w:tc>
        <w:tc>
          <w:tcPr>
            <w:tcW w:w="4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1173" w:type="pct"/>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3"/>
                <w:szCs w:val="13"/>
                <w:u w:val="none"/>
              </w:rPr>
            </w:pP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61</w:t>
            </w:r>
          </w:p>
        </w:tc>
        <w:tc>
          <w:tcPr>
            <w:tcW w:w="365"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c>
          <w:tcPr>
            <w:tcW w:w="485"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c>
          <w:tcPr>
            <w:tcW w:w="488"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c>
          <w:tcPr>
            <w:tcW w:w="576"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二、政府性基金预算财政拨款</w:t>
            </w: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30</w:t>
            </w:r>
          </w:p>
        </w:tc>
        <w:tc>
          <w:tcPr>
            <w:tcW w:w="4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1173" w:type="pct"/>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b/>
                <w:bCs/>
                <w:i w:val="0"/>
                <w:iCs w:val="0"/>
                <w:color w:val="000000"/>
                <w:sz w:val="13"/>
                <w:szCs w:val="13"/>
                <w:u w:val="none"/>
              </w:rPr>
            </w:pP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62</w:t>
            </w:r>
          </w:p>
        </w:tc>
        <w:tc>
          <w:tcPr>
            <w:tcW w:w="365"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c>
          <w:tcPr>
            <w:tcW w:w="485"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c>
          <w:tcPr>
            <w:tcW w:w="48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c>
          <w:tcPr>
            <w:tcW w:w="57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三、国有资本经营预算财政拨款</w:t>
            </w: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31</w:t>
            </w:r>
          </w:p>
        </w:tc>
        <w:tc>
          <w:tcPr>
            <w:tcW w:w="4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1173" w:type="pct"/>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b/>
                <w:bCs/>
                <w:i w:val="0"/>
                <w:iCs w:val="0"/>
                <w:color w:val="000000"/>
                <w:sz w:val="13"/>
                <w:szCs w:val="13"/>
                <w:u w:val="none"/>
              </w:rPr>
            </w:pP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63</w:t>
            </w:r>
          </w:p>
        </w:tc>
        <w:tc>
          <w:tcPr>
            <w:tcW w:w="365"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c>
          <w:tcPr>
            <w:tcW w:w="485"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c>
          <w:tcPr>
            <w:tcW w:w="48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c>
          <w:tcPr>
            <w:tcW w:w="57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0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snapToGrid w:val="0"/>
                <w:color w:val="000000"/>
                <w:kern w:val="0"/>
                <w:sz w:val="13"/>
                <w:szCs w:val="13"/>
                <w:u w:val="none"/>
                <w:lang w:val="en-US" w:eastAsia="zh-CN" w:bidi="ar"/>
              </w:rPr>
              <w:t>总计</w:t>
            </w: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32</w:t>
            </w:r>
          </w:p>
        </w:tc>
        <w:tc>
          <w:tcPr>
            <w:tcW w:w="4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9,801.91</w:t>
            </w:r>
          </w:p>
        </w:tc>
        <w:tc>
          <w:tcPr>
            <w:tcW w:w="117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snapToGrid w:val="0"/>
                <w:color w:val="000000"/>
                <w:kern w:val="0"/>
                <w:sz w:val="13"/>
                <w:szCs w:val="13"/>
                <w:u w:val="none"/>
                <w:lang w:val="en-US" w:eastAsia="zh-CN" w:bidi="ar"/>
              </w:rPr>
              <w:t>总计</w:t>
            </w:r>
          </w:p>
        </w:tc>
        <w:tc>
          <w:tcPr>
            <w:tcW w:w="16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64</w:t>
            </w:r>
          </w:p>
        </w:tc>
        <w:tc>
          <w:tcPr>
            <w:tcW w:w="3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9,801.91</w:t>
            </w:r>
          </w:p>
        </w:tc>
        <w:tc>
          <w:tcPr>
            <w:tcW w:w="4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8,552.28</w:t>
            </w:r>
          </w:p>
        </w:tc>
        <w:tc>
          <w:tcPr>
            <w:tcW w:w="4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1,249.63</w:t>
            </w:r>
          </w:p>
        </w:tc>
        <w:tc>
          <w:tcPr>
            <w:tcW w:w="5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注：本表反映部门(单位)本年度一般公共预算财政拨款、政府性基金预算财政拨款和国有资本经营预算财政拨款的总收支和年末结转结余情况。</w:t>
            </w:r>
          </w:p>
        </w:tc>
      </w:tr>
    </w:tbl>
    <w:p>
      <w:pPr>
        <w:pStyle w:val="2"/>
        <w:spacing w:line="241" w:lineRule="auto"/>
        <w:rPr>
          <w:sz w:val="11"/>
          <w:szCs w:val="11"/>
        </w:rPr>
      </w:pPr>
    </w:p>
    <w:p>
      <w:pPr>
        <w:pStyle w:val="2"/>
        <w:spacing w:line="241" w:lineRule="auto"/>
        <w:rPr>
          <w:sz w:val="11"/>
          <w:szCs w:val="11"/>
        </w:rPr>
      </w:pPr>
    </w:p>
    <w:p>
      <w:pPr>
        <w:pStyle w:val="2"/>
        <w:spacing w:line="241" w:lineRule="auto"/>
        <w:rPr>
          <w:sz w:val="11"/>
          <w:szCs w:val="11"/>
        </w:rPr>
      </w:pPr>
    </w:p>
    <w:p>
      <w:pPr>
        <w:pStyle w:val="2"/>
        <w:spacing w:line="241" w:lineRule="auto"/>
      </w:pPr>
    </w:p>
    <w:p>
      <w:pPr>
        <w:pStyle w:val="2"/>
        <w:spacing w:line="241" w:lineRule="auto"/>
      </w:pPr>
    </w:p>
    <w:p>
      <w:pPr>
        <w:pStyle w:val="2"/>
        <w:spacing w:line="241" w:lineRule="auto"/>
      </w:pPr>
    </w:p>
    <w:p>
      <w:pPr>
        <w:pStyle w:val="2"/>
        <w:spacing w:line="242" w:lineRule="auto"/>
      </w:pPr>
    </w:p>
    <w:p>
      <w:pPr>
        <w:pStyle w:val="2"/>
        <w:spacing w:line="242" w:lineRule="auto"/>
      </w:pPr>
    </w:p>
    <w:p>
      <w:pPr>
        <w:spacing w:line="188" w:lineRule="auto"/>
        <w:rPr>
          <w:rFonts w:ascii="宋体" w:hAnsi="宋体" w:eastAsia="宋体" w:cs="宋体"/>
          <w:sz w:val="28"/>
          <w:szCs w:val="28"/>
        </w:rPr>
        <w:sectPr>
          <w:pgSz w:w="11840" w:h="16800"/>
          <w:pgMar w:top="1428" w:right="1476" w:bottom="400" w:left="1605" w:header="0" w:footer="0" w:gutter="0"/>
          <w:cols w:space="720" w:num="1"/>
        </w:sectPr>
      </w:pPr>
    </w:p>
    <w:p>
      <w:pPr>
        <w:spacing w:before="52"/>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6"/>
        <w:gridCol w:w="406"/>
        <w:gridCol w:w="410"/>
        <w:gridCol w:w="3709"/>
        <w:gridCol w:w="1440"/>
        <w:gridCol w:w="1026"/>
        <w:gridCol w:w="1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7"/>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28" w:type="pct"/>
            <w:tcBorders>
              <w:top w:val="nil"/>
              <w:left w:val="nil"/>
              <w:bottom w:val="nil"/>
              <w:right w:val="nil"/>
            </w:tcBorders>
            <w:shd w:val="clear" w:color="auto" w:fill="auto"/>
            <w:noWrap/>
            <w:vAlign w:val="bottom"/>
          </w:tcPr>
          <w:p>
            <w:pPr>
              <w:rPr>
                <w:rFonts w:hint="eastAsia" w:ascii="Arial" w:hAnsi="Arial" w:cs="Arial"/>
                <w:i w:val="0"/>
                <w:iCs w:val="0"/>
                <w:color w:val="000000"/>
                <w:sz w:val="10"/>
                <w:szCs w:val="10"/>
                <w:u w:val="none"/>
              </w:rPr>
            </w:pPr>
          </w:p>
        </w:tc>
        <w:tc>
          <w:tcPr>
            <w:tcW w:w="228" w:type="pct"/>
            <w:tcBorders>
              <w:top w:val="nil"/>
              <w:left w:val="nil"/>
              <w:bottom w:val="nil"/>
              <w:right w:val="nil"/>
            </w:tcBorders>
            <w:shd w:val="clear" w:color="auto" w:fill="auto"/>
            <w:noWrap/>
            <w:vAlign w:val="bottom"/>
          </w:tcPr>
          <w:p>
            <w:pPr>
              <w:rPr>
                <w:rFonts w:hint="default" w:ascii="Arial" w:hAnsi="Arial" w:cs="Arial"/>
                <w:i w:val="0"/>
                <w:iCs w:val="0"/>
                <w:color w:val="000000"/>
                <w:sz w:val="10"/>
                <w:szCs w:val="10"/>
                <w:u w:val="none"/>
              </w:rPr>
            </w:pPr>
          </w:p>
        </w:tc>
        <w:tc>
          <w:tcPr>
            <w:tcW w:w="228" w:type="pct"/>
            <w:tcBorders>
              <w:top w:val="nil"/>
              <w:left w:val="nil"/>
              <w:bottom w:val="nil"/>
              <w:right w:val="nil"/>
            </w:tcBorders>
            <w:shd w:val="clear" w:color="auto" w:fill="auto"/>
            <w:noWrap/>
            <w:vAlign w:val="bottom"/>
          </w:tcPr>
          <w:p>
            <w:pPr>
              <w:rPr>
                <w:rFonts w:hint="default" w:ascii="Arial" w:hAnsi="Arial" w:cs="Arial"/>
                <w:i w:val="0"/>
                <w:iCs w:val="0"/>
                <w:color w:val="000000"/>
                <w:sz w:val="10"/>
                <w:szCs w:val="10"/>
                <w:u w:val="none"/>
              </w:rPr>
            </w:pPr>
          </w:p>
        </w:tc>
        <w:tc>
          <w:tcPr>
            <w:tcW w:w="2079" w:type="pct"/>
            <w:tcBorders>
              <w:top w:val="nil"/>
              <w:left w:val="nil"/>
              <w:bottom w:val="nil"/>
              <w:right w:val="nil"/>
            </w:tcBorders>
            <w:shd w:val="clear" w:color="auto" w:fill="auto"/>
            <w:noWrap/>
            <w:vAlign w:val="bottom"/>
          </w:tcPr>
          <w:p>
            <w:pPr>
              <w:rPr>
                <w:rFonts w:hint="default" w:ascii="Arial" w:hAnsi="Arial" w:cs="Arial"/>
                <w:i w:val="0"/>
                <w:iCs w:val="0"/>
                <w:color w:val="000000"/>
                <w:sz w:val="10"/>
                <w:szCs w:val="10"/>
                <w:u w:val="none"/>
              </w:rPr>
            </w:pPr>
          </w:p>
        </w:tc>
        <w:tc>
          <w:tcPr>
            <w:tcW w:w="807" w:type="pct"/>
            <w:tcBorders>
              <w:top w:val="nil"/>
              <w:left w:val="nil"/>
              <w:bottom w:val="nil"/>
              <w:right w:val="nil"/>
            </w:tcBorders>
            <w:shd w:val="clear" w:color="auto" w:fill="auto"/>
            <w:noWrap/>
            <w:vAlign w:val="bottom"/>
          </w:tcPr>
          <w:p>
            <w:pPr>
              <w:rPr>
                <w:rFonts w:hint="default" w:ascii="Arial" w:hAnsi="Arial" w:cs="Arial"/>
                <w:i w:val="0"/>
                <w:iCs w:val="0"/>
                <w:color w:val="000000"/>
                <w:sz w:val="10"/>
                <w:szCs w:val="10"/>
                <w:u w:val="none"/>
              </w:rPr>
            </w:pPr>
          </w:p>
        </w:tc>
        <w:tc>
          <w:tcPr>
            <w:tcW w:w="575" w:type="pct"/>
            <w:tcBorders>
              <w:top w:val="nil"/>
              <w:left w:val="nil"/>
              <w:bottom w:val="nil"/>
              <w:right w:val="nil"/>
            </w:tcBorders>
            <w:shd w:val="clear" w:color="auto" w:fill="auto"/>
            <w:noWrap/>
            <w:vAlign w:val="bottom"/>
          </w:tcPr>
          <w:p>
            <w:pPr>
              <w:rPr>
                <w:rFonts w:hint="default" w:ascii="Arial" w:hAnsi="Arial" w:cs="Arial"/>
                <w:i w:val="0"/>
                <w:iCs w:val="0"/>
                <w:color w:val="000000"/>
                <w:sz w:val="10"/>
                <w:szCs w:val="10"/>
                <w:u w:val="none"/>
              </w:rPr>
            </w:pPr>
          </w:p>
        </w:tc>
        <w:tc>
          <w:tcPr>
            <w:tcW w:w="851"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765" w:type="pct"/>
            <w:gridSpan w:val="4"/>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编制单位：浮梁县城市管理局</w:t>
            </w:r>
          </w:p>
        </w:tc>
        <w:tc>
          <w:tcPr>
            <w:tcW w:w="807" w:type="pct"/>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2022年度</w:t>
            </w:r>
          </w:p>
        </w:tc>
        <w:tc>
          <w:tcPr>
            <w:tcW w:w="575" w:type="pct"/>
            <w:tcBorders>
              <w:top w:val="nil"/>
              <w:left w:val="nil"/>
              <w:bottom w:val="nil"/>
              <w:right w:val="nil"/>
            </w:tcBorders>
            <w:shd w:val="clear" w:color="auto" w:fill="auto"/>
            <w:noWrap/>
            <w:vAlign w:val="bottom"/>
          </w:tcPr>
          <w:p>
            <w:pPr>
              <w:rPr>
                <w:rFonts w:hint="default" w:ascii="Arial" w:hAnsi="Arial" w:cs="Arial"/>
                <w:i w:val="0"/>
                <w:iCs w:val="0"/>
                <w:color w:val="000000"/>
                <w:sz w:val="10"/>
                <w:szCs w:val="10"/>
                <w:u w:val="none"/>
              </w:rPr>
            </w:pPr>
          </w:p>
        </w:tc>
        <w:tc>
          <w:tcPr>
            <w:tcW w:w="851"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765" w:type="pct"/>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项    目</w:t>
            </w:r>
          </w:p>
        </w:tc>
        <w:tc>
          <w:tcPr>
            <w:tcW w:w="807" w:type="pct"/>
            <w:vMerge w:val="restart"/>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本年支出合计</w:t>
            </w:r>
          </w:p>
        </w:tc>
        <w:tc>
          <w:tcPr>
            <w:tcW w:w="575" w:type="pct"/>
            <w:vMerge w:val="restart"/>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基本支出</w:t>
            </w:r>
          </w:p>
        </w:tc>
        <w:tc>
          <w:tcPr>
            <w:tcW w:w="851" w:type="pct"/>
            <w:vMerge w:val="restart"/>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pct"/>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支出功能分类科目编码</w:t>
            </w:r>
          </w:p>
        </w:tc>
        <w:tc>
          <w:tcPr>
            <w:tcW w:w="2079"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科目名称</w:t>
            </w:r>
          </w:p>
        </w:tc>
        <w:tc>
          <w:tcPr>
            <w:tcW w:w="807" w:type="pct"/>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3"/>
                <w:szCs w:val="13"/>
                <w:u w:val="none"/>
              </w:rPr>
            </w:pPr>
          </w:p>
        </w:tc>
        <w:tc>
          <w:tcPr>
            <w:tcW w:w="575" w:type="pct"/>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3"/>
                <w:szCs w:val="13"/>
                <w:u w:val="none"/>
              </w:rPr>
            </w:pPr>
          </w:p>
        </w:tc>
        <w:tc>
          <w:tcPr>
            <w:tcW w:w="851" w:type="pct"/>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686"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3"/>
                <w:szCs w:val="13"/>
                <w:u w:val="none"/>
              </w:rPr>
            </w:pPr>
          </w:p>
        </w:tc>
        <w:tc>
          <w:tcPr>
            <w:tcW w:w="2079"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3"/>
                <w:szCs w:val="13"/>
                <w:u w:val="none"/>
              </w:rPr>
            </w:pPr>
          </w:p>
        </w:tc>
        <w:tc>
          <w:tcPr>
            <w:tcW w:w="807" w:type="pct"/>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3"/>
                <w:szCs w:val="13"/>
                <w:u w:val="none"/>
              </w:rPr>
            </w:pPr>
          </w:p>
        </w:tc>
        <w:tc>
          <w:tcPr>
            <w:tcW w:w="575" w:type="pct"/>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3"/>
                <w:szCs w:val="13"/>
                <w:u w:val="none"/>
              </w:rPr>
            </w:pPr>
          </w:p>
        </w:tc>
        <w:tc>
          <w:tcPr>
            <w:tcW w:w="851" w:type="pct"/>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3"/>
                <w:szCs w:val="13"/>
                <w:u w:val="none"/>
              </w:rPr>
            </w:pPr>
          </w:p>
        </w:tc>
        <w:tc>
          <w:tcPr>
            <w:tcW w:w="2079"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3"/>
                <w:szCs w:val="13"/>
                <w:u w:val="none"/>
              </w:rPr>
            </w:pPr>
          </w:p>
        </w:tc>
        <w:tc>
          <w:tcPr>
            <w:tcW w:w="807" w:type="pct"/>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3"/>
                <w:szCs w:val="13"/>
                <w:u w:val="none"/>
              </w:rPr>
            </w:pPr>
          </w:p>
        </w:tc>
        <w:tc>
          <w:tcPr>
            <w:tcW w:w="575" w:type="pct"/>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3"/>
                <w:szCs w:val="13"/>
                <w:u w:val="none"/>
              </w:rPr>
            </w:pPr>
          </w:p>
        </w:tc>
        <w:tc>
          <w:tcPr>
            <w:tcW w:w="851" w:type="pct"/>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28" w:type="pct"/>
            <w:vMerge w:val="restar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类</w:t>
            </w:r>
          </w:p>
        </w:tc>
        <w:tc>
          <w:tcPr>
            <w:tcW w:w="228"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款</w:t>
            </w:r>
          </w:p>
        </w:tc>
        <w:tc>
          <w:tcPr>
            <w:tcW w:w="228"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项</w:t>
            </w:r>
          </w:p>
        </w:tc>
        <w:tc>
          <w:tcPr>
            <w:tcW w:w="207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栏次</w:t>
            </w:r>
          </w:p>
        </w:tc>
        <w:tc>
          <w:tcPr>
            <w:tcW w:w="80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w:t>
            </w:r>
          </w:p>
        </w:tc>
        <w:tc>
          <w:tcPr>
            <w:tcW w:w="5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w:t>
            </w:r>
          </w:p>
        </w:tc>
        <w:tc>
          <w:tcPr>
            <w:tcW w:w="85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28" w:type="pct"/>
            <w:vMerge w:val="continue"/>
            <w:tcBorders>
              <w:top w:val="nil"/>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3"/>
                <w:szCs w:val="13"/>
                <w:u w:val="none"/>
              </w:rPr>
            </w:pPr>
          </w:p>
        </w:tc>
        <w:tc>
          <w:tcPr>
            <w:tcW w:w="228"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3"/>
                <w:szCs w:val="13"/>
                <w:u w:val="none"/>
              </w:rPr>
            </w:pPr>
          </w:p>
        </w:tc>
        <w:tc>
          <w:tcPr>
            <w:tcW w:w="228"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3"/>
                <w:szCs w:val="13"/>
                <w:u w:val="none"/>
              </w:rPr>
            </w:pPr>
          </w:p>
        </w:tc>
        <w:tc>
          <w:tcPr>
            <w:tcW w:w="207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合计</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8,552.28</w:t>
            </w:r>
          </w:p>
        </w:tc>
        <w:tc>
          <w:tcPr>
            <w:tcW w:w="5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2,069.05</w:t>
            </w:r>
          </w:p>
        </w:tc>
        <w:tc>
          <w:tcPr>
            <w:tcW w:w="8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6,483.24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208</w:t>
            </w:r>
          </w:p>
        </w:tc>
        <w:tc>
          <w:tcPr>
            <w:tcW w:w="20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社会保障和就业支出</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79.01</w:t>
            </w:r>
          </w:p>
        </w:tc>
        <w:tc>
          <w:tcPr>
            <w:tcW w:w="5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79.01</w:t>
            </w:r>
          </w:p>
        </w:tc>
        <w:tc>
          <w:tcPr>
            <w:tcW w:w="8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20805</w:t>
            </w:r>
          </w:p>
        </w:tc>
        <w:tc>
          <w:tcPr>
            <w:tcW w:w="20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行政事业单位养老支出</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79.01</w:t>
            </w:r>
          </w:p>
        </w:tc>
        <w:tc>
          <w:tcPr>
            <w:tcW w:w="5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79.01</w:t>
            </w:r>
          </w:p>
        </w:tc>
        <w:tc>
          <w:tcPr>
            <w:tcW w:w="8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2080505</w:t>
            </w:r>
          </w:p>
        </w:tc>
        <w:tc>
          <w:tcPr>
            <w:tcW w:w="20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 xml:space="preserve">  机关事业单位基本养老保险缴费支出</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52.67</w:t>
            </w:r>
          </w:p>
        </w:tc>
        <w:tc>
          <w:tcPr>
            <w:tcW w:w="5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52.67</w:t>
            </w:r>
          </w:p>
        </w:tc>
        <w:tc>
          <w:tcPr>
            <w:tcW w:w="8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2080506</w:t>
            </w:r>
          </w:p>
        </w:tc>
        <w:tc>
          <w:tcPr>
            <w:tcW w:w="20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 xml:space="preserve">  机关事业单位职业年金缴费支出</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26.34</w:t>
            </w:r>
          </w:p>
        </w:tc>
        <w:tc>
          <w:tcPr>
            <w:tcW w:w="5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26.34</w:t>
            </w:r>
          </w:p>
        </w:tc>
        <w:tc>
          <w:tcPr>
            <w:tcW w:w="8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210</w:t>
            </w:r>
          </w:p>
        </w:tc>
        <w:tc>
          <w:tcPr>
            <w:tcW w:w="20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卫生健康支出</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17.65</w:t>
            </w:r>
          </w:p>
        </w:tc>
        <w:tc>
          <w:tcPr>
            <w:tcW w:w="5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17.65</w:t>
            </w:r>
          </w:p>
        </w:tc>
        <w:tc>
          <w:tcPr>
            <w:tcW w:w="8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21011</w:t>
            </w:r>
          </w:p>
        </w:tc>
        <w:tc>
          <w:tcPr>
            <w:tcW w:w="20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行政事业单位医疗</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17.65</w:t>
            </w:r>
          </w:p>
        </w:tc>
        <w:tc>
          <w:tcPr>
            <w:tcW w:w="5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17.65</w:t>
            </w:r>
          </w:p>
        </w:tc>
        <w:tc>
          <w:tcPr>
            <w:tcW w:w="8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2101101</w:t>
            </w:r>
          </w:p>
        </w:tc>
        <w:tc>
          <w:tcPr>
            <w:tcW w:w="20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 xml:space="preserve">  行政单位医疗</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16.99</w:t>
            </w:r>
          </w:p>
        </w:tc>
        <w:tc>
          <w:tcPr>
            <w:tcW w:w="5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16.99</w:t>
            </w:r>
          </w:p>
        </w:tc>
        <w:tc>
          <w:tcPr>
            <w:tcW w:w="8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2101199</w:t>
            </w:r>
          </w:p>
        </w:tc>
        <w:tc>
          <w:tcPr>
            <w:tcW w:w="20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 xml:space="preserve">  其他行政事业单位医疗支出</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0.66</w:t>
            </w:r>
          </w:p>
        </w:tc>
        <w:tc>
          <w:tcPr>
            <w:tcW w:w="5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0.66</w:t>
            </w:r>
          </w:p>
        </w:tc>
        <w:tc>
          <w:tcPr>
            <w:tcW w:w="8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211</w:t>
            </w:r>
          </w:p>
        </w:tc>
        <w:tc>
          <w:tcPr>
            <w:tcW w:w="20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节能环保支出</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3,092.62</w:t>
            </w:r>
          </w:p>
        </w:tc>
        <w:tc>
          <w:tcPr>
            <w:tcW w:w="5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8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3,092.62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21103</w:t>
            </w:r>
          </w:p>
        </w:tc>
        <w:tc>
          <w:tcPr>
            <w:tcW w:w="20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污染防治</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300.00</w:t>
            </w:r>
          </w:p>
        </w:tc>
        <w:tc>
          <w:tcPr>
            <w:tcW w:w="5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8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2110304</w:t>
            </w:r>
          </w:p>
        </w:tc>
        <w:tc>
          <w:tcPr>
            <w:tcW w:w="20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 xml:space="preserve">  固体废弃物与化学品</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300.00</w:t>
            </w:r>
          </w:p>
        </w:tc>
        <w:tc>
          <w:tcPr>
            <w:tcW w:w="5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8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21104</w:t>
            </w:r>
          </w:p>
        </w:tc>
        <w:tc>
          <w:tcPr>
            <w:tcW w:w="20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自然生态保护</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2,710.62</w:t>
            </w:r>
          </w:p>
        </w:tc>
        <w:tc>
          <w:tcPr>
            <w:tcW w:w="5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8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2,710.62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2110402</w:t>
            </w:r>
          </w:p>
        </w:tc>
        <w:tc>
          <w:tcPr>
            <w:tcW w:w="20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 xml:space="preserve">  农村环境保护</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2,710.62</w:t>
            </w:r>
          </w:p>
        </w:tc>
        <w:tc>
          <w:tcPr>
            <w:tcW w:w="5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8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2,710.62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21199</w:t>
            </w:r>
          </w:p>
        </w:tc>
        <w:tc>
          <w:tcPr>
            <w:tcW w:w="20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其他节能环保支出</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82.00</w:t>
            </w:r>
          </w:p>
        </w:tc>
        <w:tc>
          <w:tcPr>
            <w:tcW w:w="5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8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82.00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2119999</w:t>
            </w:r>
          </w:p>
        </w:tc>
        <w:tc>
          <w:tcPr>
            <w:tcW w:w="20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 xml:space="preserve">  其他节能环保支出</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82.00</w:t>
            </w:r>
          </w:p>
        </w:tc>
        <w:tc>
          <w:tcPr>
            <w:tcW w:w="5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8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82.00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212</w:t>
            </w:r>
          </w:p>
        </w:tc>
        <w:tc>
          <w:tcPr>
            <w:tcW w:w="20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城乡社区支出</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5,324.33</w:t>
            </w:r>
          </w:p>
        </w:tc>
        <w:tc>
          <w:tcPr>
            <w:tcW w:w="5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1,933.72</w:t>
            </w:r>
          </w:p>
        </w:tc>
        <w:tc>
          <w:tcPr>
            <w:tcW w:w="8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3,390.62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21201</w:t>
            </w:r>
          </w:p>
        </w:tc>
        <w:tc>
          <w:tcPr>
            <w:tcW w:w="20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城乡社区管理事务</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1,655.66</w:t>
            </w:r>
          </w:p>
        </w:tc>
        <w:tc>
          <w:tcPr>
            <w:tcW w:w="5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1,655.66</w:t>
            </w:r>
          </w:p>
        </w:tc>
        <w:tc>
          <w:tcPr>
            <w:tcW w:w="8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2120101</w:t>
            </w:r>
          </w:p>
        </w:tc>
        <w:tc>
          <w:tcPr>
            <w:tcW w:w="20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 xml:space="preserve">  行政运行</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1,516.47</w:t>
            </w:r>
          </w:p>
        </w:tc>
        <w:tc>
          <w:tcPr>
            <w:tcW w:w="5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1,516.47</w:t>
            </w:r>
          </w:p>
        </w:tc>
        <w:tc>
          <w:tcPr>
            <w:tcW w:w="8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2120102</w:t>
            </w:r>
          </w:p>
        </w:tc>
        <w:tc>
          <w:tcPr>
            <w:tcW w:w="20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 xml:space="preserve">  一般行政管理事务</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32.00</w:t>
            </w:r>
          </w:p>
        </w:tc>
        <w:tc>
          <w:tcPr>
            <w:tcW w:w="5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32.00</w:t>
            </w:r>
          </w:p>
        </w:tc>
        <w:tc>
          <w:tcPr>
            <w:tcW w:w="8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2120199</w:t>
            </w:r>
          </w:p>
        </w:tc>
        <w:tc>
          <w:tcPr>
            <w:tcW w:w="20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 xml:space="preserve">  其他城乡社区管理事务支出</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107.19</w:t>
            </w:r>
          </w:p>
        </w:tc>
        <w:tc>
          <w:tcPr>
            <w:tcW w:w="5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107.19</w:t>
            </w:r>
          </w:p>
        </w:tc>
        <w:tc>
          <w:tcPr>
            <w:tcW w:w="8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21202</w:t>
            </w:r>
          </w:p>
        </w:tc>
        <w:tc>
          <w:tcPr>
            <w:tcW w:w="20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城乡社区规划与管理</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14.00</w:t>
            </w:r>
          </w:p>
        </w:tc>
        <w:tc>
          <w:tcPr>
            <w:tcW w:w="5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8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2120201</w:t>
            </w:r>
          </w:p>
        </w:tc>
        <w:tc>
          <w:tcPr>
            <w:tcW w:w="20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 xml:space="preserve">  城乡社区规划与管理</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14.00</w:t>
            </w:r>
          </w:p>
        </w:tc>
        <w:tc>
          <w:tcPr>
            <w:tcW w:w="5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8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21205</w:t>
            </w:r>
          </w:p>
        </w:tc>
        <w:tc>
          <w:tcPr>
            <w:tcW w:w="20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城乡社区环境卫生</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2,441.17</w:t>
            </w:r>
          </w:p>
        </w:tc>
        <w:tc>
          <w:tcPr>
            <w:tcW w:w="5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8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2,441.17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2120501</w:t>
            </w:r>
          </w:p>
        </w:tc>
        <w:tc>
          <w:tcPr>
            <w:tcW w:w="20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 xml:space="preserve">  城乡社区环境卫生</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2,441.17</w:t>
            </w:r>
          </w:p>
        </w:tc>
        <w:tc>
          <w:tcPr>
            <w:tcW w:w="5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c>
          <w:tcPr>
            <w:tcW w:w="8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2,441.17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21299</w:t>
            </w:r>
          </w:p>
        </w:tc>
        <w:tc>
          <w:tcPr>
            <w:tcW w:w="20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其他城乡社区支出</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1,213.50</w:t>
            </w:r>
          </w:p>
        </w:tc>
        <w:tc>
          <w:tcPr>
            <w:tcW w:w="5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278.05</w:t>
            </w:r>
          </w:p>
        </w:tc>
        <w:tc>
          <w:tcPr>
            <w:tcW w:w="8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935.45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2129999</w:t>
            </w:r>
          </w:p>
        </w:tc>
        <w:tc>
          <w:tcPr>
            <w:tcW w:w="20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 xml:space="preserve">  其他城乡社区支出</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1,213.50</w:t>
            </w:r>
          </w:p>
        </w:tc>
        <w:tc>
          <w:tcPr>
            <w:tcW w:w="5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278.05</w:t>
            </w:r>
          </w:p>
        </w:tc>
        <w:tc>
          <w:tcPr>
            <w:tcW w:w="8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935.45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221</w:t>
            </w:r>
          </w:p>
        </w:tc>
        <w:tc>
          <w:tcPr>
            <w:tcW w:w="20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住房保障支出</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38.67</w:t>
            </w:r>
          </w:p>
        </w:tc>
        <w:tc>
          <w:tcPr>
            <w:tcW w:w="5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38.67</w:t>
            </w:r>
          </w:p>
        </w:tc>
        <w:tc>
          <w:tcPr>
            <w:tcW w:w="8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22102</w:t>
            </w:r>
          </w:p>
        </w:tc>
        <w:tc>
          <w:tcPr>
            <w:tcW w:w="20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住房改革支出</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38.67</w:t>
            </w:r>
          </w:p>
        </w:tc>
        <w:tc>
          <w:tcPr>
            <w:tcW w:w="5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38.67</w:t>
            </w:r>
          </w:p>
        </w:tc>
        <w:tc>
          <w:tcPr>
            <w:tcW w:w="8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2210201</w:t>
            </w:r>
          </w:p>
        </w:tc>
        <w:tc>
          <w:tcPr>
            <w:tcW w:w="20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 xml:space="preserve">  住房公积金</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38.67</w:t>
            </w:r>
          </w:p>
        </w:tc>
        <w:tc>
          <w:tcPr>
            <w:tcW w:w="5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38.67</w:t>
            </w:r>
          </w:p>
        </w:tc>
        <w:tc>
          <w:tcPr>
            <w:tcW w:w="8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000" w:type="pct"/>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注：本表反映部门(单位)本年度一般公共预算财政拨款支出情况。</w:t>
            </w:r>
          </w:p>
        </w:tc>
      </w:tr>
    </w:tbl>
    <w:p>
      <w:pPr>
        <w:rPr>
          <w:sz w:val="11"/>
          <w:szCs w:val="11"/>
        </w:rPr>
        <w:sectPr>
          <w:headerReference r:id="rId9" w:type="default"/>
          <w:footerReference r:id="rId10" w:type="default"/>
          <w:pgSz w:w="11840" w:h="16800"/>
          <w:pgMar w:top="1428" w:right="1503" w:bottom="1630" w:left="1634" w:header="0" w:footer="1335" w:gutter="0"/>
          <w:cols w:space="720" w:num="1"/>
        </w:sect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3"/>
        <w:gridCol w:w="1250"/>
        <w:gridCol w:w="899"/>
        <w:gridCol w:w="801"/>
        <w:gridCol w:w="1194"/>
        <w:gridCol w:w="717"/>
        <w:gridCol w:w="851"/>
        <w:gridCol w:w="1183"/>
        <w:gridCol w:w="13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99" w:type="pct"/>
            <w:tcBorders>
              <w:top w:val="nil"/>
              <w:left w:val="nil"/>
              <w:bottom w:val="nil"/>
              <w:right w:val="nil"/>
            </w:tcBorders>
            <w:shd w:val="clear" w:color="auto" w:fill="auto"/>
            <w:noWrap/>
            <w:vAlign w:val="bottom"/>
          </w:tcPr>
          <w:p>
            <w:pPr>
              <w:rPr>
                <w:rFonts w:hint="eastAsia" w:ascii="Arial" w:hAnsi="Arial" w:cs="Arial"/>
                <w:i w:val="0"/>
                <w:iCs w:val="0"/>
                <w:color w:val="000000"/>
                <w:sz w:val="6"/>
                <w:szCs w:val="6"/>
                <w:u w:val="none"/>
              </w:rPr>
            </w:pPr>
          </w:p>
        </w:tc>
        <w:tc>
          <w:tcPr>
            <w:tcW w:w="698" w:type="pct"/>
            <w:tcBorders>
              <w:top w:val="nil"/>
              <w:left w:val="nil"/>
              <w:bottom w:val="nil"/>
              <w:right w:val="nil"/>
            </w:tcBorders>
            <w:shd w:val="clear" w:color="auto" w:fill="auto"/>
            <w:noWrap/>
            <w:vAlign w:val="bottom"/>
          </w:tcPr>
          <w:p>
            <w:pPr>
              <w:rPr>
                <w:rFonts w:hint="default" w:ascii="Arial" w:hAnsi="Arial" w:cs="Arial"/>
                <w:i w:val="0"/>
                <w:iCs w:val="0"/>
                <w:color w:val="000000"/>
                <w:sz w:val="6"/>
                <w:szCs w:val="6"/>
                <w:u w:val="none"/>
              </w:rPr>
            </w:pPr>
          </w:p>
        </w:tc>
        <w:tc>
          <w:tcPr>
            <w:tcW w:w="502" w:type="pct"/>
            <w:tcBorders>
              <w:top w:val="nil"/>
              <w:left w:val="nil"/>
              <w:bottom w:val="nil"/>
              <w:right w:val="nil"/>
            </w:tcBorders>
            <w:shd w:val="clear" w:color="auto" w:fill="auto"/>
            <w:noWrap/>
            <w:vAlign w:val="bottom"/>
          </w:tcPr>
          <w:p>
            <w:pPr>
              <w:rPr>
                <w:rFonts w:hint="default" w:ascii="Arial" w:hAnsi="Arial" w:cs="Arial"/>
                <w:i w:val="0"/>
                <w:iCs w:val="0"/>
                <w:color w:val="000000"/>
                <w:sz w:val="6"/>
                <w:szCs w:val="6"/>
                <w:u w:val="none"/>
              </w:rPr>
            </w:pPr>
          </w:p>
        </w:tc>
        <w:tc>
          <w:tcPr>
            <w:tcW w:w="447" w:type="pct"/>
            <w:tcBorders>
              <w:top w:val="nil"/>
              <w:left w:val="nil"/>
              <w:bottom w:val="nil"/>
              <w:right w:val="nil"/>
            </w:tcBorders>
            <w:shd w:val="clear" w:color="auto" w:fill="auto"/>
            <w:noWrap/>
            <w:vAlign w:val="bottom"/>
          </w:tcPr>
          <w:p>
            <w:pPr>
              <w:rPr>
                <w:rFonts w:hint="default" w:ascii="Arial" w:hAnsi="Arial" w:cs="Arial"/>
                <w:i w:val="0"/>
                <w:iCs w:val="0"/>
                <w:color w:val="000000"/>
                <w:sz w:val="6"/>
                <w:szCs w:val="6"/>
                <w:u w:val="none"/>
              </w:rPr>
            </w:pPr>
          </w:p>
        </w:tc>
        <w:tc>
          <w:tcPr>
            <w:tcW w:w="668" w:type="pct"/>
            <w:tcBorders>
              <w:top w:val="nil"/>
              <w:left w:val="nil"/>
              <w:bottom w:val="nil"/>
              <w:right w:val="nil"/>
            </w:tcBorders>
            <w:shd w:val="clear" w:color="auto" w:fill="auto"/>
            <w:noWrap/>
            <w:vAlign w:val="bottom"/>
          </w:tcPr>
          <w:p>
            <w:pPr>
              <w:rPr>
                <w:rFonts w:hint="default" w:ascii="Arial" w:hAnsi="Arial" w:cs="Arial"/>
                <w:i w:val="0"/>
                <w:iCs w:val="0"/>
                <w:color w:val="000000"/>
                <w:sz w:val="6"/>
                <w:szCs w:val="6"/>
                <w:u w:val="none"/>
              </w:rPr>
            </w:pPr>
          </w:p>
        </w:tc>
        <w:tc>
          <w:tcPr>
            <w:tcW w:w="401" w:type="pct"/>
            <w:tcBorders>
              <w:top w:val="nil"/>
              <w:left w:val="nil"/>
              <w:bottom w:val="nil"/>
              <w:right w:val="nil"/>
            </w:tcBorders>
            <w:shd w:val="clear" w:color="auto" w:fill="auto"/>
            <w:noWrap/>
            <w:vAlign w:val="bottom"/>
          </w:tcPr>
          <w:p>
            <w:pPr>
              <w:rPr>
                <w:rFonts w:hint="default" w:ascii="Arial" w:hAnsi="Arial" w:cs="Arial"/>
                <w:i w:val="0"/>
                <w:iCs w:val="0"/>
                <w:color w:val="000000"/>
                <w:sz w:val="6"/>
                <w:szCs w:val="6"/>
                <w:u w:val="none"/>
              </w:rPr>
            </w:pPr>
          </w:p>
        </w:tc>
        <w:tc>
          <w:tcPr>
            <w:tcW w:w="476" w:type="pct"/>
            <w:tcBorders>
              <w:top w:val="nil"/>
              <w:left w:val="nil"/>
              <w:bottom w:val="nil"/>
              <w:right w:val="nil"/>
            </w:tcBorders>
            <w:shd w:val="clear" w:color="auto" w:fill="auto"/>
            <w:noWrap/>
            <w:vAlign w:val="bottom"/>
          </w:tcPr>
          <w:p>
            <w:pPr>
              <w:rPr>
                <w:rFonts w:hint="default" w:ascii="Arial" w:hAnsi="Arial" w:cs="Arial"/>
                <w:i w:val="0"/>
                <w:iCs w:val="0"/>
                <w:color w:val="000000"/>
                <w:sz w:val="6"/>
                <w:szCs w:val="6"/>
                <w:u w:val="none"/>
              </w:rPr>
            </w:pPr>
          </w:p>
        </w:tc>
        <w:tc>
          <w:tcPr>
            <w:tcW w:w="661" w:type="pct"/>
            <w:tcBorders>
              <w:top w:val="nil"/>
              <w:left w:val="nil"/>
              <w:bottom w:val="nil"/>
              <w:right w:val="nil"/>
            </w:tcBorders>
            <w:shd w:val="clear" w:color="auto" w:fill="auto"/>
            <w:noWrap/>
            <w:vAlign w:val="bottom"/>
          </w:tcPr>
          <w:p>
            <w:pPr>
              <w:rPr>
                <w:rFonts w:hint="default" w:ascii="Arial" w:hAnsi="Arial" w:cs="Arial"/>
                <w:i w:val="0"/>
                <w:iCs w:val="0"/>
                <w:color w:val="000000"/>
                <w:sz w:val="6"/>
                <w:szCs w:val="6"/>
                <w:u w:val="none"/>
              </w:rPr>
            </w:pPr>
          </w:p>
        </w:tc>
        <w:tc>
          <w:tcPr>
            <w:tcW w:w="743"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6"/>
                <w:szCs w:val="6"/>
                <w:u w:val="none"/>
              </w:rPr>
            </w:pPr>
            <w:r>
              <w:rPr>
                <w:rFonts w:hint="eastAsia" w:ascii="宋体" w:hAnsi="宋体" w:eastAsia="宋体" w:cs="宋体"/>
                <w:i w:val="0"/>
                <w:iCs w:val="0"/>
                <w:snapToGrid w:val="0"/>
                <w:color w:val="000000"/>
                <w:kern w:val="0"/>
                <w:sz w:val="6"/>
                <w:szCs w:val="6"/>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49" w:type="pct"/>
            <w:gridSpan w:val="4"/>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6"/>
                <w:szCs w:val="6"/>
                <w:u w:val="none"/>
              </w:rPr>
            </w:pPr>
            <w:r>
              <w:rPr>
                <w:rFonts w:hint="eastAsia" w:ascii="宋体" w:hAnsi="宋体" w:eastAsia="宋体" w:cs="宋体"/>
                <w:i w:val="0"/>
                <w:iCs w:val="0"/>
                <w:snapToGrid w:val="0"/>
                <w:color w:val="000000"/>
                <w:kern w:val="0"/>
                <w:sz w:val="6"/>
                <w:szCs w:val="6"/>
                <w:u w:val="none"/>
                <w:lang w:val="en-US" w:eastAsia="zh-CN" w:bidi="ar"/>
              </w:rPr>
              <w:t>编制单位：浮梁县城市管理局</w:t>
            </w:r>
          </w:p>
        </w:tc>
        <w:tc>
          <w:tcPr>
            <w:tcW w:w="668" w:type="pct"/>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6"/>
                <w:szCs w:val="6"/>
                <w:u w:val="none"/>
              </w:rPr>
            </w:pPr>
            <w:r>
              <w:rPr>
                <w:rFonts w:hint="eastAsia" w:ascii="宋体" w:hAnsi="宋体" w:eastAsia="宋体" w:cs="宋体"/>
                <w:i w:val="0"/>
                <w:iCs w:val="0"/>
                <w:snapToGrid w:val="0"/>
                <w:color w:val="000000"/>
                <w:kern w:val="0"/>
                <w:sz w:val="6"/>
                <w:szCs w:val="6"/>
                <w:u w:val="none"/>
                <w:lang w:val="en-US" w:eastAsia="zh-CN" w:bidi="ar"/>
              </w:rPr>
              <w:t>2022年度</w:t>
            </w:r>
          </w:p>
        </w:tc>
        <w:tc>
          <w:tcPr>
            <w:tcW w:w="401" w:type="pct"/>
            <w:tcBorders>
              <w:top w:val="nil"/>
              <w:left w:val="nil"/>
              <w:bottom w:val="nil"/>
              <w:right w:val="nil"/>
            </w:tcBorders>
            <w:shd w:val="clear" w:color="auto" w:fill="auto"/>
            <w:noWrap/>
            <w:vAlign w:val="bottom"/>
          </w:tcPr>
          <w:p>
            <w:pPr>
              <w:rPr>
                <w:rFonts w:hint="default" w:ascii="Arial" w:hAnsi="Arial" w:cs="Arial"/>
                <w:i w:val="0"/>
                <w:iCs w:val="0"/>
                <w:color w:val="000000"/>
                <w:sz w:val="6"/>
                <w:szCs w:val="6"/>
                <w:u w:val="none"/>
              </w:rPr>
            </w:pPr>
          </w:p>
        </w:tc>
        <w:tc>
          <w:tcPr>
            <w:tcW w:w="476" w:type="pct"/>
            <w:tcBorders>
              <w:top w:val="nil"/>
              <w:left w:val="nil"/>
              <w:bottom w:val="nil"/>
              <w:right w:val="nil"/>
            </w:tcBorders>
            <w:shd w:val="clear" w:color="auto" w:fill="auto"/>
            <w:noWrap/>
            <w:vAlign w:val="bottom"/>
          </w:tcPr>
          <w:p>
            <w:pPr>
              <w:rPr>
                <w:rFonts w:hint="default" w:ascii="Arial" w:hAnsi="Arial" w:cs="Arial"/>
                <w:i w:val="0"/>
                <w:iCs w:val="0"/>
                <w:color w:val="000000"/>
                <w:sz w:val="6"/>
                <w:szCs w:val="6"/>
                <w:u w:val="none"/>
              </w:rPr>
            </w:pPr>
          </w:p>
        </w:tc>
        <w:tc>
          <w:tcPr>
            <w:tcW w:w="661" w:type="pct"/>
            <w:tcBorders>
              <w:top w:val="nil"/>
              <w:left w:val="nil"/>
              <w:bottom w:val="nil"/>
              <w:right w:val="nil"/>
            </w:tcBorders>
            <w:shd w:val="clear" w:color="auto" w:fill="auto"/>
            <w:noWrap/>
            <w:vAlign w:val="bottom"/>
          </w:tcPr>
          <w:p>
            <w:pPr>
              <w:rPr>
                <w:rFonts w:hint="default" w:ascii="Arial" w:hAnsi="Arial" w:cs="Arial"/>
                <w:i w:val="0"/>
                <w:iCs w:val="0"/>
                <w:color w:val="000000"/>
                <w:sz w:val="6"/>
                <w:szCs w:val="6"/>
                <w:u w:val="none"/>
              </w:rPr>
            </w:pPr>
          </w:p>
        </w:tc>
        <w:tc>
          <w:tcPr>
            <w:tcW w:w="743"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6"/>
                <w:szCs w:val="6"/>
                <w:u w:val="none"/>
              </w:rPr>
            </w:pPr>
            <w:r>
              <w:rPr>
                <w:rFonts w:hint="eastAsia" w:ascii="宋体" w:hAnsi="宋体" w:eastAsia="宋体" w:cs="宋体"/>
                <w:i w:val="0"/>
                <w:iCs w:val="0"/>
                <w:snapToGrid w:val="0"/>
                <w:color w:val="000000"/>
                <w:kern w:val="0"/>
                <w:sz w:val="6"/>
                <w:szCs w:val="6"/>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01" w:type="pct"/>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人员经费</w:t>
            </w:r>
          </w:p>
        </w:tc>
        <w:tc>
          <w:tcPr>
            <w:tcW w:w="3398" w:type="pct"/>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399" w:type="pc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经济分类科目编码</w:t>
            </w:r>
          </w:p>
        </w:tc>
        <w:tc>
          <w:tcPr>
            <w:tcW w:w="69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科目名称</w:t>
            </w:r>
          </w:p>
        </w:tc>
        <w:tc>
          <w:tcPr>
            <w:tcW w:w="5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金额</w:t>
            </w:r>
          </w:p>
        </w:tc>
        <w:tc>
          <w:tcPr>
            <w:tcW w:w="447"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经济分类科目编码</w:t>
            </w:r>
          </w:p>
        </w:tc>
        <w:tc>
          <w:tcPr>
            <w:tcW w:w="66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科目名称</w:t>
            </w:r>
          </w:p>
        </w:tc>
        <w:tc>
          <w:tcPr>
            <w:tcW w:w="40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金额</w:t>
            </w:r>
          </w:p>
        </w:tc>
        <w:tc>
          <w:tcPr>
            <w:tcW w:w="476"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经济分类科目编码</w:t>
            </w:r>
          </w:p>
        </w:tc>
        <w:tc>
          <w:tcPr>
            <w:tcW w:w="66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科目名称</w:t>
            </w:r>
          </w:p>
        </w:tc>
        <w:tc>
          <w:tcPr>
            <w:tcW w:w="7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0"/>
                <w:szCs w:val="10"/>
                <w:u w:val="none"/>
              </w:rPr>
            </w:pPr>
            <w:r>
              <w:rPr>
                <w:rFonts w:hint="eastAsia" w:ascii="宋体" w:hAnsi="宋体" w:eastAsia="宋体" w:cs="宋体"/>
                <w:b/>
                <w:bCs/>
                <w:i w:val="0"/>
                <w:iCs w:val="0"/>
                <w:snapToGrid w:val="0"/>
                <w:color w:val="000000"/>
                <w:kern w:val="0"/>
                <w:sz w:val="10"/>
                <w:szCs w:val="10"/>
                <w:u w:val="none"/>
                <w:lang w:val="en-US" w:eastAsia="zh-CN" w:bidi="ar"/>
              </w:rPr>
              <w:t>301</w:t>
            </w:r>
          </w:p>
        </w:tc>
        <w:tc>
          <w:tcPr>
            <w:tcW w:w="69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0"/>
                <w:szCs w:val="10"/>
                <w:u w:val="none"/>
              </w:rPr>
            </w:pPr>
            <w:r>
              <w:rPr>
                <w:rFonts w:hint="eastAsia" w:ascii="宋体" w:hAnsi="宋体" w:eastAsia="宋体" w:cs="宋体"/>
                <w:b/>
                <w:bCs/>
                <w:i w:val="0"/>
                <w:iCs w:val="0"/>
                <w:snapToGrid w:val="0"/>
                <w:color w:val="000000"/>
                <w:kern w:val="0"/>
                <w:sz w:val="10"/>
                <w:szCs w:val="10"/>
                <w:u w:val="none"/>
                <w:lang w:val="en-US" w:eastAsia="zh-CN" w:bidi="ar"/>
              </w:rPr>
              <w:t>工资福利支出</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1,791.41</w:t>
            </w:r>
          </w:p>
        </w:tc>
        <w:tc>
          <w:tcPr>
            <w:tcW w:w="4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0"/>
                <w:szCs w:val="10"/>
                <w:u w:val="none"/>
              </w:rPr>
            </w:pPr>
            <w:r>
              <w:rPr>
                <w:rFonts w:hint="eastAsia" w:ascii="宋体" w:hAnsi="宋体" w:eastAsia="宋体" w:cs="宋体"/>
                <w:b/>
                <w:bCs/>
                <w:i w:val="0"/>
                <w:iCs w:val="0"/>
                <w:snapToGrid w:val="0"/>
                <w:color w:val="000000"/>
                <w:kern w:val="0"/>
                <w:sz w:val="10"/>
                <w:szCs w:val="10"/>
                <w:u w:val="none"/>
                <w:lang w:val="en-US" w:eastAsia="zh-CN" w:bidi="ar"/>
              </w:rPr>
              <w:t>302</w:t>
            </w:r>
          </w:p>
        </w:tc>
        <w:tc>
          <w:tcPr>
            <w:tcW w:w="66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0"/>
                <w:szCs w:val="10"/>
                <w:u w:val="none"/>
              </w:rPr>
            </w:pPr>
            <w:r>
              <w:rPr>
                <w:rFonts w:hint="eastAsia" w:ascii="宋体" w:hAnsi="宋体" w:eastAsia="宋体" w:cs="宋体"/>
                <w:b/>
                <w:bCs/>
                <w:i w:val="0"/>
                <w:iCs w:val="0"/>
                <w:snapToGrid w:val="0"/>
                <w:color w:val="000000"/>
                <w:kern w:val="0"/>
                <w:sz w:val="10"/>
                <w:szCs w:val="10"/>
                <w:u w:val="none"/>
                <w:lang w:val="en-US" w:eastAsia="zh-CN" w:bidi="ar"/>
              </w:rPr>
              <w:t>商品和服务支出</w:t>
            </w:r>
          </w:p>
        </w:tc>
        <w:tc>
          <w:tcPr>
            <w:tcW w:w="4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265.19</w:t>
            </w:r>
          </w:p>
        </w:tc>
        <w:tc>
          <w:tcPr>
            <w:tcW w:w="47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0"/>
                <w:szCs w:val="10"/>
                <w:u w:val="none"/>
              </w:rPr>
            </w:pPr>
            <w:r>
              <w:rPr>
                <w:rFonts w:hint="eastAsia" w:ascii="宋体" w:hAnsi="宋体" w:eastAsia="宋体" w:cs="宋体"/>
                <w:b/>
                <w:bCs/>
                <w:i w:val="0"/>
                <w:iCs w:val="0"/>
                <w:snapToGrid w:val="0"/>
                <w:color w:val="000000"/>
                <w:kern w:val="0"/>
                <w:sz w:val="10"/>
                <w:szCs w:val="10"/>
                <w:u w:val="none"/>
                <w:lang w:val="en-US" w:eastAsia="zh-CN" w:bidi="ar"/>
              </w:rPr>
              <w:t>307</w:t>
            </w:r>
          </w:p>
        </w:tc>
        <w:tc>
          <w:tcPr>
            <w:tcW w:w="66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0"/>
                <w:szCs w:val="10"/>
                <w:u w:val="none"/>
              </w:rPr>
            </w:pPr>
            <w:r>
              <w:rPr>
                <w:rFonts w:hint="eastAsia" w:ascii="宋体" w:hAnsi="宋体" w:eastAsia="宋体" w:cs="宋体"/>
                <w:b/>
                <w:bCs/>
                <w:i w:val="0"/>
                <w:iCs w:val="0"/>
                <w:snapToGrid w:val="0"/>
                <w:color w:val="000000"/>
                <w:kern w:val="0"/>
                <w:sz w:val="10"/>
                <w:szCs w:val="10"/>
                <w:u w:val="none"/>
                <w:lang w:val="en-US" w:eastAsia="zh-CN" w:bidi="ar"/>
              </w:rPr>
              <w:t>债务利息及费用支出</w:t>
            </w:r>
          </w:p>
        </w:tc>
        <w:tc>
          <w:tcPr>
            <w:tcW w:w="7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30101</w:t>
            </w:r>
          </w:p>
        </w:tc>
        <w:tc>
          <w:tcPr>
            <w:tcW w:w="69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基本工资</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687.67</w:t>
            </w:r>
          </w:p>
        </w:tc>
        <w:tc>
          <w:tcPr>
            <w:tcW w:w="4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30201</w:t>
            </w:r>
          </w:p>
        </w:tc>
        <w:tc>
          <w:tcPr>
            <w:tcW w:w="66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办公费</w:t>
            </w:r>
          </w:p>
        </w:tc>
        <w:tc>
          <w:tcPr>
            <w:tcW w:w="4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44.33</w:t>
            </w:r>
          </w:p>
        </w:tc>
        <w:tc>
          <w:tcPr>
            <w:tcW w:w="47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30701</w:t>
            </w:r>
          </w:p>
        </w:tc>
        <w:tc>
          <w:tcPr>
            <w:tcW w:w="66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国内债务付息</w:t>
            </w:r>
          </w:p>
        </w:tc>
        <w:tc>
          <w:tcPr>
            <w:tcW w:w="7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30102</w:t>
            </w:r>
          </w:p>
        </w:tc>
        <w:tc>
          <w:tcPr>
            <w:tcW w:w="69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津贴补贴</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268.29</w:t>
            </w:r>
          </w:p>
        </w:tc>
        <w:tc>
          <w:tcPr>
            <w:tcW w:w="4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30202</w:t>
            </w:r>
          </w:p>
        </w:tc>
        <w:tc>
          <w:tcPr>
            <w:tcW w:w="66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印刷费</w:t>
            </w:r>
          </w:p>
        </w:tc>
        <w:tc>
          <w:tcPr>
            <w:tcW w:w="4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5.10</w:t>
            </w:r>
          </w:p>
        </w:tc>
        <w:tc>
          <w:tcPr>
            <w:tcW w:w="47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30702</w:t>
            </w:r>
          </w:p>
        </w:tc>
        <w:tc>
          <w:tcPr>
            <w:tcW w:w="66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国外债务付息</w:t>
            </w:r>
          </w:p>
        </w:tc>
        <w:tc>
          <w:tcPr>
            <w:tcW w:w="7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30103</w:t>
            </w:r>
          </w:p>
        </w:tc>
        <w:tc>
          <w:tcPr>
            <w:tcW w:w="69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奖金</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173.02</w:t>
            </w:r>
          </w:p>
        </w:tc>
        <w:tc>
          <w:tcPr>
            <w:tcW w:w="4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30203</w:t>
            </w:r>
          </w:p>
        </w:tc>
        <w:tc>
          <w:tcPr>
            <w:tcW w:w="66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咨询费</w:t>
            </w:r>
          </w:p>
        </w:tc>
        <w:tc>
          <w:tcPr>
            <w:tcW w:w="4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c>
          <w:tcPr>
            <w:tcW w:w="47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30703</w:t>
            </w:r>
          </w:p>
        </w:tc>
        <w:tc>
          <w:tcPr>
            <w:tcW w:w="66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国内债务发行费用</w:t>
            </w:r>
          </w:p>
        </w:tc>
        <w:tc>
          <w:tcPr>
            <w:tcW w:w="7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30106</w:t>
            </w:r>
          </w:p>
        </w:tc>
        <w:tc>
          <w:tcPr>
            <w:tcW w:w="69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伙食补助费</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40.11</w:t>
            </w:r>
          </w:p>
        </w:tc>
        <w:tc>
          <w:tcPr>
            <w:tcW w:w="4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30204</w:t>
            </w:r>
          </w:p>
        </w:tc>
        <w:tc>
          <w:tcPr>
            <w:tcW w:w="66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手续费</w:t>
            </w:r>
          </w:p>
        </w:tc>
        <w:tc>
          <w:tcPr>
            <w:tcW w:w="4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c>
          <w:tcPr>
            <w:tcW w:w="47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30704</w:t>
            </w:r>
          </w:p>
        </w:tc>
        <w:tc>
          <w:tcPr>
            <w:tcW w:w="66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国外债务发行费用</w:t>
            </w:r>
          </w:p>
        </w:tc>
        <w:tc>
          <w:tcPr>
            <w:tcW w:w="7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30107</w:t>
            </w:r>
          </w:p>
        </w:tc>
        <w:tc>
          <w:tcPr>
            <w:tcW w:w="69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绩效工资</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129.88</w:t>
            </w:r>
          </w:p>
        </w:tc>
        <w:tc>
          <w:tcPr>
            <w:tcW w:w="4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30205</w:t>
            </w:r>
          </w:p>
        </w:tc>
        <w:tc>
          <w:tcPr>
            <w:tcW w:w="66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水费</w:t>
            </w:r>
          </w:p>
        </w:tc>
        <w:tc>
          <w:tcPr>
            <w:tcW w:w="4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0.34</w:t>
            </w:r>
          </w:p>
        </w:tc>
        <w:tc>
          <w:tcPr>
            <w:tcW w:w="47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0"/>
                <w:szCs w:val="10"/>
                <w:u w:val="none"/>
              </w:rPr>
            </w:pPr>
            <w:r>
              <w:rPr>
                <w:rFonts w:hint="eastAsia" w:ascii="宋体" w:hAnsi="宋体" w:eastAsia="宋体" w:cs="宋体"/>
                <w:b/>
                <w:bCs/>
                <w:i w:val="0"/>
                <w:iCs w:val="0"/>
                <w:snapToGrid w:val="0"/>
                <w:color w:val="000000"/>
                <w:kern w:val="0"/>
                <w:sz w:val="10"/>
                <w:szCs w:val="10"/>
                <w:u w:val="none"/>
                <w:lang w:val="en-US" w:eastAsia="zh-CN" w:bidi="ar"/>
              </w:rPr>
              <w:t>310</w:t>
            </w:r>
          </w:p>
        </w:tc>
        <w:tc>
          <w:tcPr>
            <w:tcW w:w="66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0"/>
                <w:szCs w:val="10"/>
                <w:u w:val="none"/>
              </w:rPr>
            </w:pPr>
            <w:r>
              <w:rPr>
                <w:rFonts w:hint="eastAsia" w:ascii="宋体" w:hAnsi="宋体" w:eastAsia="宋体" w:cs="宋体"/>
                <w:b/>
                <w:bCs/>
                <w:i w:val="0"/>
                <w:iCs w:val="0"/>
                <w:snapToGrid w:val="0"/>
                <w:color w:val="000000"/>
                <w:kern w:val="0"/>
                <w:sz w:val="10"/>
                <w:szCs w:val="10"/>
                <w:u w:val="none"/>
                <w:lang w:val="en-US" w:eastAsia="zh-CN" w:bidi="ar"/>
              </w:rPr>
              <w:t>资本性支出</w:t>
            </w:r>
          </w:p>
        </w:tc>
        <w:tc>
          <w:tcPr>
            <w:tcW w:w="7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30108</w:t>
            </w:r>
          </w:p>
        </w:tc>
        <w:tc>
          <w:tcPr>
            <w:tcW w:w="69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机关事业单位基本养老保险缴费</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155.74</w:t>
            </w:r>
          </w:p>
        </w:tc>
        <w:tc>
          <w:tcPr>
            <w:tcW w:w="4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30206</w:t>
            </w:r>
          </w:p>
        </w:tc>
        <w:tc>
          <w:tcPr>
            <w:tcW w:w="66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电费</w:t>
            </w:r>
          </w:p>
        </w:tc>
        <w:tc>
          <w:tcPr>
            <w:tcW w:w="4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3.30</w:t>
            </w:r>
          </w:p>
        </w:tc>
        <w:tc>
          <w:tcPr>
            <w:tcW w:w="47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31001</w:t>
            </w:r>
          </w:p>
        </w:tc>
        <w:tc>
          <w:tcPr>
            <w:tcW w:w="66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房屋建筑物购建</w:t>
            </w:r>
          </w:p>
        </w:tc>
        <w:tc>
          <w:tcPr>
            <w:tcW w:w="7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30109</w:t>
            </w:r>
          </w:p>
        </w:tc>
        <w:tc>
          <w:tcPr>
            <w:tcW w:w="69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职业年金缴费</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46.17</w:t>
            </w:r>
          </w:p>
        </w:tc>
        <w:tc>
          <w:tcPr>
            <w:tcW w:w="4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30207</w:t>
            </w:r>
          </w:p>
        </w:tc>
        <w:tc>
          <w:tcPr>
            <w:tcW w:w="66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邮电费</w:t>
            </w:r>
          </w:p>
        </w:tc>
        <w:tc>
          <w:tcPr>
            <w:tcW w:w="4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5.06</w:t>
            </w:r>
          </w:p>
        </w:tc>
        <w:tc>
          <w:tcPr>
            <w:tcW w:w="47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31002</w:t>
            </w:r>
          </w:p>
        </w:tc>
        <w:tc>
          <w:tcPr>
            <w:tcW w:w="66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办公设备购置</w:t>
            </w:r>
          </w:p>
        </w:tc>
        <w:tc>
          <w:tcPr>
            <w:tcW w:w="7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30110</w:t>
            </w:r>
          </w:p>
        </w:tc>
        <w:tc>
          <w:tcPr>
            <w:tcW w:w="69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职工基本医疗保险缴费</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81.29</w:t>
            </w:r>
          </w:p>
        </w:tc>
        <w:tc>
          <w:tcPr>
            <w:tcW w:w="4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30208</w:t>
            </w:r>
          </w:p>
        </w:tc>
        <w:tc>
          <w:tcPr>
            <w:tcW w:w="66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取暖费</w:t>
            </w:r>
          </w:p>
        </w:tc>
        <w:tc>
          <w:tcPr>
            <w:tcW w:w="4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c>
          <w:tcPr>
            <w:tcW w:w="47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31003</w:t>
            </w:r>
          </w:p>
        </w:tc>
        <w:tc>
          <w:tcPr>
            <w:tcW w:w="66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专用设备购置</w:t>
            </w:r>
          </w:p>
        </w:tc>
        <w:tc>
          <w:tcPr>
            <w:tcW w:w="7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30111</w:t>
            </w:r>
          </w:p>
        </w:tc>
        <w:tc>
          <w:tcPr>
            <w:tcW w:w="69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公务员医疗补助缴款</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c>
          <w:tcPr>
            <w:tcW w:w="4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30209</w:t>
            </w:r>
          </w:p>
        </w:tc>
        <w:tc>
          <w:tcPr>
            <w:tcW w:w="66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物业管理费</w:t>
            </w:r>
          </w:p>
        </w:tc>
        <w:tc>
          <w:tcPr>
            <w:tcW w:w="4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c>
          <w:tcPr>
            <w:tcW w:w="47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31005</w:t>
            </w:r>
          </w:p>
        </w:tc>
        <w:tc>
          <w:tcPr>
            <w:tcW w:w="66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基础设施建设</w:t>
            </w:r>
          </w:p>
        </w:tc>
        <w:tc>
          <w:tcPr>
            <w:tcW w:w="7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30112</w:t>
            </w:r>
          </w:p>
        </w:tc>
        <w:tc>
          <w:tcPr>
            <w:tcW w:w="69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其他社会保障缴费</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11.39</w:t>
            </w:r>
          </w:p>
        </w:tc>
        <w:tc>
          <w:tcPr>
            <w:tcW w:w="4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30211</w:t>
            </w:r>
          </w:p>
        </w:tc>
        <w:tc>
          <w:tcPr>
            <w:tcW w:w="66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差旅费</w:t>
            </w:r>
          </w:p>
        </w:tc>
        <w:tc>
          <w:tcPr>
            <w:tcW w:w="4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0.52</w:t>
            </w:r>
          </w:p>
        </w:tc>
        <w:tc>
          <w:tcPr>
            <w:tcW w:w="47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31006</w:t>
            </w:r>
          </w:p>
        </w:tc>
        <w:tc>
          <w:tcPr>
            <w:tcW w:w="66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大型修缮</w:t>
            </w:r>
          </w:p>
        </w:tc>
        <w:tc>
          <w:tcPr>
            <w:tcW w:w="7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30113</w:t>
            </w:r>
          </w:p>
        </w:tc>
        <w:tc>
          <w:tcPr>
            <w:tcW w:w="69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住房公积金</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175.27</w:t>
            </w:r>
          </w:p>
        </w:tc>
        <w:tc>
          <w:tcPr>
            <w:tcW w:w="4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30212</w:t>
            </w:r>
          </w:p>
        </w:tc>
        <w:tc>
          <w:tcPr>
            <w:tcW w:w="66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因公出国（境）费用</w:t>
            </w:r>
          </w:p>
        </w:tc>
        <w:tc>
          <w:tcPr>
            <w:tcW w:w="4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c>
          <w:tcPr>
            <w:tcW w:w="47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31007</w:t>
            </w:r>
          </w:p>
        </w:tc>
        <w:tc>
          <w:tcPr>
            <w:tcW w:w="66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信息网络及软件购置更新</w:t>
            </w:r>
          </w:p>
        </w:tc>
        <w:tc>
          <w:tcPr>
            <w:tcW w:w="7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30114</w:t>
            </w:r>
          </w:p>
        </w:tc>
        <w:tc>
          <w:tcPr>
            <w:tcW w:w="69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医疗费</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c>
          <w:tcPr>
            <w:tcW w:w="4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30213</w:t>
            </w:r>
          </w:p>
        </w:tc>
        <w:tc>
          <w:tcPr>
            <w:tcW w:w="66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维修（护）费</w:t>
            </w:r>
          </w:p>
        </w:tc>
        <w:tc>
          <w:tcPr>
            <w:tcW w:w="4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7.99</w:t>
            </w:r>
          </w:p>
        </w:tc>
        <w:tc>
          <w:tcPr>
            <w:tcW w:w="47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31008</w:t>
            </w:r>
          </w:p>
        </w:tc>
        <w:tc>
          <w:tcPr>
            <w:tcW w:w="66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物资储备</w:t>
            </w:r>
          </w:p>
        </w:tc>
        <w:tc>
          <w:tcPr>
            <w:tcW w:w="7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30199</w:t>
            </w:r>
          </w:p>
        </w:tc>
        <w:tc>
          <w:tcPr>
            <w:tcW w:w="69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其他工资福利支出</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22.57</w:t>
            </w:r>
          </w:p>
        </w:tc>
        <w:tc>
          <w:tcPr>
            <w:tcW w:w="4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30214</w:t>
            </w:r>
          </w:p>
        </w:tc>
        <w:tc>
          <w:tcPr>
            <w:tcW w:w="66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租赁费</w:t>
            </w:r>
          </w:p>
        </w:tc>
        <w:tc>
          <w:tcPr>
            <w:tcW w:w="4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6.40</w:t>
            </w:r>
          </w:p>
        </w:tc>
        <w:tc>
          <w:tcPr>
            <w:tcW w:w="47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31009</w:t>
            </w:r>
          </w:p>
        </w:tc>
        <w:tc>
          <w:tcPr>
            <w:tcW w:w="66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土地补偿</w:t>
            </w:r>
          </w:p>
        </w:tc>
        <w:tc>
          <w:tcPr>
            <w:tcW w:w="7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0"/>
                <w:szCs w:val="10"/>
                <w:u w:val="none"/>
              </w:rPr>
            </w:pPr>
            <w:r>
              <w:rPr>
                <w:rFonts w:hint="eastAsia" w:ascii="宋体" w:hAnsi="宋体" w:eastAsia="宋体" w:cs="宋体"/>
                <w:b/>
                <w:bCs/>
                <w:i w:val="0"/>
                <w:iCs w:val="0"/>
                <w:snapToGrid w:val="0"/>
                <w:color w:val="000000"/>
                <w:kern w:val="0"/>
                <w:sz w:val="10"/>
                <w:szCs w:val="10"/>
                <w:u w:val="none"/>
                <w:lang w:val="en-US" w:eastAsia="zh-CN" w:bidi="ar"/>
              </w:rPr>
              <w:t>303</w:t>
            </w:r>
          </w:p>
        </w:tc>
        <w:tc>
          <w:tcPr>
            <w:tcW w:w="69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0"/>
                <w:szCs w:val="10"/>
                <w:u w:val="none"/>
              </w:rPr>
            </w:pPr>
            <w:r>
              <w:rPr>
                <w:rFonts w:hint="eastAsia" w:ascii="宋体" w:hAnsi="宋体" w:eastAsia="宋体" w:cs="宋体"/>
                <w:b/>
                <w:bCs/>
                <w:i w:val="0"/>
                <w:iCs w:val="0"/>
                <w:snapToGrid w:val="0"/>
                <w:color w:val="000000"/>
                <w:kern w:val="0"/>
                <w:sz w:val="10"/>
                <w:szCs w:val="10"/>
                <w:u w:val="none"/>
                <w:lang w:val="en-US" w:eastAsia="zh-CN" w:bidi="ar"/>
              </w:rPr>
              <w:t>对个人和家庭的补助</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12.45</w:t>
            </w:r>
          </w:p>
        </w:tc>
        <w:tc>
          <w:tcPr>
            <w:tcW w:w="4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30215</w:t>
            </w:r>
          </w:p>
        </w:tc>
        <w:tc>
          <w:tcPr>
            <w:tcW w:w="66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会议费</w:t>
            </w:r>
          </w:p>
        </w:tc>
        <w:tc>
          <w:tcPr>
            <w:tcW w:w="4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0.52</w:t>
            </w:r>
          </w:p>
        </w:tc>
        <w:tc>
          <w:tcPr>
            <w:tcW w:w="47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31010</w:t>
            </w:r>
          </w:p>
        </w:tc>
        <w:tc>
          <w:tcPr>
            <w:tcW w:w="66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安置补助</w:t>
            </w:r>
          </w:p>
        </w:tc>
        <w:tc>
          <w:tcPr>
            <w:tcW w:w="7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30301</w:t>
            </w:r>
          </w:p>
        </w:tc>
        <w:tc>
          <w:tcPr>
            <w:tcW w:w="69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离休费</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c>
          <w:tcPr>
            <w:tcW w:w="4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30216</w:t>
            </w:r>
          </w:p>
        </w:tc>
        <w:tc>
          <w:tcPr>
            <w:tcW w:w="66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培训费</w:t>
            </w:r>
          </w:p>
        </w:tc>
        <w:tc>
          <w:tcPr>
            <w:tcW w:w="4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4.10</w:t>
            </w:r>
          </w:p>
        </w:tc>
        <w:tc>
          <w:tcPr>
            <w:tcW w:w="47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310111</w:t>
            </w:r>
          </w:p>
        </w:tc>
        <w:tc>
          <w:tcPr>
            <w:tcW w:w="66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地上附着物和青苗补偿</w:t>
            </w:r>
          </w:p>
        </w:tc>
        <w:tc>
          <w:tcPr>
            <w:tcW w:w="7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30302</w:t>
            </w:r>
          </w:p>
        </w:tc>
        <w:tc>
          <w:tcPr>
            <w:tcW w:w="69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退休费</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c>
          <w:tcPr>
            <w:tcW w:w="4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30217</w:t>
            </w:r>
          </w:p>
        </w:tc>
        <w:tc>
          <w:tcPr>
            <w:tcW w:w="66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公务接待费</w:t>
            </w:r>
          </w:p>
        </w:tc>
        <w:tc>
          <w:tcPr>
            <w:tcW w:w="4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2.69</w:t>
            </w:r>
          </w:p>
        </w:tc>
        <w:tc>
          <w:tcPr>
            <w:tcW w:w="47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31012</w:t>
            </w:r>
          </w:p>
        </w:tc>
        <w:tc>
          <w:tcPr>
            <w:tcW w:w="66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拆迁补偿</w:t>
            </w:r>
          </w:p>
        </w:tc>
        <w:tc>
          <w:tcPr>
            <w:tcW w:w="7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30303</w:t>
            </w:r>
          </w:p>
        </w:tc>
        <w:tc>
          <w:tcPr>
            <w:tcW w:w="69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退职（役）费</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c>
          <w:tcPr>
            <w:tcW w:w="4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30218</w:t>
            </w:r>
          </w:p>
        </w:tc>
        <w:tc>
          <w:tcPr>
            <w:tcW w:w="66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专用材料费</w:t>
            </w:r>
          </w:p>
        </w:tc>
        <w:tc>
          <w:tcPr>
            <w:tcW w:w="4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c>
          <w:tcPr>
            <w:tcW w:w="47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31013</w:t>
            </w:r>
          </w:p>
        </w:tc>
        <w:tc>
          <w:tcPr>
            <w:tcW w:w="66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公务用车购置</w:t>
            </w:r>
          </w:p>
        </w:tc>
        <w:tc>
          <w:tcPr>
            <w:tcW w:w="7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30304</w:t>
            </w:r>
          </w:p>
        </w:tc>
        <w:tc>
          <w:tcPr>
            <w:tcW w:w="69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抚恤金</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c>
          <w:tcPr>
            <w:tcW w:w="4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30224</w:t>
            </w:r>
          </w:p>
        </w:tc>
        <w:tc>
          <w:tcPr>
            <w:tcW w:w="66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被装购置费</w:t>
            </w:r>
          </w:p>
        </w:tc>
        <w:tc>
          <w:tcPr>
            <w:tcW w:w="4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1.39</w:t>
            </w:r>
          </w:p>
        </w:tc>
        <w:tc>
          <w:tcPr>
            <w:tcW w:w="47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31019</w:t>
            </w:r>
          </w:p>
        </w:tc>
        <w:tc>
          <w:tcPr>
            <w:tcW w:w="66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其他交通工具购置</w:t>
            </w:r>
          </w:p>
        </w:tc>
        <w:tc>
          <w:tcPr>
            <w:tcW w:w="7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30305</w:t>
            </w:r>
          </w:p>
        </w:tc>
        <w:tc>
          <w:tcPr>
            <w:tcW w:w="69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生活补贴</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12.45</w:t>
            </w:r>
          </w:p>
        </w:tc>
        <w:tc>
          <w:tcPr>
            <w:tcW w:w="4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30225</w:t>
            </w:r>
          </w:p>
        </w:tc>
        <w:tc>
          <w:tcPr>
            <w:tcW w:w="66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专用燃料费</w:t>
            </w:r>
          </w:p>
        </w:tc>
        <w:tc>
          <w:tcPr>
            <w:tcW w:w="4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c>
          <w:tcPr>
            <w:tcW w:w="47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31021</w:t>
            </w:r>
          </w:p>
        </w:tc>
        <w:tc>
          <w:tcPr>
            <w:tcW w:w="66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文物和陈列品购置</w:t>
            </w:r>
          </w:p>
        </w:tc>
        <w:tc>
          <w:tcPr>
            <w:tcW w:w="7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30306</w:t>
            </w:r>
          </w:p>
        </w:tc>
        <w:tc>
          <w:tcPr>
            <w:tcW w:w="69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救济费</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c>
          <w:tcPr>
            <w:tcW w:w="4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30226</w:t>
            </w:r>
          </w:p>
        </w:tc>
        <w:tc>
          <w:tcPr>
            <w:tcW w:w="66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劳务费</w:t>
            </w:r>
          </w:p>
        </w:tc>
        <w:tc>
          <w:tcPr>
            <w:tcW w:w="4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4.37</w:t>
            </w:r>
          </w:p>
        </w:tc>
        <w:tc>
          <w:tcPr>
            <w:tcW w:w="47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31022</w:t>
            </w:r>
          </w:p>
        </w:tc>
        <w:tc>
          <w:tcPr>
            <w:tcW w:w="66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无形资产购置</w:t>
            </w:r>
          </w:p>
        </w:tc>
        <w:tc>
          <w:tcPr>
            <w:tcW w:w="7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30307</w:t>
            </w:r>
          </w:p>
        </w:tc>
        <w:tc>
          <w:tcPr>
            <w:tcW w:w="69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医疗费补助</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c>
          <w:tcPr>
            <w:tcW w:w="4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30227</w:t>
            </w:r>
          </w:p>
        </w:tc>
        <w:tc>
          <w:tcPr>
            <w:tcW w:w="66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委托业务费</w:t>
            </w:r>
          </w:p>
        </w:tc>
        <w:tc>
          <w:tcPr>
            <w:tcW w:w="4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c>
          <w:tcPr>
            <w:tcW w:w="47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31099</w:t>
            </w:r>
          </w:p>
        </w:tc>
        <w:tc>
          <w:tcPr>
            <w:tcW w:w="66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其他资本性支出</w:t>
            </w:r>
          </w:p>
        </w:tc>
        <w:tc>
          <w:tcPr>
            <w:tcW w:w="7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30308</w:t>
            </w:r>
          </w:p>
        </w:tc>
        <w:tc>
          <w:tcPr>
            <w:tcW w:w="69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助学金</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c>
          <w:tcPr>
            <w:tcW w:w="4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30228</w:t>
            </w:r>
          </w:p>
        </w:tc>
        <w:tc>
          <w:tcPr>
            <w:tcW w:w="66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工会经费</w:t>
            </w:r>
          </w:p>
        </w:tc>
        <w:tc>
          <w:tcPr>
            <w:tcW w:w="4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119.13</w:t>
            </w:r>
          </w:p>
        </w:tc>
        <w:tc>
          <w:tcPr>
            <w:tcW w:w="47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0"/>
                <w:szCs w:val="10"/>
                <w:u w:val="none"/>
              </w:rPr>
            </w:pPr>
            <w:r>
              <w:rPr>
                <w:rFonts w:hint="eastAsia" w:ascii="宋体" w:hAnsi="宋体" w:eastAsia="宋体" w:cs="宋体"/>
                <w:b/>
                <w:bCs/>
                <w:i w:val="0"/>
                <w:iCs w:val="0"/>
                <w:snapToGrid w:val="0"/>
                <w:color w:val="000000"/>
                <w:kern w:val="0"/>
                <w:sz w:val="10"/>
                <w:szCs w:val="10"/>
                <w:u w:val="none"/>
                <w:lang w:val="en-US" w:eastAsia="zh-CN" w:bidi="ar"/>
              </w:rPr>
              <w:t>312</w:t>
            </w:r>
          </w:p>
        </w:tc>
        <w:tc>
          <w:tcPr>
            <w:tcW w:w="66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0"/>
                <w:szCs w:val="10"/>
                <w:u w:val="none"/>
              </w:rPr>
            </w:pPr>
            <w:r>
              <w:rPr>
                <w:rFonts w:hint="eastAsia" w:ascii="宋体" w:hAnsi="宋体" w:eastAsia="宋体" w:cs="宋体"/>
                <w:b/>
                <w:bCs/>
                <w:i w:val="0"/>
                <w:iCs w:val="0"/>
                <w:snapToGrid w:val="0"/>
                <w:color w:val="000000"/>
                <w:kern w:val="0"/>
                <w:sz w:val="10"/>
                <w:szCs w:val="10"/>
                <w:u w:val="none"/>
                <w:lang w:val="en-US" w:eastAsia="zh-CN" w:bidi="ar"/>
              </w:rPr>
              <w:t>对企业补助</w:t>
            </w:r>
          </w:p>
        </w:tc>
        <w:tc>
          <w:tcPr>
            <w:tcW w:w="7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30309</w:t>
            </w:r>
          </w:p>
        </w:tc>
        <w:tc>
          <w:tcPr>
            <w:tcW w:w="69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奖励金</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c>
          <w:tcPr>
            <w:tcW w:w="4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30229</w:t>
            </w:r>
          </w:p>
        </w:tc>
        <w:tc>
          <w:tcPr>
            <w:tcW w:w="66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福利费</w:t>
            </w:r>
          </w:p>
        </w:tc>
        <w:tc>
          <w:tcPr>
            <w:tcW w:w="4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c>
          <w:tcPr>
            <w:tcW w:w="47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31201</w:t>
            </w:r>
          </w:p>
        </w:tc>
        <w:tc>
          <w:tcPr>
            <w:tcW w:w="66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资本金注入</w:t>
            </w:r>
          </w:p>
        </w:tc>
        <w:tc>
          <w:tcPr>
            <w:tcW w:w="7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30310</w:t>
            </w:r>
          </w:p>
        </w:tc>
        <w:tc>
          <w:tcPr>
            <w:tcW w:w="69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个人农业生产补贴</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c>
          <w:tcPr>
            <w:tcW w:w="4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30231</w:t>
            </w:r>
          </w:p>
        </w:tc>
        <w:tc>
          <w:tcPr>
            <w:tcW w:w="66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公务用车运行维护费</w:t>
            </w:r>
          </w:p>
        </w:tc>
        <w:tc>
          <w:tcPr>
            <w:tcW w:w="4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c>
          <w:tcPr>
            <w:tcW w:w="47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31203</w:t>
            </w:r>
          </w:p>
        </w:tc>
        <w:tc>
          <w:tcPr>
            <w:tcW w:w="66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政府投资基金股权投资</w:t>
            </w:r>
          </w:p>
        </w:tc>
        <w:tc>
          <w:tcPr>
            <w:tcW w:w="7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30311</w:t>
            </w:r>
          </w:p>
        </w:tc>
        <w:tc>
          <w:tcPr>
            <w:tcW w:w="69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代缴社会保险费</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c>
          <w:tcPr>
            <w:tcW w:w="4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30239</w:t>
            </w:r>
          </w:p>
        </w:tc>
        <w:tc>
          <w:tcPr>
            <w:tcW w:w="66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其他交通费用</w:t>
            </w:r>
          </w:p>
        </w:tc>
        <w:tc>
          <w:tcPr>
            <w:tcW w:w="4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1.40</w:t>
            </w:r>
          </w:p>
        </w:tc>
        <w:tc>
          <w:tcPr>
            <w:tcW w:w="47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31204</w:t>
            </w:r>
          </w:p>
        </w:tc>
        <w:tc>
          <w:tcPr>
            <w:tcW w:w="66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费用补贴</w:t>
            </w:r>
          </w:p>
        </w:tc>
        <w:tc>
          <w:tcPr>
            <w:tcW w:w="7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99"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30399</w:t>
            </w:r>
          </w:p>
        </w:tc>
        <w:tc>
          <w:tcPr>
            <w:tcW w:w="69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其他对个人和家庭的补助支出</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c>
          <w:tcPr>
            <w:tcW w:w="4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30240</w:t>
            </w:r>
          </w:p>
        </w:tc>
        <w:tc>
          <w:tcPr>
            <w:tcW w:w="66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税金及附加费用</w:t>
            </w:r>
          </w:p>
        </w:tc>
        <w:tc>
          <w:tcPr>
            <w:tcW w:w="4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0.04</w:t>
            </w:r>
          </w:p>
        </w:tc>
        <w:tc>
          <w:tcPr>
            <w:tcW w:w="47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31205</w:t>
            </w:r>
          </w:p>
        </w:tc>
        <w:tc>
          <w:tcPr>
            <w:tcW w:w="66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利息补贴</w:t>
            </w:r>
          </w:p>
        </w:tc>
        <w:tc>
          <w:tcPr>
            <w:tcW w:w="7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99"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0"/>
                <w:szCs w:val="10"/>
                <w:u w:val="none"/>
              </w:rPr>
            </w:pPr>
          </w:p>
        </w:tc>
        <w:tc>
          <w:tcPr>
            <w:tcW w:w="698" w:type="pct"/>
            <w:tcBorders>
              <w:top w:val="nil"/>
              <w:left w:val="nil"/>
              <w:bottom w:val="single" w:color="000000" w:sz="4" w:space="0"/>
              <w:right w:val="single" w:color="000000" w:sz="4" w:space="0"/>
            </w:tcBorders>
            <w:shd w:val="clear" w:color="FFFFFF" w:fill="C0C0C0"/>
            <w:vAlign w:val="center"/>
          </w:tcPr>
          <w:p>
            <w:pPr>
              <w:jc w:val="left"/>
              <w:rPr>
                <w:rFonts w:hint="eastAsia" w:ascii="宋体" w:hAnsi="宋体" w:eastAsia="宋体" w:cs="宋体"/>
                <w:i w:val="0"/>
                <w:iCs w:val="0"/>
                <w:color w:val="000000"/>
                <w:sz w:val="10"/>
                <w:szCs w:val="10"/>
                <w:u w:val="none"/>
              </w:rPr>
            </w:pPr>
          </w:p>
        </w:tc>
        <w:tc>
          <w:tcPr>
            <w:tcW w:w="50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0"/>
                <w:szCs w:val="10"/>
                <w:u w:val="none"/>
              </w:rPr>
            </w:pPr>
          </w:p>
        </w:tc>
        <w:tc>
          <w:tcPr>
            <w:tcW w:w="4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30299</w:t>
            </w:r>
          </w:p>
        </w:tc>
        <w:tc>
          <w:tcPr>
            <w:tcW w:w="66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其他商品和服务支出</w:t>
            </w:r>
          </w:p>
        </w:tc>
        <w:tc>
          <w:tcPr>
            <w:tcW w:w="4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58.51</w:t>
            </w:r>
          </w:p>
        </w:tc>
        <w:tc>
          <w:tcPr>
            <w:tcW w:w="47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31299</w:t>
            </w:r>
          </w:p>
        </w:tc>
        <w:tc>
          <w:tcPr>
            <w:tcW w:w="66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其他对企业补助</w:t>
            </w:r>
          </w:p>
        </w:tc>
        <w:tc>
          <w:tcPr>
            <w:tcW w:w="7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99"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0"/>
                <w:szCs w:val="10"/>
                <w:u w:val="none"/>
              </w:rPr>
            </w:pPr>
          </w:p>
        </w:tc>
        <w:tc>
          <w:tcPr>
            <w:tcW w:w="698" w:type="pct"/>
            <w:tcBorders>
              <w:top w:val="nil"/>
              <w:left w:val="nil"/>
              <w:bottom w:val="single" w:color="000000" w:sz="4" w:space="0"/>
              <w:right w:val="single" w:color="000000" w:sz="4" w:space="0"/>
            </w:tcBorders>
            <w:shd w:val="clear" w:color="FFFFFF" w:fill="C0C0C0"/>
            <w:vAlign w:val="center"/>
          </w:tcPr>
          <w:p>
            <w:pPr>
              <w:jc w:val="left"/>
              <w:rPr>
                <w:rFonts w:hint="eastAsia" w:ascii="宋体" w:hAnsi="宋体" w:eastAsia="宋体" w:cs="宋体"/>
                <w:i w:val="0"/>
                <w:iCs w:val="0"/>
                <w:color w:val="000000"/>
                <w:sz w:val="10"/>
                <w:szCs w:val="10"/>
                <w:u w:val="none"/>
              </w:rPr>
            </w:pPr>
          </w:p>
        </w:tc>
        <w:tc>
          <w:tcPr>
            <w:tcW w:w="50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0"/>
                <w:szCs w:val="10"/>
                <w:u w:val="none"/>
              </w:rPr>
            </w:pPr>
          </w:p>
        </w:tc>
        <w:tc>
          <w:tcPr>
            <w:tcW w:w="447" w:type="pct"/>
            <w:tcBorders>
              <w:top w:val="nil"/>
              <w:left w:val="nil"/>
              <w:bottom w:val="single" w:color="000000" w:sz="4" w:space="0"/>
              <w:right w:val="single" w:color="000000" w:sz="4" w:space="0"/>
            </w:tcBorders>
            <w:shd w:val="clear" w:color="FFFFFF" w:fill="C0C0C0"/>
            <w:noWrap/>
            <w:vAlign w:val="bottom"/>
          </w:tcPr>
          <w:p>
            <w:pPr>
              <w:jc w:val="left"/>
              <w:rPr>
                <w:rFonts w:hint="default" w:ascii="Arial" w:hAnsi="Arial" w:cs="Arial"/>
                <w:i w:val="0"/>
                <w:iCs w:val="0"/>
                <w:color w:val="000000"/>
                <w:sz w:val="6"/>
                <w:szCs w:val="6"/>
                <w:u w:val="none"/>
              </w:rPr>
            </w:pPr>
          </w:p>
        </w:tc>
        <w:tc>
          <w:tcPr>
            <w:tcW w:w="668" w:type="pct"/>
            <w:tcBorders>
              <w:top w:val="nil"/>
              <w:left w:val="nil"/>
              <w:bottom w:val="single" w:color="000000" w:sz="4" w:space="0"/>
              <w:right w:val="single" w:color="000000" w:sz="4" w:space="0"/>
            </w:tcBorders>
            <w:shd w:val="clear" w:color="FFFFFF" w:fill="C0C0C0"/>
            <w:noWrap/>
            <w:vAlign w:val="bottom"/>
          </w:tcPr>
          <w:p>
            <w:pPr>
              <w:jc w:val="left"/>
              <w:rPr>
                <w:rFonts w:hint="default" w:ascii="Arial" w:hAnsi="Arial" w:cs="Arial"/>
                <w:i w:val="0"/>
                <w:iCs w:val="0"/>
                <w:color w:val="000000"/>
                <w:sz w:val="6"/>
                <w:szCs w:val="6"/>
                <w:u w:val="none"/>
              </w:rPr>
            </w:pPr>
          </w:p>
        </w:tc>
        <w:tc>
          <w:tcPr>
            <w:tcW w:w="401"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0"/>
                <w:szCs w:val="10"/>
                <w:u w:val="none"/>
              </w:rPr>
            </w:pPr>
          </w:p>
        </w:tc>
        <w:tc>
          <w:tcPr>
            <w:tcW w:w="47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0"/>
                <w:szCs w:val="10"/>
                <w:u w:val="none"/>
              </w:rPr>
            </w:pPr>
            <w:r>
              <w:rPr>
                <w:rFonts w:hint="eastAsia" w:ascii="宋体" w:hAnsi="宋体" w:eastAsia="宋体" w:cs="宋体"/>
                <w:b/>
                <w:bCs/>
                <w:i w:val="0"/>
                <w:iCs w:val="0"/>
                <w:snapToGrid w:val="0"/>
                <w:color w:val="000000"/>
                <w:kern w:val="0"/>
                <w:sz w:val="10"/>
                <w:szCs w:val="10"/>
                <w:u w:val="none"/>
                <w:lang w:val="en-US" w:eastAsia="zh-CN" w:bidi="ar"/>
              </w:rPr>
              <w:t>399</w:t>
            </w:r>
          </w:p>
        </w:tc>
        <w:tc>
          <w:tcPr>
            <w:tcW w:w="66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0"/>
                <w:szCs w:val="10"/>
                <w:u w:val="none"/>
              </w:rPr>
            </w:pPr>
            <w:r>
              <w:rPr>
                <w:rFonts w:hint="eastAsia" w:ascii="宋体" w:hAnsi="宋体" w:eastAsia="宋体" w:cs="宋体"/>
                <w:b/>
                <w:bCs/>
                <w:i w:val="0"/>
                <w:iCs w:val="0"/>
                <w:snapToGrid w:val="0"/>
                <w:color w:val="000000"/>
                <w:kern w:val="0"/>
                <w:sz w:val="10"/>
                <w:szCs w:val="10"/>
                <w:u w:val="none"/>
                <w:lang w:val="en-US" w:eastAsia="zh-CN" w:bidi="ar"/>
              </w:rPr>
              <w:t>其他支出</w:t>
            </w:r>
          </w:p>
        </w:tc>
        <w:tc>
          <w:tcPr>
            <w:tcW w:w="7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99"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0"/>
                <w:szCs w:val="10"/>
                <w:u w:val="none"/>
              </w:rPr>
            </w:pPr>
          </w:p>
        </w:tc>
        <w:tc>
          <w:tcPr>
            <w:tcW w:w="698" w:type="pct"/>
            <w:tcBorders>
              <w:top w:val="nil"/>
              <w:left w:val="nil"/>
              <w:bottom w:val="single" w:color="000000" w:sz="4" w:space="0"/>
              <w:right w:val="single" w:color="000000" w:sz="4" w:space="0"/>
            </w:tcBorders>
            <w:shd w:val="clear" w:color="FFFFFF" w:fill="C0C0C0"/>
            <w:vAlign w:val="center"/>
          </w:tcPr>
          <w:p>
            <w:pPr>
              <w:jc w:val="left"/>
              <w:rPr>
                <w:rFonts w:hint="eastAsia" w:ascii="宋体" w:hAnsi="宋体" w:eastAsia="宋体" w:cs="宋体"/>
                <w:i w:val="0"/>
                <w:iCs w:val="0"/>
                <w:color w:val="000000"/>
                <w:sz w:val="10"/>
                <w:szCs w:val="10"/>
                <w:u w:val="none"/>
              </w:rPr>
            </w:pPr>
          </w:p>
        </w:tc>
        <w:tc>
          <w:tcPr>
            <w:tcW w:w="50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0"/>
                <w:szCs w:val="10"/>
                <w:u w:val="none"/>
              </w:rPr>
            </w:pPr>
          </w:p>
        </w:tc>
        <w:tc>
          <w:tcPr>
            <w:tcW w:w="447" w:type="pct"/>
            <w:tcBorders>
              <w:top w:val="nil"/>
              <w:left w:val="nil"/>
              <w:bottom w:val="single" w:color="000000" w:sz="4" w:space="0"/>
              <w:right w:val="single" w:color="000000" w:sz="4" w:space="0"/>
            </w:tcBorders>
            <w:shd w:val="clear" w:color="FFFFFF" w:fill="C0C0C0"/>
            <w:noWrap/>
            <w:vAlign w:val="bottom"/>
          </w:tcPr>
          <w:p>
            <w:pPr>
              <w:jc w:val="left"/>
              <w:rPr>
                <w:rFonts w:hint="default" w:ascii="Arial" w:hAnsi="Arial" w:cs="Arial"/>
                <w:i w:val="0"/>
                <w:iCs w:val="0"/>
                <w:color w:val="000000"/>
                <w:sz w:val="6"/>
                <w:szCs w:val="6"/>
                <w:u w:val="none"/>
              </w:rPr>
            </w:pPr>
          </w:p>
        </w:tc>
        <w:tc>
          <w:tcPr>
            <w:tcW w:w="668" w:type="pct"/>
            <w:tcBorders>
              <w:top w:val="nil"/>
              <w:left w:val="nil"/>
              <w:bottom w:val="single" w:color="000000" w:sz="4" w:space="0"/>
              <w:right w:val="single" w:color="000000" w:sz="4" w:space="0"/>
            </w:tcBorders>
            <w:shd w:val="clear" w:color="FFFFFF" w:fill="C0C0C0"/>
            <w:noWrap/>
            <w:vAlign w:val="bottom"/>
          </w:tcPr>
          <w:p>
            <w:pPr>
              <w:jc w:val="left"/>
              <w:rPr>
                <w:rFonts w:hint="default" w:ascii="Arial" w:hAnsi="Arial" w:cs="Arial"/>
                <w:i w:val="0"/>
                <w:iCs w:val="0"/>
                <w:color w:val="000000"/>
                <w:sz w:val="6"/>
                <w:szCs w:val="6"/>
                <w:u w:val="none"/>
              </w:rPr>
            </w:pPr>
          </w:p>
        </w:tc>
        <w:tc>
          <w:tcPr>
            <w:tcW w:w="401"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0"/>
                <w:szCs w:val="10"/>
                <w:u w:val="none"/>
              </w:rPr>
            </w:pPr>
          </w:p>
        </w:tc>
        <w:tc>
          <w:tcPr>
            <w:tcW w:w="47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39907</w:t>
            </w:r>
          </w:p>
        </w:tc>
        <w:tc>
          <w:tcPr>
            <w:tcW w:w="66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国家赔偿费用支出</w:t>
            </w:r>
          </w:p>
        </w:tc>
        <w:tc>
          <w:tcPr>
            <w:tcW w:w="7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399" w:type="pct"/>
            <w:tcBorders>
              <w:top w:val="nil"/>
              <w:left w:val="single" w:color="000000" w:sz="4" w:space="0"/>
              <w:bottom w:val="single" w:color="000000" w:sz="4" w:space="0"/>
              <w:right w:val="single" w:color="000000" w:sz="4" w:space="0"/>
            </w:tcBorders>
            <w:shd w:val="clear" w:color="FFFFFF" w:fill="C0C0C0"/>
            <w:noWrap/>
            <w:vAlign w:val="bottom"/>
          </w:tcPr>
          <w:p>
            <w:pPr>
              <w:jc w:val="left"/>
              <w:rPr>
                <w:rFonts w:hint="default" w:ascii="Arial" w:hAnsi="Arial" w:cs="Arial"/>
                <w:i w:val="0"/>
                <w:iCs w:val="0"/>
                <w:color w:val="000000"/>
                <w:sz w:val="6"/>
                <w:szCs w:val="6"/>
                <w:u w:val="none"/>
              </w:rPr>
            </w:pPr>
          </w:p>
        </w:tc>
        <w:tc>
          <w:tcPr>
            <w:tcW w:w="698" w:type="pct"/>
            <w:tcBorders>
              <w:top w:val="nil"/>
              <w:left w:val="nil"/>
              <w:bottom w:val="single" w:color="000000" w:sz="4" w:space="0"/>
              <w:right w:val="single" w:color="000000" w:sz="4" w:space="0"/>
            </w:tcBorders>
            <w:shd w:val="clear" w:color="FFFFFF" w:fill="C0C0C0"/>
            <w:noWrap/>
            <w:vAlign w:val="bottom"/>
          </w:tcPr>
          <w:p>
            <w:pPr>
              <w:jc w:val="left"/>
              <w:rPr>
                <w:rFonts w:hint="default" w:ascii="Arial" w:hAnsi="Arial" w:cs="Arial"/>
                <w:i w:val="0"/>
                <w:iCs w:val="0"/>
                <w:color w:val="000000"/>
                <w:sz w:val="6"/>
                <w:szCs w:val="6"/>
                <w:u w:val="none"/>
              </w:rPr>
            </w:pPr>
          </w:p>
        </w:tc>
        <w:tc>
          <w:tcPr>
            <w:tcW w:w="50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0"/>
                <w:szCs w:val="10"/>
                <w:u w:val="none"/>
              </w:rPr>
            </w:pPr>
          </w:p>
        </w:tc>
        <w:tc>
          <w:tcPr>
            <w:tcW w:w="447" w:type="pct"/>
            <w:tcBorders>
              <w:top w:val="nil"/>
              <w:left w:val="nil"/>
              <w:bottom w:val="single" w:color="000000" w:sz="4" w:space="0"/>
              <w:right w:val="single" w:color="000000" w:sz="4" w:space="0"/>
            </w:tcBorders>
            <w:shd w:val="clear" w:color="FFFFFF" w:fill="C0C0C0"/>
            <w:noWrap/>
            <w:vAlign w:val="bottom"/>
          </w:tcPr>
          <w:p>
            <w:pPr>
              <w:jc w:val="left"/>
              <w:rPr>
                <w:rFonts w:hint="default" w:ascii="Arial" w:hAnsi="Arial" w:cs="Arial"/>
                <w:i w:val="0"/>
                <w:iCs w:val="0"/>
                <w:color w:val="000000"/>
                <w:sz w:val="6"/>
                <w:szCs w:val="6"/>
                <w:u w:val="none"/>
              </w:rPr>
            </w:pPr>
          </w:p>
        </w:tc>
        <w:tc>
          <w:tcPr>
            <w:tcW w:w="668" w:type="pct"/>
            <w:tcBorders>
              <w:top w:val="nil"/>
              <w:left w:val="nil"/>
              <w:bottom w:val="single" w:color="000000" w:sz="4" w:space="0"/>
              <w:right w:val="single" w:color="000000" w:sz="4" w:space="0"/>
            </w:tcBorders>
            <w:shd w:val="clear" w:color="FFFFFF" w:fill="C0C0C0"/>
            <w:noWrap/>
            <w:vAlign w:val="bottom"/>
          </w:tcPr>
          <w:p>
            <w:pPr>
              <w:jc w:val="left"/>
              <w:rPr>
                <w:rFonts w:hint="default" w:ascii="Arial" w:hAnsi="Arial" w:cs="Arial"/>
                <w:i w:val="0"/>
                <w:iCs w:val="0"/>
                <w:color w:val="000000"/>
                <w:sz w:val="6"/>
                <w:szCs w:val="6"/>
                <w:u w:val="none"/>
              </w:rPr>
            </w:pPr>
          </w:p>
        </w:tc>
        <w:tc>
          <w:tcPr>
            <w:tcW w:w="401"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0"/>
                <w:szCs w:val="10"/>
                <w:u w:val="none"/>
              </w:rPr>
            </w:pPr>
          </w:p>
        </w:tc>
        <w:tc>
          <w:tcPr>
            <w:tcW w:w="47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39908</w:t>
            </w:r>
          </w:p>
        </w:tc>
        <w:tc>
          <w:tcPr>
            <w:tcW w:w="66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对民间非营利组织和群众性自治组织补贴</w:t>
            </w:r>
          </w:p>
        </w:tc>
        <w:tc>
          <w:tcPr>
            <w:tcW w:w="7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99"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0"/>
                <w:szCs w:val="10"/>
                <w:u w:val="none"/>
              </w:rPr>
            </w:pPr>
          </w:p>
        </w:tc>
        <w:tc>
          <w:tcPr>
            <w:tcW w:w="698" w:type="pct"/>
            <w:tcBorders>
              <w:top w:val="nil"/>
              <w:left w:val="nil"/>
              <w:bottom w:val="single" w:color="000000" w:sz="4" w:space="0"/>
              <w:right w:val="single" w:color="000000" w:sz="4" w:space="0"/>
            </w:tcBorders>
            <w:shd w:val="clear" w:color="FFFFFF" w:fill="C0C0C0"/>
            <w:vAlign w:val="center"/>
          </w:tcPr>
          <w:p>
            <w:pPr>
              <w:jc w:val="left"/>
              <w:rPr>
                <w:rFonts w:hint="eastAsia" w:ascii="宋体" w:hAnsi="宋体" w:eastAsia="宋体" w:cs="宋体"/>
                <w:i w:val="0"/>
                <w:iCs w:val="0"/>
                <w:color w:val="000000"/>
                <w:sz w:val="10"/>
                <w:szCs w:val="10"/>
                <w:u w:val="none"/>
              </w:rPr>
            </w:pPr>
          </w:p>
        </w:tc>
        <w:tc>
          <w:tcPr>
            <w:tcW w:w="502"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0"/>
                <w:szCs w:val="10"/>
                <w:u w:val="none"/>
              </w:rPr>
            </w:pPr>
          </w:p>
        </w:tc>
        <w:tc>
          <w:tcPr>
            <w:tcW w:w="447" w:type="pct"/>
            <w:tcBorders>
              <w:top w:val="nil"/>
              <w:left w:val="nil"/>
              <w:bottom w:val="single" w:color="000000" w:sz="4" w:space="0"/>
              <w:right w:val="single" w:color="000000" w:sz="4" w:space="0"/>
            </w:tcBorders>
            <w:shd w:val="clear" w:color="FFFFFF" w:fill="C0C0C0"/>
            <w:noWrap/>
            <w:vAlign w:val="bottom"/>
          </w:tcPr>
          <w:p>
            <w:pPr>
              <w:jc w:val="left"/>
              <w:rPr>
                <w:rFonts w:hint="default" w:ascii="Arial" w:hAnsi="Arial" w:cs="Arial"/>
                <w:i w:val="0"/>
                <w:iCs w:val="0"/>
                <w:color w:val="000000"/>
                <w:sz w:val="6"/>
                <w:szCs w:val="6"/>
                <w:u w:val="none"/>
              </w:rPr>
            </w:pPr>
          </w:p>
        </w:tc>
        <w:tc>
          <w:tcPr>
            <w:tcW w:w="668" w:type="pct"/>
            <w:tcBorders>
              <w:top w:val="nil"/>
              <w:left w:val="nil"/>
              <w:bottom w:val="single" w:color="000000" w:sz="4" w:space="0"/>
              <w:right w:val="single" w:color="000000" w:sz="4" w:space="0"/>
            </w:tcBorders>
            <w:shd w:val="clear" w:color="FFFFFF" w:fill="C0C0C0"/>
            <w:noWrap/>
            <w:vAlign w:val="bottom"/>
          </w:tcPr>
          <w:p>
            <w:pPr>
              <w:jc w:val="left"/>
              <w:rPr>
                <w:rFonts w:hint="default" w:ascii="Arial" w:hAnsi="Arial" w:cs="Arial"/>
                <w:i w:val="0"/>
                <w:iCs w:val="0"/>
                <w:color w:val="000000"/>
                <w:sz w:val="6"/>
                <w:szCs w:val="6"/>
                <w:u w:val="none"/>
              </w:rPr>
            </w:pPr>
          </w:p>
        </w:tc>
        <w:tc>
          <w:tcPr>
            <w:tcW w:w="401"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0"/>
                <w:szCs w:val="10"/>
                <w:u w:val="none"/>
              </w:rPr>
            </w:pPr>
          </w:p>
        </w:tc>
        <w:tc>
          <w:tcPr>
            <w:tcW w:w="47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39909</w:t>
            </w:r>
          </w:p>
        </w:tc>
        <w:tc>
          <w:tcPr>
            <w:tcW w:w="66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经常性赠与</w:t>
            </w:r>
          </w:p>
        </w:tc>
        <w:tc>
          <w:tcPr>
            <w:tcW w:w="7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99"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0"/>
                <w:szCs w:val="10"/>
                <w:u w:val="none"/>
              </w:rPr>
            </w:pPr>
          </w:p>
        </w:tc>
        <w:tc>
          <w:tcPr>
            <w:tcW w:w="698" w:type="pct"/>
            <w:tcBorders>
              <w:top w:val="nil"/>
              <w:left w:val="nil"/>
              <w:bottom w:val="single" w:color="000000" w:sz="4" w:space="0"/>
              <w:right w:val="single" w:color="000000" w:sz="4" w:space="0"/>
            </w:tcBorders>
            <w:shd w:val="clear" w:color="FFFFFF" w:fill="C0C0C0"/>
            <w:vAlign w:val="center"/>
          </w:tcPr>
          <w:p>
            <w:pPr>
              <w:jc w:val="left"/>
              <w:rPr>
                <w:rFonts w:hint="eastAsia" w:ascii="宋体" w:hAnsi="宋体" w:eastAsia="宋体" w:cs="宋体"/>
                <w:i w:val="0"/>
                <w:iCs w:val="0"/>
                <w:color w:val="000000"/>
                <w:sz w:val="10"/>
                <w:szCs w:val="10"/>
                <w:u w:val="none"/>
              </w:rPr>
            </w:pPr>
          </w:p>
        </w:tc>
        <w:tc>
          <w:tcPr>
            <w:tcW w:w="502"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0"/>
                <w:szCs w:val="10"/>
                <w:u w:val="none"/>
              </w:rPr>
            </w:pPr>
          </w:p>
        </w:tc>
        <w:tc>
          <w:tcPr>
            <w:tcW w:w="447" w:type="pct"/>
            <w:tcBorders>
              <w:top w:val="nil"/>
              <w:left w:val="nil"/>
              <w:bottom w:val="single" w:color="000000" w:sz="4" w:space="0"/>
              <w:right w:val="single" w:color="000000" w:sz="4" w:space="0"/>
            </w:tcBorders>
            <w:shd w:val="clear" w:color="FFFFFF" w:fill="C0C0C0"/>
            <w:noWrap/>
            <w:vAlign w:val="bottom"/>
          </w:tcPr>
          <w:p>
            <w:pPr>
              <w:jc w:val="left"/>
              <w:rPr>
                <w:rFonts w:hint="default" w:ascii="Arial" w:hAnsi="Arial" w:cs="Arial"/>
                <w:i w:val="0"/>
                <w:iCs w:val="0"/>
                <w:color w:val="000000"/>
                <w:sz w:val="6"/>
                <w:szCs w:val="6"/>
                <w:u w:val="none"/>
              </w:rPr>
            </w:pPr>
          </w:p>
        </w:tc>
        <w:tc>
          <w:tcPr>
            <w:tcW w:w="668" w:type="pct"/>
            <w:tcBorders>
              <w:top w:val="nil"/>
              <w:left w:val="nil"/>
              <w:bottom w:val="single" w:color="000000" w:sz="4" w:space="0"/>
              <w:right w:val="single" w:color="000000" w:sz="4" w:space="0"/>
            </w:tcBorders>
            <w:shd w:val="clear" w:color="FFFFFF" w:fill="C0C0C0"/>
            <w:noWrap/>
            <w:vAlign w:val="bottom"/>
          </w:tcPr>
          <w:p>
            <w:pPr>
              <w:jc w:val="left"/>
              <w:rPr>
                <w:rFonts w:hint="default" w:ascii="Arial" w:hAnsi="Arial" w:cs="Arial"/>
                <w:i w:val="0"/>
                <w:iCs w:val="0"/>
                <w:color w:val="000000"/>
                <w:sz w:val="6"/>
                <w:szCs w:val="6"/>
                <w:u w:val="none"/>
              </w:rPr>
            </w:pPr>
          </w:p>
        </w:tc>
        <w:tc>
          <w:tcPr>
            <w:tcW w:w="401"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0"/>
                <w:szCs w:val="10"/>
                <w:u w:val="none"/>
              </w:rPr>
            </w:pPr>
          </w:p>
        </w:tc>
        <w:tc>
          <w:tcPr>
            <w:tcW w:w="47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39910</w:t>
            </w:r>
          </w:p>
        </w:tc>
        <w:tc>
          <w:tcPr>
            <w:tcW w:w="66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资本性赠与</w:t>
            </w:r>
          </w:p>
        </w:tc>
        <w:tc>
          <w:tcPr>
            <w:tcW w:w="7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99"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6"/>
                <w:szCs w:val="6"/>
                <w:u w:val="none"/>
              </w:rPr>
            </w:pPr>
          </w:p>
        </w:tc>
        <w:tc>
          <w:tcPr>
            <w:tcW w:w="698" w:type="pct"/>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6"/>
                <w:szCs w:val="6"/>
                <w:u w:val="none"/>
              </w:rPr>
            </w:pPr>
          </w:p>
        </w:tc>
        <w:tc>
          <w:tcPr>
            <w:tcW w:w="502"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6"/>
                <w:szCs w:val="6"/>
                <w:u w:val="none"/>
              </w:rPr>
            </w:pPr>
          </w:p>
        </w:tc>
        <w:tc>
          <w:tcPr>
            <w:tcW w:w="447" w:type="pct"/>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6"/>
                <w:szCs w:val="6"/>
                <w:u w:val="none"/>
              </w:rPr>
            </w:pPr>
          </w:p>
        </w:tc>
        <w:tc>
          <w:tcPr>
            <w:tcW w:w="668" w:type="pct"/>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6"/>
                <w:szCs w:val="6"/>
                <w:u w:val="none"/>
              </w:rPr>
            </w:pPr>
          </w:p>
        </w:tc>
        <w:tc>
          <w:tcPr>
            <w:tcW w:w="401"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6"/>
                <w:szCs w:val="6"/>
                <w:u w:val="none"/>
              </w:rPr>
            </w:pPr>
          </w:p>
        </w:tc>
        <w:tc>
          <w:tcPr>
            <w:tcW w:w="47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39999</w:t>
            </w:r>
          </w:p>
        </w:tc>
        <w:tc>
          <w:tcPr>
            <w:tcW w:w="66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 xml:space="preserve">  其他支出</w:t>
            </w:r>
          </w:p>
        </w:tc>
        <w:tc>
          <w:tcPr>
            <w:tcW w:w="7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6"/>
                <w:szCs w:val="6"/>
                <w:u w:val="none"/>
              </w:rPr>
            </w:pPr>
            <w:r>
              <w:rPr>
                <w:rFonts w:hint="eastAsia" w:ascii="宋体" w:hAnsi="宋体" w:eastAsia="宋体" w:cs="宋体"/>
                <w:i w:val="0"/>
                <w:iCs w:val="0"/>
                <w:snapToGrid w:val="0"/>
                <w:color w:val="000000"/>
                <w:kern w:val="0"/>
                <w:sz w:val="6"/>
                <w:szCs w:val="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98"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人员经费合计</w:t>
            </w:r>
          </w:p>
        </w:tc>
        <w:tc>
          <w:tcPr>
            <w:tcW w:w="5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1,803.86</w:t>
            </w:r>
          </w:p>
        </w:tc>
        <w:tc>
          <w:tcPr>
            <w:tcW w:w="2655" w:type="pct"/>
            <w:gridSpan w:val="5"/>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公用支出合计</w:t>
            </w:r>
          </w:p>
        </w:tc>
        <w:tc>
          <w:tcPr>
            <w:tcW w:w="7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0"/>
                <w:szCs w:val="10"/>
                <w:u w:val="none"/>
                <w:lang w:val="en-US" w:eastAsia="zh-CN" w:bidi="ar"/>
              </w:rPr>
              <w:t>265.19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注：本表反映部门(单位)本年度一般公共预算财政拨款基本支出明细情况。</w:t>
            </w:r>
          </w:p>
        </w:tc>
      </w:tr>
    </w:tbl>
    <w:p>
      <w:pPr>
        <w:spacing w:before="67"/>
      </w:pPr>
    </w:p>
    <w:p>
      <w:pPr>
        <w:spacing w:before="67"/>
      </w:pPr>
    </w:p>
    <w:p>
      <w:pPr>
        <w:spacing w:before="67"/>
      </w:pPr>
    </w:p>
    <w:p>
      <w:pPr>
        <w:spacing w:before="67"/>
      </w:pPr>
    </w:p>
    <w:p>
      <w:pPr>
        <w:spacing w:before="67"/>
      </w:pPr>
    </w:p>
    <w:p>
      <w:pPr>
        <w:spacing w:before="67"/>
      </w:pPr>
    </w:p>
    <w:p>
      <w:pPr>
        <w:spacing w:before="67"/>
      </w:pPr>
    </w:p>
    <w:p>
      <w:pPr>
        <w:spacing w:before="67"/>
      </w:pPr>
    </w:p>
    <w:p>
      <w:pPr>
        <w:spacing w:before="67"/>
      </w:pPr>
    </w:p>
    <w:p>
      <w:pPr>
        <w:spacing w:before="67"/>
      </w:pPr>
    </w:p>
    <w:p>
      <w:pPr>
        <w:spacing w:before="67"/>
      </w:pPr>
    </w:p>
    <w:p>
      <w:pPr>
        <w:spacing w:before="67"/>
      </w:pPr>
    </w:p>
    <w:p>
      <w:pPr>
        <w:spacing w:before="67"/>
      </w:pPr>
    </w:p>
    <w:p>
      <w:pPr>
        <w:spacing w:before="67"/>
      </w:pPr>
    </w:p>
    <w:p>
      <w:pPr>
        <w:spacing w:before="67"/>
      </w:pPr>
    </w:p>
    <w:p>
      <w:pPr>
        <w:spacing w:before="67"/>
      </w:pPr>
    </w:p>
    <w:p>
      <w:pPr>
        <w:spacing w:before="67"/>
      </w:pPr>
    </w:p>
    <w:p>
      <w:pPr>
        <w:spacing w:before="67"/>
      </w:pPr>
    </w:p>
    <w:p>
      <w:pPr>
        <w:spacing w:before="67"/>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6"/>
        <w:gridCol w:w="366"/>
        <w:gridCol w:w="366"/>
        <w:gridCol w:w="2766"/>
        <w:gridCol w:w="720"/>
        <w:gridCol w:w="816"/>
        <w:gridCol w:w="816"/>
        <w:gridCol w:w="816"/>
        <w:gridCol w:w="816"/>
        <w:gridCol w:w="10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1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72" w:type="pct"/>
            <w:tcBorders>
              <w:top w:val="nil"/>
              <w:left w:val="nil"/>
              <w:bottom w:val="nil"/>
              <w:right w:val="nil"/>
            </w:tcBorders>
            <w:shd w:val="clear" w:color="auto" w:fill="auto"/>
            <w:noWrap/>
            <w:vAlign w:val="bottom"/>
          </w:tcPr>
          <w:p>
            <w:pPr>
              <w:rPr>
                <w:rFonts w:hint="eastAsia" w:ascii="Arial" w:hAnsi="Arial" w:cs="Arial"/>
                <w:i w:val="0"/>
                <w:iCs w:val="0"/>
                <w:color w:val="000000"/>
                <w:sz w:val="11"/>
                <w:szCs w:val="11"/>
                <w:u w:val="none"/>
              </w:rPr>
            </w:pPr>
          </w:p>
        </w:tc>
        <w:tc>
          <w:tcPr>
            <w:tcW w:w="172" w:type="pct"/>
            <w:tcBorders>
              <w:top w:val="nil"/>
              <w:left w:val="nil"/>
              <w:bottom w:val="nil"/>
              <w:right w:val="nil"/>
            </w:tcBorders>
            <w:shd w:val="clear" w:color="auto" w:fill="auto"/>
            <w:noWrap/>
            <w:vAlign w:val="bottom"/>
          </w:tcPr>
          <w:p>
            <w:pPr>
              <w:rPr>
                <w:rFonts w:hint="default" w:ascii="Arial" w:hAnsi="Arial" w:cs="Arial"/>
                <w:i w:val="0"/>
                <w:iCs w:val="0"/>
                <w:color w:val="000000"/>
                <w:sz w:val="11"/>
                <w:szCs w:val="11"/>
                <w:u w:val="none"/>
              </w:rPr>
            </w:pPr>
          </w:p>
        </w:tc>
        <w:tc>
          <w:tcPr>
            <w:tcW w:w="172" w:type="pct"/>
            <w:tcBorders>
              <w:top w:val="nil"/>
              <w:left w:val="nil"/>
              <w:bottom w:val="nil"/>
              <w:right w:val="nil"/>
            </w:tcBorders>
            <w:shd w:val="clear" w:color="auto" w:fill="auto"/>
            <w:noWrap/>
            <w:vAlign w:val="bottom"/>
          </w:tcPr>
          <w:p>
            <w:pPr>
              <w:rPr>
                <w:rFonts w:hint="default" w:ascii="Arial" w:hAnsi="Arial" w:cs="Arial"/>
                <w:i w:val="0"/>
                <w:iCs w:val="0"/>
                <w:color w:val="000000"/>
                <w:sz w:val="11"/>
                <w:szCs w:val="11"/>
                <w:u w:val="none"/>
              </w:rPr>
            </w:pPr>
          </w:p>
        </w:tc>
        <w:tc>
          <w:tcPr>
            <w:tcW w:w="1565" w:type="pct"/>
            <w:tcBorders>
              <w:top w:val="nil"/>
              <w:left w:val="nil"/>
              <w:bottom w:val="nil"/>
              <w:right w:val="nil"/>
            </w:tcBorders>
            <w:shd w:val="clear" w:color="auto" w:fill="auto"/>
            <w:noWrap/>
            <w:vAlign w:val="bottom"/>
          </w:tcPr>
          <w:p>
            <w:pPr>
              <w:rPr>
                <w:rFonts w:hint="default" w:ascii="Arial" w:hAnsi="Arial" w:cs="Arial"/>
                <w:i w:val="0"/>
                <w:iCs w:val="0"/>
                <w:color w:val="000000"/>
                <w:sz w:val="11"/>
                <w:szCs w:val="11"/>
                <w:u w:val="none"/>
              </w:rPr>
            </w:pPr>
          </w:p>
        </w:tc>
        <w:tc>
          <w:tcPr>
            <w:tcW w:w="512" w:type="pct"/>
            <w:tcBorders>
              <w:top w:val="nil"/>
              <w:left w:val="nil"/>
              <w:bottom w:val="nil"/>
              <w:right w:val="nil"/>
            </w:tcBorders>
            <w:shd w:val="clear" w:color="auto" w:fill="auto"/>
            <w:noWrap/>
            <w:vAlign w:val="bottom"/>
          </w:tcPr>
          <w:p>
            <w:pPr>
              <w:rPr>
                <w:rFonts w:hint="default" w:ascii="Arial" w:hAnsi="Arial" w:cs="Arial"/>
                <w:i w:val="0"/>
                <w:iCs w:val="0"/>
                <w:color w:val="000000"/>
                <w:sz w:val="11"/>
                <w:szCs w:val="11"/>
                <w:u w:val="none"/>
              </w:rPr>
            </w:pPr>
          </w:p>
        </w:tc>
        <w:tc>
          <w:tcPr>
            <w:tcW w:w="433" w:type="pct"/>
            <w:tcBorders>
              <w:top w:val="nil"/>
              <w:left w:val="nil"/>
              <w:bottom w:val="nil"/>
              <w:right w:val="nil"/>
            </w:tcBorders>
            <w:shd w:val="clear" w:color="auto" w:fill="auto"/>
            <w:noWrap/>
            <w:vAlign w:val="bottom"/>
          </w:tcPr>
          <w:p>
            <w:pPr>
              <w:rPr>
                <w:rFonts w:hint="default" w:ascii="Arial" w:hAnsi="Arial" w:cs="Arial"/>
                <w:i w:val="0"/>
                <w:iCs w:val="0"/>
                <w:color w:val="000000"/>
                <w:sz w:val="11"/>
                <w:szCs w:val="11"/>
                <w:u w:val="none"/>
              </w:rPr>
            </w:pPr>
          </w:p>
        </w:tc>
        <w:tc>
          <w:tcPr>
            <w:tcW w:w="433" w:type="pct"/>
            <w:tcBorders>
              <w:top w:val="nil"/>
              <w:left w:val="nil"/>
              <w:bottom w:val="nil"/>
              <w:right w:val="nil"/>
            </w:tcBorders>
            <w:shd w:val="clear" w:color="auto" w:fill="auto"/>
            <w:noWrap/>
            <w:vAlign w:val="bottom"/>
          </w:tcPr>
          <w:p>
            <w:pPr>
              <w:rPr>
                <w:rFonts w:hint="default" w:ascii="Arial" w:hAnsi="Arial" w:cs="Arial"/>
                <w:i w:val="0"/>
                <w:iCs w:val="0"/>
                <w:color w:val="000000"/>
                <w:sz w:val="11"/>
                <w:szCs w:val="11"/>
                <w:u w:val="none"/>
              </w:rPr>
            </w:pPr>
          </w:p>
        </w:tc>
        <w:tc>
          <w:tcPr>
            <w:tcW w:w="433" w:type="pct"/>
            <w:tcBorders>
              <w:top w:val="nil"/>
              <w:left w:val="nil"/>
              <w:bottom w:val="nil"/>
              <w:right w:val="nil"/>
            </w:tcBorders>
            <w:shd w:val="clear" w:color="auto" w:fill="auto"/>
            <w:noWrap/>
            <w:vAlign w:val="bottom"/>
          </w:tcPr>
          <w:p>
            <w:pPr>
              <w:rPr>
                <w:rFonts w:hint="default" w:ascii="Arial" w:hAnsi="Arial" w:cs="Arial"/>
                <w:i w:val="0"/>
                <w:iCs w:val="0"/>
                <w:color w:val="000000"/>
                <w:sz w:val="11"/>
                <w:szCs w:val="11"/>
                <w:u w:val="none"/>
              </w:rPr>
            </w:pPr>
          </w:p>
        </w:tc>
        <w:tc>
          <w:tcPr>
            <w:tcW w:w="433" w:type="pct"/>
            <w:tcBorders>
              <w:top w:val="nil"/>
              <w:left w:val="nil"/>
              <w:bottom w:val="nil"/>
              <w:right w:val="nil"/>
            </w:tcBorders>
            <w:shd w:val="clear" w:color="auto" w:fill="auto"/>
            <w:noWrap/>
            <w:vAlign w:val="bottom"/>
          </w:tcPr>
          <w:p>
            <w:pPr>
              <w:rPr>
                <w:rFonts w:hint="default" w:ascii="Arial" w:hAnsi="Arial" w:cs="Arial"/>
                <w:i w:val="0"/>
                <w:iCs w:val="0"/>
                <w:color w:val="000000"/>
                <w:sz w:val="11"/>
                <w:szCs w:val="11"/>
                <w:u w:val="none"/>
              </w:rPr>
            </w:pPr>
          </w:p>
        </w:tc>
        <w:tc>
          <w:tcPr>
            <w:tcW w:w="671"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594" w:type="pct"/>
            <w:gridSpan w:val="5"/>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编制单位：浮梁县城市管理局</w:t>
            </w:r>
          </w:p>
        </w:tc>
        <w:tc>
          <w:tcPr>
            <w:tcW w:w="433" w:type="pct"/>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2022年度</w:t>
            </w:r>
          </w:p>
        </w:tc>
        <w:tc>
          <w:tcPr>
            <w:tcW w:w="433" w:type="pct"/>
            <w:tcBorders>
              <w:top w:val="nil"/>
              <w:left w:val="nil"/>
              <w:bottom w:val="nil"/>
              <w:right w:val="nil"/>
            </w:tcBorders>
            <w:shd w:val="clear" w:color="auto" w:fill="auto"/>
            <w:noWrap/>
            <w:vAlign w:val="bottom"/>
          </w:tcPr>
          <w:p>
            <w:pPr>
              <w:rPr>
                <w:rFonts w:hint="default" w:ascii="Arial" w:hAnsi="Arial" w:cs="Arial"/>
                <w:i w:val="0"/>
                <w:iCs w:val="0"/>
                <w:color w:val="000000"/>
                <w:sz w:val="11"/>
                <w:szCs w:val="11"/>
                <w:u w:val="none"/>
              </w:rPr>
            </w:pPr>
          </w:p>
        </w:tc>
        <w:tc>
          <w:tcPr>
            <w:tcW w:w="433" w:type="pct"/>
            <w:tcBorders>
              <w:top w:val="nil"/>
              <w:left w:val="nil"/>
              <w:bottom w:val="nil"/>
              <w:right w:val="nil"/>
            </w:tcBorders>
            <w:shd w:val="clear" w:color="auto" w:fill="auto"/>
            <w:noWrap/>
            <w:vAlign w:val="bottom"/>
          </w:tcPr>
          <w:p>
            <w:pPr>
              <w:rPr>
                <w:rFonts w:hint="default" w:ascii="Arial" w:hAnsi="Arial" w:cs="Arial"/>
                <w:i w:val="0"/>
                <w:iCs w:val="0"/>
                <w:color w:val="000000"/>
                <w:sz w:val="11"/>
                <w:szCs w:val="11"/>
                <w:u w:val="none"/>
              </w:rPr>
            </w:pPr>
          </w:p>
        </w:tc>
        <w:tc>
          <w:tcPr>
            <w:tcW w:w="433" w:type="pct"/>
            <w:tcBorders>
              <w:top w:val="nil"/>
              <w:left w:val="nil"/>
              <w:bottom w:val="nil"/>
              <w:right w:val="nil"/>
            </w:tcBorders>
            <w:shd w:val="clear" w:color="auto" w:fill="auto"/>
            <w:noWrap/>
            <w:vAlign w:val="bottom"/>
          </w:tcPr>
          <w:p>
            <w:pPr>
              <w:rPr>
                <w:rFonts w:hint="default" w:ascii="Arial" w:hAnsi="Arial" w:cs="Arial"/>
                <w:i w:val="0"/>
                <w:iCs w:val="0"/>
                <w:color w:val="000000"/>
                <w:sz w:val="11"/>
                <w:szCs w:val="11"/>
                <w:u w:val="none"/>
              </w:rPr>
            </w:pPr>
          </w:p>
        </w:tc>
        <w:tc>
          <w:tcPr>
            <w:tcW w:w="671"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2082" w:type="pct"/>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项    目</w:t>
            </w:r>
          </w:p>
        </w:tc>
        <w:tc>
          <w:tcPr>
            <w:tcW w:w="512"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年初结转和结余</w:t>
            </w:r>
          </w:p>
        </w:tc>
        <w:tc>
          <w:tcPr>
            <w:tcW w:w="433" w:type="pct"/>
            <w:vMerge w:val="restart"/>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本年收入</w:t>
            </w:r>
          </w:p>
        </w:tc>
        <w:tc>
          <w:tcPr>
            <w:tcW w:w="1300" w:type="pct"/>
            <w:gridSpan w:val="3"/>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本年支出</w:t>
            </w:r>
          </w:p>
        </w:tc>
        <w:tc>
          <w:tcPr>
            <w:tcW w:w="671"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6" w:type="pct"/>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支出功能分类科目编码</w:t>
            </w:r>
          </w:p>
        </w:tc>
        <w:tc>
          <w:tcPr>
            <w:tcW w:w="1565"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科目名称</w:t>
            </w:r>
          </w:p>
        </w:tc>
        <w:tc>
          <w:tcPr>
            <w:tcW w:w="512"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rPr>
            </w:pPr>
          </w:p>
        </w:tc>
        <w:tc>
          <w:tcPr>
            <w:tcW w:w="433" w:type="pct"/>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5"/>
                <w:szCs w:val="15"/>
                <w:u w:val="none"/>
              </w:rPr>
            </w:pPr>
          </w:p>
        </w:tc>
        <w:tc>
          <w:tcPr>
            <w:tcW w:w="433"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小计</w:t>
            </w:r>
          </w:p>
        </w:tc>
        <w:tc>
          <w:tcPr>
            <w:tcW w:w="433"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基本支出</w:t>
            </w:r>
          </w:p>
        </w:tc>
        <w:tc>
          <w:tcPr>
            <w:tcW w:w="433"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项目支出</w:t>
            </w:r>
          </w:p>
        </w:tc>
        <w:tc>
          <w:tcPr>
            <w:tcW w:w="671"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6"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rPr>
            </w:pPr>
          </w:p>
        </w:tc>
        <w:tc>
          <w:tcPr>
            <w:tcW w:w="1565"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5"/>
                <w:szCs w:val="15"/>
                <w:u w:val="none"/>
              </w:rPr>
            </w:pPr>
          </w:p>
        </w:tc>
        <w:tc>
          <w:tcPr>
            <w:tcW w:w="512"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rPr>
            </w:pPr>
          </w:p>
        </w:tc>
        <w:tc>
          <w:tcPr>
            <w:tcW w:w="433" w:type="pct"/>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5"/>
                <w:szCs w:val="15"/>
                <w:u w:val="none"/>
              </w:rPr>
            </w:pPr>
          </w:p>
        </w:tc>
        <w:tc>
          <w:tcPr>
            <w:tcW w:w="433"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5"/>
                <w:szCs w:val="15"/>
                <w:u w:val="none"/>
              </w:rPr>
            </w:pPr>
          </w:p>
        </w:tc>
        <w:tc>
          <w:tcPr>
            <w:tcW w:w="433"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5"/>
                <w:szCs w:val="15"/>
                <w:u w:val="none"/>
              </w:rPr>
            </w:pPr>
          </w:p>
        </w:tc>
        <w:tc>
          <w:tcPr>
            <w:tcW w:w="433"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5"/>
                <w:szCs w:val="15"/>
                <w:u w:val="none"/>
              </w:rPr>
            </w:pPr>
          </w:p>
        </w:tc>
        <w:tc>
          <w:tcPr>
            <w:tcW w:w="671"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6"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rPr>
            </w:pPr>
          </w:p>
        </w:tc>
        <w:tc>
          <w:tcPr>
            <w:tcW w:w="1565"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5"/>
                <w:szCs w:val="15"/>
                <w:u w:val="none"/>
              </w:rPr>
            </w:pPr>
          </w:p>
        </w:tc>
        <w:tc>
          <w:tcPr>
            <w:tcW w:w="512"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rPr>
            </w:pPr>
          </w:p>
        </w:tc>
        <w:tc>
          <w:tcPr>
            <w:tcW w:w="433" w:type="pct"/>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5"/>
                <w:szCs w:val="15"/>
                <w:u w:val="none"/>
              </w:rPr>
            </w:pPr>
          </w:p>
        </w:tc>
        <w:tc>
          <w:tcPr>
            <w:tcW w:w="433"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5"/>
                <w:szCs w:val="15"/>
                <w:u w:val="none"/>
              </w:rPr>
            </w:pPr>
          </w:p>
        </w:tc>
        <w:tc>
          <w:tcPr>
            <w:tcW w:w="433"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5"/>
                <w:szCs w:val="15"/>
                <w:u w:val="none"/>
              </w:rPr>
            </w:pPr>
          </w:p>
        </w:tc>
        <w:tc>
          <w:tcPr>
            <w:tcW w:w="433"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5"/>
                <w:szCs w:val="15"/>
                <w:u w:val="none"/>
              </w:rPr>
            </w:pPr>
          </w:p>
        </w:tc>
        <w:tc>
          <w:tcPr>
            <w:tcW w:w="671"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72" w:type="pct"/>
            <w:vMerge w:val="restar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类</w:t>
            </w:r>
          </w:p>
        </w:tc>
        <w:tc>
          <w:tcPr>
            <w:tcW w:w="172"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款</w:t>
            </w:r>
          </w:p>
        </w:tc>
        <w:tc>
          <w:tcPr>
            <w:tcW w:w="172"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项</w:t>
            </w:r>
          </w:p>
        </w:tc>
        <w:tc>
          <w:tcPr>
            <w:tcW w:w="156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栏次</w:t>
            </w:r>
          </w:p>
        </w:tc>
        <w:tc>
          <w:tcPr>
            <w:tcW w:w="51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w:t>
            </w:r>
          </w:p>
        </w:tc>
        <w:tc>
          <w:tcPr>
            <w:tcW w:w="43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w:t>
            </w:r>
          </w:p>
        </w:tc>
        <w:tc>
          <w:tcPr>
            <w:tcW w:w="43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3</w:t>
            </w:r>
          </w:p>
        </w:tc>
        <w:tc>
          <w:tcPr>
            <w:tcW w:w="43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4</w:t>
            </w:r>
          </w:p>
        </w:tc>
        <w:tc>
          <w:tcPr>
            <w:tcW w:w="43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5</w:t>
            </w:r>
          </w:p>
        </w:tc>
        <w:tc>
          <w:tcPr>
            <w:tcW w:w="67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2" w:type="pct"/>
            <w:vMerge w:val="continue"/>
            <w:tcBorders>
              <w:top w:val="nil"/>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5"/>
                <w:szCs w:val="15"/>
                <w:u w:val="none"/>
              </w:rPr>
            </w:pPr>
          </w:p>
        </w:tc>
        <w:tc>
          <w:tcPr>
            <w:tcW w:w="172"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5"/>
                <w:szCs w:val="15"/>
                <w:u w:val="none"/>
              </w:rPr>
            </w:pPr>
          </w:p>
        </w:tc>
        <w:tc>
          <w:tcPr>
            <w:tcW w:w="172"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5"/>
                <w:szCs w:val="15"/>
                <w:u w:val="none"/>
              </w:rPr>
            </w:pPr>
          </w:p>
        </w:tc>
        <w:tc>
          <w:tcPr>
            <w:tcW w:w="156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合计</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1,249.63</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1,249.63</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1,249.63</w:t>
            </w:r>
          </w:p>
        </w:tc>
        <w:tc>
          <w:tcPr>
            <w:tcW w:w="6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6"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212</w:t>
            </w:r>
          </w:p>
        </w:tc>
        <w:tc>
          <w:tcPr>
            <w:tcW w:w="15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城乡社区支出</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1,079.63</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1,079.63</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1,079.63</w:t>
            </w:r>
          </w:p>
        </w:tc>
        <w:tc>
          <w:tcPr>
            <w:tcW w:w="6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6"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21208</w:t>
            </w:r>
          </w:p>
        </w:tc>
        <w:tc>
          <w:tcPr>
            <w:tcW w:w="15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国有土地使用权出让收入安排的支出</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1,017.63</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1,017.63</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1,017.63</w:t>
            </w:r>
          </w:p>
        </w:tc>
        <w:tc>
          <w:tcPr>
            <w:tcW w:w="6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6"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2120803</w:t>
            </w:r>
          </w:p>
        </w:tc>
        <w:tc>
          <w:tcPr>
            <w:tcW w:w="15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城市建设支出</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1,017.63</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1,017.63</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1,017.63</w:t>
            </w:r>
          </w:p>
        </w:tc>
        <w:tc>
          <w:tcPr>
            <w:tcW w:w="6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6"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21213</w:t>
            </w:r>
          </w:p>
        </w:tc>
        <w:tc>
          <w:tcPr>
            <w:tcW w:w="15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城市基础设施配套费安排的支出</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62.00</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62.00</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62.00</w:t>
            </w:r>
          </w:p>
        </w:tc>
        <w:tc>
          <w:tcPr>
            <w:tcW w:w="6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6"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2121399</w:t>
            </w:r>
          </w:p>
        </w:tc>
        <w:tc>
          <w:tcPr>
            <w:tcW w:w="15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其他城市基础设施配套费安排的支出</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62.00</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62.00</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62.00</w:t>
            </w:r>
          </w:p>
        </w:tc>
        <w:tc>
          <w:tcPr>
            <w:tcW w:w="6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6"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234</w:t>
            </w:r>
          </w:p>
        </w:tc>
        <w:tc>
          <w:tcPr>
            <w:tcW w:w="15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抗疫特别国债安排的支出</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170.00</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170.00</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170.00</w:t>
            </w:r>
          </w:p>
        </w:tc>
        <w:tc>
          <w:tcPr>
            <w:tcW w:w="6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6"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23401</w:t>
            </w:r>
          </w:p>
        </w:tc>
        <w:tc>
          <w:tcPr>
            <w:tcW w:w="15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基础设施建设</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170.00</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170.00</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170.00</w:t>
            </w:r>
          </w:p>
        </w:tc>
        <w:tc>
          <w:tcPr>
            <w:tcW w:w="6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6"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2340101</w:t>
            </w:r>
          </w:p>
        </w:tc>
        <w:tc>
          <w:tcPr>
            <w:tcW w:w="15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公共卫生体系建设</w:t>
            </w:r>
          </w:p>
        </w:tc>
        <w:tc>
          <w:tcPr>
            <w:tcW w:w="5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170.00</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170.00</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4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170.00</w:t>
            </w:r>
          </w:p>
        </w:tc>
        <w:tc>
          <w:tcPr>
            <w:tcW w:w="6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6"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1565"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51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5"/>
                <w:szCs w:val="15"/>
                <w:u w:val="none"/>
              </w:rPr>
            </w:pPr>
          </w:p>
        </w:tc>
        <w:tc>
          <w:tcPr>
            <w:tcW w:w="43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5"/>
                <w:szCs w:val="15"/>
                <w:u w:val="none"/>
              </w:rPr>
            </w:pPr>
          </w:p>
        </w:tc>
        <w:tc>
          <w:tcPr>
            <w:tcW w:w="43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5"/>
                <w:szCs w:val="15"/>
                <w:u w:val="none"/>
              </w:rPr>
            </w:pPr>
          </w:p>
        </w:tc>
        <w:tc>
          <w:tcPr>
            <w:tcW w:w="43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5"/>
                <w:szCs w:val="15"/>
                <w:u w:val="none"/>
              </w:rPr>
            </w:pPr>
          </w:p>
        </w:tc>
        <w:tc>
          <w:tcPr>
            <w:tcW w:w="43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5"/>
                <w:szCs w:val="15"/>
                <w:u w:val="none"/>
              </w:rPr>
            </w:pPr>
          </w:p>
        </w:tc>
        <w:tc>
          <w:tcPr>
            <w:tcW w:w="671"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6"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1565"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51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5"/>
                <w:szCs w:val="15"/>
                <w:u w:val="none"/>
              </w:rPr>
            </w:pPr>
          </w:p>
        </w:tc>
        <w:tc>
          <w:tcPr>
            <w:tcW w:w="43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5"/>
                <w:szCs w:val="15"/>
                <w:u w:val="none"/>
              </w:rPr>
            </w:pPr>
          </w:p>
        </w:tc>
        <w:tc>
          <w:tcPr>
            <w:tcW w:w="43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5"/>
                <w:szCs w:val="15"/>
                <w:u w:val="none"/>
              </w:rPr>
            </w:pPr>
          </w:p>
        </w:tc>
        <w:tc>
          <w:tcPr>
            <w:tcW w:w="43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5"/>
                <w:szCs w:val="15"/>
                <w:u w:val="none"/>
              </w:rPr>
            </w:pPr>
          </w:p>
        </w:tc>
        <w:tc>
          <w:tcPr>
            <w:tcW w:w="43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5"/>
                <w:szCs w:val="15"/>
                <w:u w:val="none"/>
              </w:rPr>
            </w:pPr>
          </w:p>
        </w:tc>
        <w:tc>
          <w:tcPr>
            <w:tcW w:w="671"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6"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1565"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51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5"/>
                <w:szCs w:val="15"/>
                <w:u w:val="none"/>
              </w:rPr>
            </w:pPr>
          </w:p>
        </w:tc>
        <w:tc>
          <w:tcPr>
            <w:tcW w:w="43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5"/>
                <w:szCs w:val="15"/>
                <w:u w:val="none"/>
              </w:rPr>
            </w:pPr>
          </w:p>
        </w:tc>
        <w:tc>
          <w:tcPr>
            <w:tcW w:w="43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5"/>
                <w:szCs w:val="15"/>
                <w:u w:val="none"/>
              </w:rPr>
            </w:pPr>
          </w:p>
        </w:tc>
        <w:tc>
          <w:tcPr>
            <w:tcW w:w="43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5"/>
                <w:szCs w:val="15"/>
                <w:u w:val="none"/>
              </w:rPr>
            </w:pPr>
          </w:p>
        </w:tc>
        <w:tc>
          <w:tcPr>
            <w:tcW w:w="433"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5"/>
                <w:szCs w:val="15"/>
                <w:u w:val="none"/>
              </w:rPr>
            </w:pPr>
          </w:p>
        </w:tc>
        <w:tc>
          <w:tcPr>
            <w:tcW w:w="671"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注：本表反映部门(单位)本年度政府性基金预算财政拨款收入、支出及结转和结余情况。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说明：当此表数据为零时，即本部门(单位)无政府性基金预算财政拨款收入、支出。</w:t>
            </w:r>
          </w:p>
        </w:tc>
      </w:tr>
    </w:tbl>
    <w:p>
      <w:pPr>
        <w:spacing w:before="1"/>
      </w:pPr>
    </w:p>
    <w:p>
      <w:pPr>
        <w:spacing w:before="1"/>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3"/>
        <w:gridCol w:w="593"/>
        <w:gridCol w:w="593"/>
        <w:gridCol w:w="1496"/>
        <w:gridCol w:w="1838"/>
        <w:gridCol w:w="1556"/>
        <w:gridCol w:w="22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7"/>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32" w:type="pct"/>
            <w:tcBorders>
              <w:top w:val="nil"/>
              <w:left w:val="nil"/>
              <w:bottom w:val="nil"/>
              <w:right w:val="nil"/>
            </w:tcBorders>
            <w:shd w:val="clear" w:color="auto" w:fill="auto"/>
            <w:noWrap/>
            <w:vAlign w:val="bottom"/>
          </w:tcPr>
          <w:p>
            <w:pPr>
              <w:rPr>
                <w:rFonts w:hint="eastAsia" w:ascii="Arial" w:hAnsi="Arial" w:cs="Arial"/>
                <w:i w:val="0"/>
                <w:iCs w:val="0"/>
                <w:color w:val="000000"/>
                <w:sz w:val="13"/>
                <w:szCs w:val="13"/>
                <w:u w:val="none"/>
              </w:rPr>
            </w:pPr>
          </w:p>
        </w:tc>
        <w:tc>
          <w:tcPr>
            <w:tcW w:w="332" w:type="pct"/>
            <w:tcBorders>
              <w:top w:val="nil"/>
              <w:left w:val="nil"/>
              <w:bottom w:val="nil"/>
              <w:right w:val="nil"/>
            </w:tcBorders>
            <w:shd w:val="clear" w:color="auto" w:fill="auto"/>
            <w:noWrap/>
            <w:vAlign w:val="bottom"/>
          </w:tcPr>
          <w:p>
            <w:pPr>
              <w:rPr>
                <w:rFonts w:hint="default" w:ascii="Arial" w:hAnsi="Arial" w:cs="Arial"/>
                <w:i w:val="0"/>
                <w:iCs w:val="0"/>
                <w:color w:val="000000"/>
                <w:sz w:val="13"/>
                <w:szCs w:val="13"/>
                <w:u w:val="none"/>
              </w:rPr>
            </w:pPr>
          </w:p>
        </w:tc>
        <w:tc>
          <w:tcPr>
            <w:tcW w:w="332" w:type="pct"/>
            <w:tcBorders>
              <w:top w:val="nil"/>
              <w:left w:val="nil"/>
              <w:bottom w:val="nil"/>
              <w:right w:val="nil"/>
            </w:tcBorders>
            <w:shd w:val="clear" w:color="auto" w:fill="auto"/>
            <w:noWrap/>
            <w:vAlign w:val="bottom"/>
          </w:tcPr>
          <w:p>
            <w:pPr>
              <w:rPr>
                <w:rFonts w:hint="default" w:ascii="Arial" w:hAnsi="Arial" w:cs="Arial"/>
                <w:i w:val="0"/>
                <w:iCs w:val="0"/>
                <w:color w:val="000000"/>
                <w:sz w:val="13"/>
                <w:szCs w:val="13"/>
                <w:u w:val="none"/>
              </w:rPr>
            </w:pPr>
          </w:p>
        </w:tc>
        <w:tc>
          <w:tcPr>
            <w:tcW w:w="836" w:type="pct"/>
            <w:tcBorders>
              <w:top w:val="nil"/>
              <w:left w:val="nil"/>
              <w:bottom w:val="nil"/>
              <w:right w:val="nil"/>
            </w:tcBorders>
            <w:shd w:val="clear" w:color="auto" w:fill="auto"/>
            <w:noWrap/>
            <w:vAlign w:val="bottom"/>
          </w:tcPr>
          <w:p>
            <w:pPr>
              <w:rPr>
                <w:rFonts w:hint="default" w:ascii="Arial" w:hAnsi="Arial" w:cs="Arial"/>
                <w:i w:val="0"/>
                <w:iCs w:val="0"/>
                <w:color w:val="000000"/>
                <w:sz w:val="13"/>
                <w:szCs w:val="13"/>
                <w:u w:val="none"/>
              </w:rPr>
            </w:pPr>
          </w:p>
        </w:tc>
        <w:tc>
          <w:tcPr>
            <w:tcW w:w="1028" w:type="pct"/>
            <w:tcBorders>
              <w:top w:val="nil"/>
              <w:left w:val="nil"/>
              <w:bottom w:val="nil"/>
              <w:right w:val="nil"/>
            </w:tcBorders>
            <w:shd w:val="clear" w:color="auto" w:fill="auto"/>
            <w:noWrap/>
            <w:vAlign w:val="bottom"/>
          </w:tcPr>
          <w:p>
            <w:pPr>
              <w:rPr>
                <w:rFonts w:hint="default" w:ascii="Arial" w:hAnsi="Arial" w:cs="Arial"/>
                <w:i w:val="0"/>
                <w:iCs w:val="0"/>
                <w:color w:val="000000"/>
                <w:sz w:val="13"/>
                <w:szCs w:val="13"/>
                <w:u w:val="none"/>
              </w:rPr>
            </w:pPr>
          </w:p>
        </w:tc>
        <w:tc>
          <w:tcPr>
            <w:tcW w:w="870" w:type="pct"/>
            <w:tcBorders>
              <w:top w:val="nil"/>
              <w:left w:val="nil"/>
              <w:bottom w:val="nil"/>
              <w:right w:val="nil"/>
            </w:tcBorders>
            <w:shd w:val="clear" w:color="auto" w:fill="auto"/>
            <w:noWrap/>
            <w:vAlign w:val="bottom"/>
          </w:tcPr>
          <w:p>
            <w:pPr>
              <w:rPr>
                <w:rFonts w:hint="default" w:ascii="Arial" w:hAnsi="Arial" w:cs="Arial"/>
                <w:i w:val="0"/>
                <w:iCs w:val="0"/>
                <w:color w:val="000000"/>
                <w:sz w:val="13"/>
                <w:szCs w:val="13"/>
                <w:u w:val="none"/>
              </w:rPr>
            </w:pPr>
          </w:p>
        </w:tc>
        <w:tc>
          <w:tcPr>
            <w:tcW w:w="126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833" w:type="pct"/>
            <w:gridSpan w:val="4"/>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编制单位：浮梁县城市管理局</w:t>
            </w:r>
          </w:p>
        </w:tc>
        <w:tc>
          <w:tcPr>
            <w:tcW w:w="1028" w:type="pct"/>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2022年度</w:t>
            </w:r>
          </w:p>
        </w:tc>
        <w:tc>
          <w:tcPr>
            <w:tcW w:w="870" w:type="pct"/>
            <w:tcBorders>
              <w:top w:val="nil"/>
              <w:left w:val="nil"/>
              <w:bottom w:val="nil"/>
              <w:right w:val="nil"/>
            </w:tcBorders>
            <w:shd w:val="clear" w:color="auto" w:fill="auto"/>
            <w:noWrap/>
            <w:vAlign w:val="bottom"/>
          </w:tcPr>
          <w:p>
            <w:pPr>
              <w:rPr>
                <w:rFonts w:hint="default" w:ascii="Arial" w:hAnsi="Arial" w:cs="Arial"/>
                <w:i w:val="0"/>
                <w:iCs w:val="0"/>
                <w:color w:val="000000"/>
                <w:sz w:val="13"/>
                <w:szCs w:val="13"/>
                <w:u w:val="none"/>
              </w:rPr>
            </w:pPr>
          </w:p>
        </w:tc>
        <w:tc>
          <w:tcPr>
            <w:tcW w:w="126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3" w:type="pct"/>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项    目</w:t>
            </w:r>
          </w:p>
        </w:tc>
        <w:tc>
          <w:tcPr>
            <w:tcW w:w="1028"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合计</w:t>
            </w:r>
          </w:p>
        </w:tc>
        <w:tc>
          <w:tcPr>
            <w:tcW w:w="870"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基本支出</w:t>
            </w:r>
          </w:p>
        </w:tc>
        <w:tc>
          <w:tcPr>
            <w:tcW w:w="1267"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6" w:type="pct"/>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支出功能分类科目编码</w:t>
            </w:r>
          </w:p>
        </w:tc>
        <w:tc>
          <w:tcPr>
            <w:tcW w:w="836"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科目名称</w:t>
            </w:r>
          </w:p>
        </w:tc>
        <w:tc>
          <w:tcPr>
            <w:tcW w:w="1028"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870"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1267"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6"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836"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6"/>
                <w:szCs w:val="16"/>
                <w:u w:val="none"/>
              </w:rPr>
            </w:pPr>
          </w:p>
        </w:tc>
        <w:tc>
          <w:tcPr>
            <w:tcW w:w="1028"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870"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1267"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6"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836"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6"/>
                <w:szCs w:val="16"/>
                <w:u w:val="none"/>
              </w:rPr>
            </w:pPr>
          </w:p>
        </w:tc>
        <w:tc>
          <w:tcPr>
            <w:tcW w:w="1028"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870"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1267"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2" w:type="pct"/>
            <w:vMerge w:val="restar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类</w:t>
            </w:r>
          </w:p>
        </w:tc>
        <w:tc>
          <w:tcPr>
            <w:tcW w:w="332"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款</w:t>
            </w:r>
          </w:p>
        </w:tc>
        <w:tc>
          <w:tcPr>
            <w:tcW w:w="332"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项</w:t>
            </w:r>
          </w:p>
        </w:tc>
        <w:tc>
          <w:tcPr>
            <w:tcW w:w="83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栏次</w:t>
            </w:r>
          </w:p>
        </w:tc>
        <w:tc>
          <w:tcPr>
            <w:tcW w:w="102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87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c>
          <w:tcPr>
            <w:tcW w:w="126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2" w:type="pct"/>
            <w:vMerge w:val="continue"/>
            <w:tcBorders>
              <w:top w:val="nil"/>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6"/>
                <w:szCs w:val="16"/>
                <w:u w:val="none"/>
              </w:rPr>
            </w:pPr>
          </w:p>
        </w:tc>
        <w:tc>
          <w:tcPr>
            <w:tcW w:w="332"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6"/>
                <w:szCs w:val="16"/>
                <w:u w:val="none"/>
              </w:rPr>
            </w:pPr>
          </w:p>
        </w:tc>
        <w:tc>
          <w:tcPr>
            <w:tcW w:w="332"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6"/>
                <w:szCs w:val="16"/>
                <w:u w:val="none"/>
              </w:rPr>
            </w:pPr>
          </w:p>
        </w:tc>
        <w:tc>
          <w:tcPr>
            <w:tcW w:w="83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合计</w:t>
            </w:r>
          </w:p>
        </w:tc>
        <w:tc>
          <w:tcPr>
            <w:tcW w:w="102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87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26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6"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836"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102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87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26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6"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836"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102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87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26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6"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836"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102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87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26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6"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836"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102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87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26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6"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836"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102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87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26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6"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836"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102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87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267"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5000" w:type="pct"/>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注：本表反映部门(单位)本年度国有资本经营预算财政拨款支出情况。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说明：当此表数据为空时，即本部门(单位)无国有资本经营预算财政拨款支出。</w:t>
            </w:r>
          </w:p>
        </w:tc>
      </w:tr>
    </w:tbl>
    <w:p>
      <w:pPr>
        <w:pStyle w:val="2"/>
        <w:spacing w:line="255" w:lineRule="auto"/>
      </w:pPr>
    </w:p>
    <w:p>
      <w:pPr>
        <w:pStyle w:val="2"/>
        <w:spacing w:line="255" w:lineRule="auto"/>
      </w:pPr>
    </w:p>
    <w:p>
      <w:pPr>
        <w:pStyle w:val="2"/>
        <w:spacing w:line="256" w:lineRule="auto"/>
      </w:pPr>
    </w:p>
    <w:p>
      <w:pPr>
        <w:pStyle w:val="2"/>
        <w:spacing w:line="256" w:lineRule="auto"/>
      </w:pPr>
    </w:p>
    <w:p>
      <w:pPr>
        <w:pStyle w:val="2"/>
        <w:spacing w:line="256" w:lineRule="auto"/>
      </w:pPr>
    </w:p>
    <w:p>
      <w:pPr>
        <w:spacing w:before="97" w:line="183" w:lineRule="auto"/>
        <w:jc w:val="right"/>
        <w:rPr>
          <w:rFonts w:ascii="宋体" w:hAnsi="宋体" w:eastAsia="宋体" w:cs="宋体"/>
          <w:sz w:val="30"/>
          <w:szCs w:val="30"/>
        </w:rPr>
        <w:sectPr>
          <w:footerReference r:id="rId11" w:type="default"/>
          <w:pgSz w:w="11870" w:h="16800"/>
          <w:pgMar w:top="1428" w:right="1514" w:bottom="400" w:left="1634" w:header="0" w:footer="0" w:gutter="0"/>
          <w:cols w:space="720" w:num="1"/>
        </w:sectPr>
      </w:pPr>
    </w:p>
    <w:p>
      <w:pPr>
        <w:spacing w:before="11"/>
      </w:pPr>
    </w:p>
    <w:p>
      <w:pPr>
        <w:spacing w:before="11"/>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08"/>
        <w:gridCol w:w="686"/>
        <w:gridCol w:w="1376"/>
        <w:gridCol w:w="1271"/>
        <w:gridCol w:w="16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5"/>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186" w:type="pct"/>
            <w:tcBorders>
              <w:top w:val="nil"/>
              <w:left w:val="nil"/>
              <w:bottom w:val="nil"/>
              <w:right w:val="nil"/>
            </w:tcBorders>
            <w:shd w:val="clear" w:color="auto" w:fill="auto"/>
            <w:noWrap/>
            <w:vAlign w:val="bottom"/>
          </w:tcPr>
          <w:p>
            <w:pPr>
              <w:rPr>
                <w:rFonts w:hint="eastAsia" w:ascii="Arial" w:hAnsi="Arial" w:cs="Arial"/>
                <w:i w:val="0"/>
                <w:iCs w:val="0"/>
                <w:color w:val="000000"/>
                <w:sz w:val="11"/>
                <w:szCs w:val="11"/>
                <w:u w:val="none"/>
              </w:rPr>
            </w:pPr>
          </w:p>
        </w:tc>
        <w:tc>
          <w:tcPr>
            <w:tcW w:w="383" w:type="pct"/>
            <w:tcBorders>
              <w:top w:val="nil"/>
              <w:left w:val="nil"/>
              <w:bottom w:val="nil"/>
              <w:right w:val="nil"/>
            </w:tcBorders>
            <w:shd w:val="clear" w:color="auto" w:fill="auto"/>
            <w:noWrap/>
            <w:vAlign w:val="bottom"/>
          </w:tcPr>
          <w:p>
            <w:pPr>
              <w:rPr>
                <w:rFonts w:hint="default" w:ascii="Arial" w:hAnsi="Arial" w:cs="Arial"/>
                <w:i w:val="0"/>
                <w:iCs w:val="0"/>
                <w:color w:val="000000"/>
                <w:sz w:val="11"/>
                <w:szCs w:val="11"/>
                <w:u w:val="none"/>
              </w:rPr>
            </w:pPr>
          </w:p>
        </w:tc>
        <w:tc>
          <w:tcPr>
            <w:tcW w:w="770" w:type="pct"/>
            <w:tcBorders>
              <w:top w:val="nil"/>
              <w:left w:val="nil"/>
              <w:bottom w:val="nil"/>
              <w:right w:val="nil"/>
            </w:tcBorders>
            <w:shd w:val="clear" w:color="auto" w:fill="auto"/>
            <w:noWrap/>
            <w:vAlign w:val="bottom"/>
          </w:tcPr>
          <w:p>
            <w:pPr>
              <w:rPr>
                <w:rFonts w:hint="default" w:ascii="Arial" w:hAnsi="Arial" w:cs="Arial"/>
                <w:i w:val="0"/>
                <w:iCs w:val="0"/>
                <w:color w:val="000000"/>
                <w:sz w:val="11"/>
                <w:szCs w:val="11"/>
                <w:u w:val="none"/>
              </w:rPr>
            </w:pPr>
          </w:p>
        </w:tc>
        <w:tc>
          <w:tcPr>
            <w:tcW w:w="711" w:type="pct"/>
            <w:tcBorders>
              <w:top w:val="nil"/>
              <w:left w:val="nil"/>
              <w:bottom w:val="nil"/>
              <w:right w:val="nil"/>
            </w:tcBorders>
            <w:shd w:val="clear" w:color="auto" w:fill="auto"/>
            <w:noWrap/>
            <w:vAlign w:val="bottom"/>
          </w:tcPr>
          <w:p>
            <w:pPr>
              <w:rPr>
                <w:rFonts w:hint="default" w:ascii="Arial" w:hAnsi="Arial" w:cs="Arial"/>
                <w:i w:val="0"/>
                <w:iCs w:val="0"/>
                <w:color w:val="000000"/>
                <w:sz w:val="11"/>
                <w:szCs w:val="11"/>
                <w:u w:val="none"/>
              </w:rPr>
            </w:pPr>
          </w:p>
        </w:tc>
        <w:tc>
          <w:tcPr>
            <w:tcW w:w="94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570" w:type="pct"/>
            <w:gridSpan w:val="2"/>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编制单位：浮梁县城市管理局</w:t>
            </w:r>
          </w:p>
        </w:tc>
        <w:tc>
          <w:tcPr>
            <w:tcW w:w="770" w:type="pct"/>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2022年度</w:t>
            </w:r>
          </w:p>
        </w:tc>
        <w:tc>
          <w:tcPr>
            <w:tcW w:w="711" w:type="pct"/>
            <w:tcBorders>
              <w:top w:val="nil"/>
              <w:left w:val="nil"/>
              <w:bottom w:val="nil"/>
              <w:right w:val="nil"/>
            </w:tcBorders>
            <w:shd w:val="clear" w:color="auto" w:fill="auto"/>
            <w:noWrap/>
            <w:vAlign w:val="bottom"/>
          </w:tcPr>
          <w:p>
            <w:pPr>
              <w:rPr>
                <w:rFonts w:hint="default" w:ascii="Arial" w:hAnsi="Arial" w:cs="Arial"/>
                <w:i w:val="0"/>
                <w:iCs w:val="0"/>
                <w:color w:val="000000"/>
                <w:sz w:val="11"/>
                <w:szCs w:val="11"/>
                <w:u w:val="none"/>
              </w:rPr>
            </w:pPr>
          </w:p>
        </w:tc>
        <w:tc>
          <w:tcPr>
            <w:tcW w:w="94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186" w:type="pct"/>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项目</w:t>
            </w:r>
          </w:p>
        </w:tc>
        <w:tc>
          <w:tcPr>
            <w:tcW w:w="383" w:type="pct"/>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栏次</w:t>
            </w:r>
          </w:p>
        </w:tc>
        <w:tc>
          <w:tcPr>
            <w:tcW w:w="770" w:type="pct"/>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年初预算数</w:t>
            </w:r>
          </w:p>
        </w:tc>
        <w:tc>
          <w:tcPr>
            <w:tcW w:w="711" w:type="pct"/>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全年预算数</w:t>
            </w:r>
          </w:p>
        </w:tc>
        <w:tc>
          <w:tcPr>
            <w:tcW w:w="947" w:type="pct"/>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行次</w:t>
            </w:r>
          </w:p>
        </w:tc>
        <w:tc>
          <w:tcPr>
            <w:tcW w:w="383" w:type="pct"/>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5"/>
                <w:szCs w:val="15"/>
                <w:u w:val="none"/>
              </w:rPr>
            </w:pPr>
          </w:p>
        </w:tc>
        <w:tc>
          <w:tcPr>
            <w:tcW w:w="77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w:t>
            </w:r>
          </w:p>
        </w:tc>
        <w:tc>
          <w:tcPr>
            <w:tcW w:w="71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w:t>
            </w:r>
          </w:p>
        </w:tc>
        <w:tc>
          <w:tcPr>
            <w:tcW w:w="94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一、“三公”经费支出</w:t>
            </w:r>
          </w:p>
        </w:tc>
        <w:tc>
          <w:tcPr>
            <w:tcW w:w="38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w:t>
            </w:r>
          </w:p>
        </w:tc>
        <w:tc>
          <w:tcPr>
            <w:tcW w:w="7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7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2.69</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1.因公出国（境）费</w:t>
            </w:r>
          </w:p>
        </w:tc>
        <w:tc>
          <w:tcPr>
            <w:tcW w:w="38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w:t>
            </w:r>
          </w:p>
        </w:tc>
        <w:tc>
          <w:tcPr>
            <w:tcW w:w="7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7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2.公务用车购置及运行维护费</w:t>
            </w:r>
          </w:p>
        </w:tc>
        <w:tc>
          <w:tcPr>
            <w:tcW w:w="38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3</w:t>
            </w:r>
          </w:p>
        </w:tc>
        <w:tc>
          <w:tcPr>
            <w:tcW w:w="7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7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（1）公务用车购置费</w:t>
            </w:r>
          </w:p>
        </w:tc>
        <w:tc>
          <w:tcPr>
            <w:tcW w:w="38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4</w:t>
            </w:r>
          </w:p>
        </w:tc>
        <w:tc>
          <w:tcPr>
            <w:tcW w:w="7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7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（2）公务用车运行维护费</w:t>
            </w:r>
          </w:p>
        </w:tc>
        <w:tc>
          <w:tcPr>
            <w:tcW w:w="38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5</w:t>
            </w:r>
          </w:p>
        </w:tc>
        <w:tc>
          <w:tcPr>
            <w:tcW w:w="7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7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0.00</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3.公务接待费</w:t>
            </w:r>
          </w:p>
        </w:tc>
        <w:tc>
          <w:tcPr>
            <w:tcW w:w="38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6</w:t>
            </w:r>
          </w:p>
        </w:tc>
        <w:tc>
          <w:tcPr>
            <w:tcW w:w="7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c>
          <w:tcPr>
            <w:tcW w:w="7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2.69</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（1）国内接待费</w:t>
            </w:r>
          </w:p>
        </w:tc>
        <w:tc>
          <w:tcPr>
            <w:tcW w:w="38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7</w:t>
            </w:r>
          </w:p>
        </w:tc>
        <w:tc>
          <w:tcPr>
            <w:tcW w:w="7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w:t>
            </w:r>
          </w:p>
        </w:tc>
        <w:tc>
          <w:tcPr>
            <w:tcW w:w="7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其中：外事接待费</w:t>
            </w:r>
          </w:p>
        </w:tc>
        <w:tc>
          <w:tcPr>
            <w:tcW w:w="38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8</w:t>
            </w:r>
          </w:p>
        </w:tc>
        <w:tc>
          <w:tcPr>
            <w:tcW w:w="7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w:t>
            </w:r>
          </w:p>
        </w:tc>
        <w:tc>
          <w:tcPr>
            <w:tcW w:w="7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（2）国（境）外接待费</w:t>
            </w:r>
          </w:p>
        </w:tc>
        <w:tc>
          <w:tcPr>
            <w:tcW w:w="38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9</w:t>
            </w:r>
          </w:p>
        </w:tc>
        <w:tc>
          <w:tcPr>
            <w:tcW w:w="7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w:t>
            </w:r>
          </w:p>
        </w:tc>
        <w:tc>
          <w:tcPr>
            <w:tcW w:w="7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二、相关统计数</w:t>
            </w:r>
          </w:p>
        </w:tc>
        <w:tc>
          <w:tcPr>
            <w:tcW w:w="38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10</w:t>
            </w:r>
          </w:p>
        </w:tc>
        <w:tc>
          <w:tcPr>
            <w:tcW w:w="7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w:t>
            </w:r>
          </w:p>
        </w:tc>
        <w:tc>
          <w:tcPr>
            <w:tcW w:w="7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1.因公出国（境）团组数（个）</w:t>
            </w:r>
          </w:p>
        </w:tc>
        <w:tc>
          <w:tcPr>
            <w:tcW w:w="38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11</w:t>
            </w:r>
          </w:p>
        </w:tc>
        <w:tc>
          <w:tcPr>
            <w:tcW w:w="7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w:t>
            </w:r>
          </w:p>
        </w:tc>
        <w:tc>
          <w:tcPr>
            <w:tcW w:w="7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2.因公出国（境）人次数（人）</w:t>
            </w:r>
          </w:p>
        </w:tc>
        <w:tc>
          <w:tcPr>
            <w:tcW w:w="38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12</w:t>
            </w:r>
          </w:p>
        </w:tc>
        <w:tc>
          <w:tcPr>
            <w:tcW w:w="7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w:t>
            </w:r>
          </w:p>
        </w:tc>
        <w:tc>
          <w:tcPr>
            <w:tcW w:w="7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3.公务用车购置数（辆）</w:t>
            </w:r>
          </w:p>
        </w:tc>
        <w:tc>
          <w:tcPr>
            <w:tcW w:w="38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13</w:t>
            </w:r>
          </w:p>
        </w:tc>
        <w:tc>
          <w:tcPr>
            <w:tcW w:w="7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w:t>
            </w:r>
          </w:p>
        </w:tc>
        <w:tc>
          <w:tcPr>
            <w:tcW w:w="7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4.公务用车保有量（辆）</w:t>
            </w:r>
          </w:p>
        </w:tc>
        <w:tc>
          <w:tcPr>
            <w:tcW w:w="38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14</w:t>
            </w:r>
          </w:p>
        </w:tc>
        <w:tc>
          <w:tcPr>
            <w:tcW w:w="7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w:t>
            </w:r>
          </w:p>
        </w:tc>
        <w:tc>
          <w:tcPr>
            <w:tcW w:w="7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5.国内公务接待批次（个）</w:t>
            </w:r>
          </w:p>
        </w:tc>
        <w:tc>
          <w:tcPr>
            <w:tcW w:w="38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15</w:t>
            </w:r>
          </w:p>
        </w:tc>
        <w:tc>
          <w:tcPr>
            <w:tcW w:w="7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w:t>
            </w:r>
          </w:p>
        </w:tc>
        <w:tc>
          <w:tcPr>
            <w:tcW w:w="7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其中：外事接待批次（个）</w:t>
            </w:r>
          </w:p>
        </w:tc>
        <w:tc>
          <w:tcPr>
            <w:tcW w:w="38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16</w:t>
            </w:r>
          </w:p>
        </w:tc>
        <w:tc>
          <w:tcPr>
            <w:tcW w:w="7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w:t>
            </w:r>
          </w:p>
        </w:tc>
        <w:tc>
          <w:tcPr>
            <w:tcW w:w="7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6.国内公务接待人次（人）</w:t>
            </w:r>
          </w:p>
        </w:tc>
        <w:tc>
          <w:tcPr>
            <w:tcW w:w="38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17</w:t>
            </w:r>
          </w:p>
        </w:tc>
        <w:tc>
          <w:tcPr>
            <w:tcW w:w="7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w:t>
            </w:r>
          </w:p>
        </w:tc>
        <w:tc>
          <w:tcPr>
            <w:tcW w:w="7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407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其中：外事接待人次（人）</w:t>
            </w:r>
          </w:p>
        </w:tc>
        <w:tc>
          <w:tcPr>
            <w:tcW w:w="38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18</w:t>
            </w:r>
          </w:p>
        </w:tc>
        <w:tc>
          <w:tcPr>
            <w:tcW w:w="7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w:t>
            </w:r>
          </w:p>
        </w:tc>
        <w:tc>
          <w:tcPr>
            <w:tcW w:w="7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7.国（境）外公务接待批次（个）</w:t>
            </w:r>
          </w:p>
        </w:tc>
        <w:tc>
          <w:tcPr>
            <w:tcW w:w="38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19</w:t>
            </w:r>
          </w:p>
        </w:tc>
        <w:tc>
          <w:tcPr>
            <w:tcW w:w="7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w:t>
            </w:r>
          </w:p>
        </w:tc>
        <w:tc>
          <w:tcPr>
            <w:tcW w:w="7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8.国（境）外公务接待人次（人）</w:t>
            </w:r>
          </w:p>
        </w:tc>
        <w:tc>
          <w:tcPr>
            <w:tcW w:w="38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20</w:t>
            </w:r>
          </w:p>
        </w:tc>
        <w:tc>
          <w:tcPr>
            <w:tcW w:w="7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w:t>
            </w:r>
          </w:p>
        </w:tc>
        <w:tc>
          <w:tcPr>
            <w:tcW w:w="7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5000" w:type="pct"/>
            <w:gridSpan w:val="5"/>
            <w:vMerge w:val="restar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注：本表反映部门(单位)本年度财政拨款“三公”经费支出预决算情况。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5000" w:type="pct"/>
            <w:gridSpan w:val="5"/>
            <w:vMerge w:val="continue"/>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2"/>
                <w:szCs w:val="22"/>
                <w:u w:val="none"/>
              </w:rPr>
            </w:pPr>
          </w:p>
        </w:tc>
      </w:tr>
    </w:tbl>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tbl>
      <w:tblPr>
        <w:tblStyle w:val="4"/>
        <w:tblW w:w="87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77"/>
        <w:gridCol w:w="1155"/>
        <w:gridCol w:w="20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775" w:type="dxa"/>
            <w:gridSpan w:val="3"/>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0"/>
                <w:szCs w:val="40"/>
                <w:u w:val="none"/>
              </w:rPr>
            </w:pPr>
            <w:r>
              <w:rPr>
                <w:rFonts w:hint="eastAsia" w:ascii="宋体" w:hAnsi="宋体" w:eastAsia="宋体" w:cs="宋体"/>
                <w:i w:val="0"/>
                <w:iCs w:val="0"/>
                <w:snapToGrid w:val="0"/>
                <w:color w:val="000000"/>
                <w:kern w:val="0"/>
                <w:sz w:val="40"/>
                <w:szCs w:val="40"/>
                <w:u w:val="none"/>
                <w:lang w:val="en-US" w:eastAsia="zh-CN" w:bidi="ar"/>
              </w:rPr>
              <w:t>国有资产占用情况表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公开10表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编制单位：浮梁县城市管理局</w:t>
            </w:r>
          </w:p>
        </w:tc>
        <w:tc>
          <w:tcPr>
            <w:tcW w:w="0" w:type="auto"/>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2022年度</w:t>
            </w: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单位：台、辆、套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0" w:type="auto"/>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  目</w:t>
            </w:r>
          </w:p>
        </w:tc>
        <w:tc>
          <w:tcPr>
            <w:tcW w:w="0" w:type="auto"/>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栏次</w:t>
            </w:r>
          </w:p>
        </w:tc>
        <w:tc>
          <w:tcPr>
            <w:tcW w:w="0" w:type="auto"/>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一、车辆数合计(台、辆)</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1.副部（省）级及以上领导用车</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2.主要领导干部用车</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3.机要通信用车</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4.应急保障用车</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5.执法执勤用车</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6.特种专业技术用车</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7.离退休干部用车</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8.其他用车</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二、单价100万元（含）以上设备（不含车辆）</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注：本表反映截止2022年12月31日，部门(单位)占用的国有资产情况。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说明：当此表数据为空时，即本部门（单位）无相关资产。</w:t>
            </w:r>
          </w:p>
        </w:tc>
      </w:tr>
    </w:tbl>
    <w:p>
      <w:pPr>
        <w:sectPr>
          <w:footerReference r:id="rId12" w:type="default"/>
          <w:pgSz w:w="11840" w:h="16800"/>
          <w:pgMar w:top="1428" w:right="1493" w:bottom="1626" w:left="1625" w:header="0" w:footer="1327" w:gutter="0"/>
          <w:cols w:space="720" w:num="1"/>
        </w:sectPr>
      </w:pPr>
    </w:p>
    <w:p>
      <w:pPr>
        <w:pStyle w:val="2"/>
        <w:spacing w:line="319" w:lineRule="auto"/>
      </w:pPr>
    </w:p>
    <w:p>
      <w:pPr>
        <w:spacing w:before="137" w:line="224" w:lineRule="auto"/>
        <w:ind w:left="640"/>
        <w:rPr>
          <w:rFonts w:ascii="宋体" w:hAnsi="宋体" w:eastAsia="宋体" w:cs="宋体"/>
          <w:sz w:val="42"/>
          <w:szCs w:val="42"/>
        </w:rPr>
      </w:pPr>
      <w:r>
        <w:rPr>
          <w:rFonts w:ascii="宋体" w:hAnsi="宋体" w:eastAsia="宋体" w:cs="宋体"/>
          <w:spacing w:val="12"/>
          <w:sz w:val="42"/>
          <w:szCs w:val="42"/>
          <w14:textOutline w14:w="7809" w14:cap="sq" w14:cmpd="sng">
            <w14:solidFill>
              <w14:srgbClr w14:val="000000"/>
            </w14:solidFill>
            <w14:prstDash w14:val="solid"/>
            <w14:bevel/>
          </w14:textOutline>
        </w:rPr>
        <w:t>第三部分</w:t>
      </w:r>
      <w:r>
        <w:rPr>
          <w:rFonts w:ascii="宋体" w:hAnsi="宋体" w:eastAsia="宋体" w:cs="宋体"/>
          <w:spacing w:val="12"/>
          <w:sz w:val="42"/>
          <w:szCs w:val="42"/>
        </w:rPr>
        <w:t xml:space="preserve">  </w:t>
      </w:r>
      <w:r>
        <w:rPr>
          <w:rFonts w:ascii="宋体" w:hAnsi="宋体" w:eastAsia="宋体" w:cs="宋体"/>
          <w:spacing w:val="12"/>
          <w:sz w:val="42"/>
          <w:szCs w:val="42"/>
          <w14:textOutline w14:w="7809" w14:cap="sq" w14:cmpd="sng">
            <w14:solidFill>
              <w14:srgbClr w14:val="000000"/>
            </w14:solidFill>
            <w14:prstDash w14:val="solid"/>
            <w14:bevel/>
          </w14:textOutline>
        </w:rPr>
        <w:t>2022年度部门决算情况说明</w:t>
      </w:r>
    </w:p>
    <w:p>
      <w:pPr>
        <w:pStyle w:val="2"/>
        <w:spacing w:line="337" w:lineRule="auto"/>
      </w:pPr>
    </w:p>
    <w:p>
      <w:pPr>
        <w:pStyle w:val="2"/>
        <w:spacing w:line="338" w:lineRule="auto"/>
      </w:pPr>
    </w:p>
    <w:p>
      <w:pPr>
        <w:spacing w:before="98" w:line="227" w:lineRule="auto"/>
        <w:ind w:left="638"/>
        <w:outlineLvl w:val="0"/>
        <w:rPr>
          <w:rFonts w:ascii="黑体" w:hAnsi="黑体" w:eastAsia="黑体" w:cs="黑体"/>
          <w:sz w:val="30"/>
          <w:szCs w:val="30"/>
        </w:rPr>
      </w:pPr>
      <w:r>
        <w:rPr>
          <w:rFonts w:ascii="黑体" w:hAnsi="黑体" w:eastAsia="黑体" w:cs="黑体"/>
          <w:spacing w:val="11"/>
          <w:sz w:val="30"/>
          <w:szCs w:val="30"/>
          <w14:textOutline w14:w="5629" w14:cap="sq" w14:cmpd="sng">
            <w14:solidFill>
              <w14:srgbClr w14:val="000000"/>
            </w14:solidFill>
            <w14:prstDash w14:val="solid"/>
            <w14:bevel/>
          </w14:textOutline>
        </w:rPr>
        <w:t>一、收入决算情况说明</w:t>
      </w:r>
    </w:p>
    <w:p>
      <w:pPr>
        <w:spacing w:before="237" w:line="228" w:lineRule="auto"/>
        <w:ind w:left="638"/>
        <w:rPr>
          <w:rFonts w:ascii="仿宋" w:hAnsi="仿宋" w:eastAsia="仿宋" w:cs="仿宋"/>
          <w:sz w:val="30"/>
          <w:szCs w:val="30"/>
        </w:rPr>
      </w:pPr>
      <w:r>
        <w:rPr>
          <w:rFonts w:ascii="仿宋" w:hAnsi="仿宋" w:eastAsia="仿宋" w:cs="仿宋"/>
          <w:spacing w:val="21"/>
          <w:sz w:val="30"/>
          <w:szCs w:val="30"/>
        </w:rPr>
        <w:t>本部门2022年度收入总计</w:t>
      </w:r>
      <w:r>
        <w:rPr>
          <w:rFonts w:hint="eastAsia" w:ascii="仿宋" w:hAnsi="仿宋" w:eastAsia="仿宋" w:cs="仿宋"/>
          <w:spacing w:val="41"/>
          <w:sz w:val="30"/>
          <w:szCs w:val="30"/>
        </w:rPr>
        <w:t>9801.91</w:t>
      </w:r>
      <w:r>
        <w:rPr>
          <w:rFonts w:ascii="仿宋" w:hAnsi="仿宋" w:eastAsia="仿宋" w:cs="仿宋"/>
          <w:spacing w:val="21"/>
          <w:sz w:val="30"/>
          <w:szCs w:val="30"/>
        </w:rPr>
        <w:t>万元</w:t>
      </w:r>
      <w:r>
        <w:rPr>
          <w:rFonts w:ascii="仿宋" w:hAnsi="仿宋" w:eastAsia="仿宋" w:cs="仿宋"/>
          <w:spacing w:val="-85"/>
          <w:sz w:val="30"/>
          <w:szCs w:val="30"/>
        </w:rPr>
        <w:t xml:space="preserve"> </w:t>
      </w:r>
      <w:r>
        <w:rPr>
          <w:rFonts w:ascii="仿宋" w:hAnsi="仿宋" w:eastAsia="仿宋" w:cs="仿宋"/>
          <w:spacing w:val="21"/>
          <w:sz w:val="30"/>
          <w:szCs w:val="30"/>
        </w:rPr>
        <w:t>，较2021年减</w:t>
      </w:r>
    </w:p>
    <w:p>
      <w:pPr>
        <w:spacing w:before="229" w:line="362" w:lineRule="auto"/>
        <w:ind w:left="17" w:right="93"/>
        <w:jc w:val="both"/>
        <w:rPr>
          <w:rFonts w:ascii="仿宋" w:hAnsi="仿宋" w:eastAsia="仿宋" w:cs="仿宋"/>
          <w:sz w:val="30"/>
          <w:szCs w:val="30"/>
        </w:rPr>
      </w:pPr>
      <w:r>
        <w:rPr>
          <w:rFonts w:ascii="仿宋" w:hAnsi="仿宋" w:eastAsia="仿宋" w:cs="仿宋"/>
          <w:spacing w:val="18"/>
          <w:sz w:val="30"/>
          <w:szCs w:val="30"/>
        </w:rPr>
        <w:t>少</w:t>
      </w:r>
      <w:r>
        <w:rPr>
          <w:rFonts w:hint="eastAsia" w:ascii="仿宋" w:hAnsi="仿宋" w:eastAsia="仿宋" w:cs="仿宋"/>
          <w:spacing w:val="18"/>
          <w:sz w:val="30"/>
          <w:szCs w:val="30"/>
          <w:lang w:val="en-US" w:eastAsia="zh-CN"/>
        </w:rPr>
        <w:t>5092.08</w:t>
      </w:r>
      <w:r>
        <w:rPr>
          <w:rFonts w:ascii="仿宋" w:hAnsi="仿宋" w:eastAsia="仿宋" w:cs="仿宋"/>
          <w:spacing w:val="18"/>
          <w:sz w:val="30"/>
          <w:szCs w:val="30"/>
        </w:rPr>
        <w:t>万元</w:t>
      </w:r>
      <w:r>
        <w:rPr>
          <w:rFonts w:ascii="仿宋" w:hAnsi="仿宋" w:eastAsia="仿宋" w:cs="仿宋"/>
          <w:spacing w:val="-90"/>
          <w:sz w:val="30"/>
          <w:szCs w:val="30"/>
        </w:rPr>
        <w:t xml:space="preserve"> </w:t>
      </w:r>
      <w:r>
        <w:rPr>
          <w:rFonts w:ascii="仿宋" w:hAnsi="仿宋" w:eastAsia="仿宋" w:cs="仿宋"/>
          <w:spacing w:val="18"/>
          <w:sz w:val="30"/>
          <w:szCs w:val="30"/>
        </w:rPr>
        <w:t>。其中年初结转和结余</w:t>
      </w:r>
      <w:r>
        <w:rPr>
          <w:rFonts w:hint="eastAsia" w:ascii="仿宋" w:hAnsi="仿宋" w:eastAsia="仿宋" w:cs="仿宋"/>
          <w:spacing w:val="39"/>
          <w:sz w:val="30"/>
          <w:szCs w:val="30"/>
          <w:lang w:val="en-US" w:eastAsia="zh-CN"/>
        </w:rPr>
        <w:t>0</w:t>
      </w:r>
      <w:r>
        <w:rPr>
          <w:rFonts w:ascii="仿宋" w:hAnsi="仿宋" w:eastAsia="仿宋" w:cs="仿宋"/>
          <w:spacing w:val="18"/>
          <w:sz w:val="30"/>
          <w:szCs w:val="30"/>
        </w:rPr>
        <w:t>万元，较20</w:t>
      </w:r>
      <w:r>
        <w:rPr>
          <w:rFonts w:ascii="仿宋" w:hAnsi="仿宋" w:eastAsia="仿宋" w:cs="仿宋"/>
          <w:spacing w:val="17"/>
          <w:sz w:val="30"/>
          <w:szCs w:val="30"/>
        </w:rPr>
        <w:t>21年减</w:t>
      </w:r>
      <w:r>
        <w:rPr>
          <w:rFonts w:ascii="仿宋" w:hAnsi="仿宋" w:eastAsia="仿宋" w:cs="仿宋"/>
          <w:spacing w:val="18"/>
          <w:sz w:val="30"/>
          <w:szCs w:val="30"/>
        </w:rPr>
        <w:t xml:space="preserve">少 </w:t>
      </w:r>
      <w:r>
        <w:rPr>
          <w:rFonts w:hint="eastAsia" w:ascii="仿宋" w:hAnsi="仿宋" w:eastAsia="仿宋" w:cs="仿宋"/>
          <w:spacing w:val="18"/>
          <w:sz w:val="30"/>
          <w:szCs w:val="30"/>
        </w:rPr>
        <w:t>1740.06</w:t>
      </w:r>
      <w:r>
        <w:rPr>
          <w:rFonts w:ascii="仿宋" w:hAnsi="仿宋" w:eastAsia="仿宋" w:cs="仿宋"/>
          <w:spacing w:val="18"/>
          <w:sz w:val="30"/>
          <w:szCs w:val="30"/>
        </w:rPr>
        <w:t>万元</w:t>
      </w:r>
      <w:r>
        <w:rPr>
          <w:rFonts w:ascii="仿宋" w:hAnsi="仿宋" w:eastAsia="仿宋" w:cs="仿宋"/>
          <w:spacing w:val="-83"/>
          <w:sz w:val="30"/>
          <w:szCs w:val="30"/>
        </w:rPr>
        <w:t xml:space="preserve"> </w:t>
      </w:r>
      <w:r>
        <w:rPr>
          <w:rFonts w:ascii="仿宋" w:hAnsi="仿宋" w:eastAsia="仿宋" w:cs="仿宋"/>
          <w:spacing w:val="18"/>
          <w:sz w:val="30"/>
          <w:szCs w:val="30"/>
        </w:rPr>
        <w:t>，下降</w:t>
      </w:r>
      <w:r>
        <w:rPr>
          <w:rFonts w:hint="eastAsia" w:ascii="仿宋" w:hAnsi="仿宋" w:eastAsia="仿宋" w:cs="仿宋"/>
          <w:spacing w:val="18"/>
          <w:sz w:val="30"/>
          <w:szCs w:val="30"/>
          <w:lang w:val="en-US" w:eastAsia="zh-CN"/>
        </w:rPr>
        <w:t>100</w:t>
      </w:r>
      <w:r>
        <w:rPr>
          <w:rFonts w:ascii="仿宋" w:hAnsi="仿宋" w:eastAsia="仿宋" w:cs="仿宋"/>
          <w:spacing w:val="18"/>
          <w:sz w:val="30"/>
          <w:szCs w:val="30"/>
        </w:rPr>
        <w:t>%;本年收入合计</w:t>
      </w:r>
      <w:r>
        <w:rPr>
          <w:rFonts w:hint="eastAsia" w:ascii="仿宋" w:hAnsi="仿宋" w:eastAsia="仿宋" w:cs="仿宋"/>
          <w:spacing w:val="41"/>
          <w:sz w:val="30"/>
          <w:szCs w:val="30"/>
        </w:rPr>
        <w:t>9801.91</w:t>
      </w:r>
      <w:r>
        <w:rPr>
          <w:rFonts w:ascii="仿宋" w:hAnsi="仿宋" w:eastAsia="仿宋" w:cs="仿宋"/>
          <w:spacing w:val="18"/>
          <w:sz w:val="30"/>
          <w:szCs w:val="30"/>
        </w:rPr>
        <w:t>万元</w:t>
      </w:r>
      <w:r>
        <w:rPr>
          <w:rFonts w:ascii="仿宋" w:hAnsi="仿宋" w:eastAsia="仿宋" w:cs="仿宋"/>
          <w:spacing w:val="-89"/>
          <w:sz w:val="30"/>
          <w:szCs w:val="30"/>
        </w:rPr>
        <w:t xml:space="preserve"> </w:t>
      </w:r>
      <w:r>
        <w:rPr>
          <w:rFonts w:ascii="仿宋" w:hAnsi="仿宋" w:eastAsia="仿宋" w:cs="仿宋"/>
          <w:spacing w:val="18"/>
          <w:sz w:val="30"/>
          <w:szCs w:val="30"/>
        </w:rPr>
        <w:t>，较2021</w:t>
      </w:r>
      <w:r>
        <w:rPr>
          <w:rFonts w:ascii="仿宋" w:hAnsi="仿宋" w:eastAsia="仿宋" w:cs="仿宋"/>
          <w:spacing w:val="14"/>
          <w:sz w:val="30"/>
          <w:szCs w:val="30"/>
        </w:rPr>
        <w:t>年减少</w:t>
      </w:r>
      <w:r>
        <w:rPr>
          <w:rFonts w:hint="eastAsia" w:ascii="仿宋" w:hAnsi="仿宋" w:eastAsia="仿宋" w:cs="仿宋"/>
          <w:spacing w:val="18"/>
          <w:sz w:val="30"/>
          <w:szCs w:val="30"/>
          <w:lang w:val="en-US" w:eastAsia="zh-CN"/>
        </w:rPr>
        <w:t>3352.02</w:t>
      </w:r>
      <w:r>
        <w:rPr>
          <w:rFonts w:ascii="仿宋" w:hAnsi="仿宋" w:eastAsia="仿宋" w:cs="仿宋"/>
          <w:spacing w:val="14"/>
          <w:sz w:val="30"/>
          <w:szCs w:val="30"/>
        </w:rPr>
        <w:t>万元，下降</w:t>
      </w:r>
      <w:r>
        <w:rPr>
          <w:rFonts w:hint="eastAsia" w:ascii="仿宋" w:hAnsi="仿宋" w:eastAsia="仿宋" w:cs="仿宋"/>
          <w:spacing w:val="14"/>
          <w:sz w:val="30"/>
          <w:szCs w:val="30"/>
          <w:lang w:val="en-US" w:eastAsia="zh-CN"/>
        </w:rPr>
        <w:t>25.48</w:t>
      </w:r>
      <w:r>
        <w:rPr>
          <w:rFonts w:ascii="仿宋" w:hAnsi="仿宋" w:eastAsia="仿宋" w:cs="仿宋"/>
          <w:spacing w:val="14"/>
          <w:sz w:val="30"/>
          <w:szCs w:val="30"/>
        </w:rPr>
        <w:t>%,主要原因是：</w:t>
      </w:r>
      <w:r>
        <w:rPr>
          <w:rFonts w:hint="eastAsia" w:ascii="仿宋" w:hAnsi="仿宋" w:eastAsia="仿宋" w:cs="仿宋"/>
          <w:spacing w:val="46"/>
          <w:sz w:val="30"/>
          <w:szCs w:val="30"/>
          <w:lang w:eastAsia="zh-CN"/>
        </w:rPr>
        <w:t>政府性基金预算财政拨款收入减少</w:t>
      </w:r>
      <w:r>
        <w:rPr>
          <w:rFonts w:ascii="仿宋" w:hAnsi="仿宋" w:eastAsia="仿宋" w:cs="仿宋"/>
          <w:spacing w:val="14"/>
          <w:sz w:val="30"/>
          <w:szCs w:val="30"/>
        </w:rPr>
        <w:t>。</w:t>
      </w:r>
    </w:p>
    <w:p>
      <w:pPr>
        <w:spacing w:before="259" w:line="370" w:lineRule="auto"/>
        <w:ind w:left="17" w:right="64" w:firstLine="620"/>
        <w:jc w:val="both"/>
        <w:rPr>
          <w:rFonts w:ascii="仿宋" w:hAnsi="仿宋" w:eastAsia="仿宋" w:cs="仿宋"/>
          <w:sz w:val="30"/>
          <w:szCs w:val="30"/>
        </w:rPr>
      </w:pPr>
      <w:r>
        <w:rPr>
          <w:rFonts w:ascii="仿宋" w:hAnsi="仿宋" w:eastAsia="仿宋" w:cs="仿宋"/>
          <w:spacing w:val="3"/>
          <w:sz w:val="30"/>
          <w:szCs w:val="30"/>
        </w:rPr>
        <w:t>本年收入的具体构成为：财政拨款收入</w:t>
      </w:r>
      <w:r>
        <w:rPr>
          <w:rFonts w:hint="eastAsia" w:ascii="仿宋" w:hAnsi="仿宋" w:eastAsia="仿宋" w:cs="仿宋"/>
          <w:spacing w:val="41"/>
          <w:sz w:val="30"/>
          <w:szCs w:val="30"/>
        </w:rPr>
        <w:t>9801.91</w:t>
      </w:r>
      <w:r>
        <w:rPr>
          <w:rFonts w:ascii="仿宋" w:hAnsi="仿宋" w:eastAsia="仿宋" w:cs="仿宋"/>
          <w:spacing w:val="3"/>
          <w:sz w:val="30"/>
          <w:szCs w:val="30"/>
        </w:rPr>
        <w:t>万元，</w:t>
      </w:r>
      <w:r>
        <w:rPr>
          <w:rFonts w:ascii="仿宋" w:hAnsi="仿宋" w:eastAsia="仿宋" w:cs="仿宋"/>
          <w:spacing w:val="-57"/>
          <w:sz w:val="30"/>
          <w:szCs w:val="30"/>
        </w:rPr>
        <w:t xml:space="preserve"> </w:t>
      </w:r>
      <w:r>
        <w:rPr>
          <w:rFonts w:ascii="仿宋" w:hAnsi="仿宋" w:eastAsia="仿宋" w:cs="仿宋"/>
          <w:spacing w:val="3"/>
          <w:sz w:val="30"/>
          <w:szCs w:val="30"/>
        </w:rPr>
        <w:t>占</w:t>
      </w:r>
      <w:r>
        <w:rPr>
          <w:rFonts w:hint="eastAsia" w:ascii="仿宋" w:hAnsi="仿宋" w:eastAsia="仿宋" w:cs="仿宋"/>
          <w:spacing w:val="3"/>
          <w:sz w:val="30"/>
          <w:szCs w:val="30"/>
          <w:lang w:val="en-US" w:eastAsia="zh-CN"/>
        </w:rPr>
        <w:t>100</w:t>
      </w:r>
      <w:r>
        <w:rPr>
          <w:rFonts w:ascii="仿宋" w:hAnsi="仿宋" w:eastAsia="仿宋" w:cs="仿宋"/>
          <w:spacing w:val="3"/>
          <w:sz w:val="30"/>
          <w:szCs w:val="30"/>
        </w:rPr>
        <w:t>%</w:t>
      </w:r>
      <w:r>
        <w:rPr>
          <w:rFonts w:ascii="仿宋" w:hAnsi="仿宋" w:eastAsia="仿宋" w:cs="仿宋"/>
          <w:spacing w:val="49"/>
          <w:sz w:val="30"/>
          <w:szCs w:val="30"/>
        </w:rPr>
        <w:t xml:space="preserve"> </w:t>
      </w:r>
      <w:r>
        <w:rPr>
          <w:rFonts w:ascii="仿宋" w:hAnsi="仿宋" w:eastAsia="仿宋" w:cs="仿宋"/>
          <w:spacing w:val="3"/>
          <w:sz w:val="30"/>
          <w:szCs w:val="30"/>
        </w:rPr>
        <w:t>; 事</w:t>
      </w:r>
      <w:r>
        <w:rPr>
          <w:rFonts w:ascii="仿宋" w:hAnsi="仿宋" w:eastAsia="仿宋" w:cs="仿宋"/>
          <w:sz w:val="30"/>
          <w:szCs w:val="30"/>
        </w:rPr>
        <w:t xml:space="preserve"> </w:t>
      </w:r>
      <w:r>
        <w:rPr>
          <w:rFonts w:ascii="仿宋" w:hAnsi="仿宋" w:eastAsia="仿宋" w:cs="仿宋"/>
          <w:spacing w:val="12"/>
          <w:sz w:val="30"/>
          <w:szCs w:val="30"/>
        </w:rPr>
        <w:t>业收入</w:t>
      </w:r>
      <w:r>
        <w:rPr>
          <w:rFonts w:hint="eastAsia" w:ascii="仿宋" w:hAnsi="仿宋" w:eastAsia="仿宋" w:cs="仿宋"/>
          <w:spacing w:val="32"/>
          <w:sz w:val="30"/>
          <w:szCs w:val="30"/>
          <w:lang w:val="en-US" w:eastAsia="zh-CN"/>
        </w:rPr>
        <w:t>0</w:t>
      </w:r>
      <w:r>
        <w:rPr>
          <w:rFonts w:ascii="仿宋" w:hAnsi="仿宋" w:eastAsia="仿宋" w:cs="仿宋"/>
          <w:spacing w:val="12"/>
          <w:sz w:val="30"/>
          <w:szCs w:val="30"/>
        </w:rPr>
        <w:t>万元</w:t>
      </w:r>
      <w:r>
        <w:rPr>
          <w:rFonts w:ascii="仿宋" w:hAnsi="仿宋" w:eastAsia="仿宋" w:cs="仿宋"/>
          <w:spacing w:val="-82"/>
          <w:sz w:val="30"/>
          <w:szCs w:val="30"/>
        </w:rPr>
        <w:t xml:space="preserve"> </w:t>
      </w:r>
      <w:r>
        <w:rPr>
          <w:rFonts w:ascii="仿宋" w:hAnsi="仿宋" w:eastAsia="仿宋" w:cs="仿宋"/>
          <w:spacing w:val="12"/>
          <w:sz w:val="30"/>
          <w:szCs w:val="30"/>
        </w:rPr>
        <w:t>，</w:t>
      </w:r>
      <w:r>
        <w:rPr>
          <w:rFonts w:ascii="仿宋" w:hAnsi="仿宋" w:eastAsia="仿宋" w:cs="仿宋"/>
          <w:spacing w:val="-43"/>
          <w:sz w:val="30"/>
          <w:szCs w:val="30"/>
        </w:rPr>
        <w:t xml:space="preserve"> </w:t>
      </w:r>
      <w:r>
        <w:rPr>
          <w:rFonts w:ascii="仿宋" w:hAnsi="仿宋" w:eastAsia="仿宋" w:cs="仿宋"/>
          <w:spacing w:val="12"/>
          <w:sz w:val="30"/>
          <w:szCs w:val="30"/>
        </w:rPr>
        <w:t>占</w:t>
      </w:r>
      <w:r>
        <w:rPr>
          <w:rFonts w:hint="eastAsia" w:ascii="仿宋" w:hAnsi="仿宋" w:eastAsia="仿宋" w:cs="仿宋"/>
          <w:spacing w:val="12"/>
          <w:sz w:val="30"/>
          <w:szCs w:val="30"/>
          <w:lang w:val="en-US" w:eastAsia="zh-CN"/>
        </w:rPr>
        <w:t>0</w:t>
      </w:r>
      <w:r>
        <w:rPr>
          <w:rFonts w:ascii="仿宋" w:hAnsi="仿宋" w:eastAsia="仿宋" w:cs="仿宋"/>
          <w:spacing w:val="12"/>
          <w:sz w:val="30"/>
          <w:szCs w:val="30"/>
        </w:rPr>
        <w:t>%;经营收入</w:t>
      </w:r>
      <w:r>
        <w:rPr>
          <w:rFonts w:hint="eastAsia" w:ascii="仿宋" w:hAnsi="仿宋" w:eastAsia="仿宋" w:cs="仿宋"/>
          <w:spacing w:val="19"/>
          <w:sz w:val="30"/>
          <w:szCs w:val="30"/>
          <w:lang w:val="en-US" w:eastAsia="zh-CN"/>
        </w:rPr>
        <w:t>0</w:t>
      </w:r>
      <w:r>
        <w:rPr>
          <w:rFonts w:ascii="仿宋" w:hAnsi="仿宋" w:eastAsia="仿宋" w:cs="仿宋"/>
          <w:spacing w:val="12"/>
          <w:sz w:val="30"/>
          <w:szCs w:val="30"/>
        </w:rPr>
        <w:t>万元</w:t>
      </w:r>
      <w:r>
        <w:rPr>
          <w:rFonts w:ascii="仿宋" w:hAnsi="仿宋" w:eastAsia="仿宋" w:cs="仿宋"/>
          <w:spacing w:val="-84"/>
          <w:sz w:val="30"/>
          <w:szCs w:val="30"/>
        </w:rPr>
        <w:t xml:space="preserve"> </w:t>
      </w:r>
      <w:r>
        <w:rPr>
          <w:rFonts w:ascii="仿宋" w:hAnsi="仿宋" w:eastAsia="仿宋" w:cs="仿宋"/>
          <w:spacing w:val="12"/>
          <w:sz w:val="30"/>
          <w:szCs w:val="30"/>
        </w:rPr>
        <w:t>，</w:t>
      </w:r>
      <w:r>
        <w:rPr>
          <w:rFonts w:ascii="仿宋" w:hAnsi="仿宋" w:eastAsia="仿宋" w:cs="仿宋"/>
          <w:spacing w:val="-43"/>
          <w:sz w:val="30"/>
          <w:szCs w:val="30"/>
        </w:rPr>
        <w:t xml:space="preserve"> </w:t>
      </w:r>
      <w:r>
        <w:rPr>
          <w:rFonts w:ascii="仿宋" w:hAnsi="仿宋" w:eastAsia="仿宋" w:cs="仿宋"/>
          <w:spacing w:val="12"/>
          <w:sz w:val="30"/>
          <w:szCs w:val="30"/>
        </w:rPr>
        <w:t>占</w:t>
      </w:r>
      <w:r>
        <w:rPr>
          <w:rFonts w:hint="eastAsia" w:ascii="仿宋" w:hAnsi="仿宋" w:eastAsia="仿宋" w:cs="仿宋"/>
          <w:spacing w:val="12"/>
          <w:sz w:val="30"/>
          <w:szCs w:val="30"/>
          <w:lang w:val="en-US" w:eastAsia="zh-CN"/>
        </w:rPr>
        <w:t>0</w:t>
      </w:r>
      <w:r>
        <w:rPr>
          <w:rFonts w:ascii="仿宋" w:hAnsi="仿宋" w:eastAsia="仿宋" w:cs="仿宋"/>
          <w:spacing w:val="12"/>
          <w:sz w:val="30"/>
          <w:szCs w:val="30"/>
        </w:rPr>
        <w:t xml:space="preserve"> %;其他</w:t>
      </w:r>
      <w:r>
        <w:rPr>
          <w:rFonts w:ascii="仿宋" w:hAnsi="仿宋" w:eastAsia="仿宋" w:cs="仿宋"/>
          <w:spacing w:val="11"/>
          <w:sz w:val="30"/>
          <w:szCs w:val="30"/>
        </w:rPr>
        <w:t>收入</w:t>
      </w:r>
      <w:r>
        <w:rPr>
          <w:rFonts w:hint="eastAsia" w:ascii="仿宋" w:hAnsi="仿宋" w:eastAsia="仿宋" w:cs="仿宋"/>
          <w:sz w:val="30"/>
          <w:szCs w:val="30"/>
          <w:lang w:val="en-US" w:eastAsia="zh-CN"/>
        </w:rPr>
        <w:t>0</w:t>
      </w:r>
      <w:r>
        <w:rPr>
          <w:rFonts w:ascii="仿宋" w:hAnsi="仿宋" w:eastAsia="仿宋" w:cs="仿宋"/>
          <w:spacing w:val="-13"/>
          <w:sz w:val="30"/>
          <w:szCs w:val="30"/>
        </w:rPr>
        <w:t>万元，</w:t>
      </w:r>
      <w:r>
        <w:rPr>
          <w:rFonts w:ascii="仿宋" w:hAnsi="仿宋" w:eastAsia="仿宋" w:cs="仿宋"/>
          <w:spacing w:val="-74"/>
          <w:sz w:val="30"/>
          <w:szCs w:val="30"/>
        </w:rPr>
        <w:t xml:space="preserve"> </w:t>
      </w:r>
      <w:r>
        <w:rPr>
          <w:rFonts w:ascii="仿宋" w:hAnsi="仿宋" w:eastAsia="仿宋" w:cs="仿宋"/>
          <w:spacing w:val="-13"/>
          <w:sz w:val="30"/>
          <w:szCs w:val="30"/>
        </w:rPr>
        <w:t>占</w:t>
      </w:r>
      <w:r>
        <w:rPr>
          <w:rFonts w:hint="eastAsia" w:ascii="仿宋" w:hAnsi="仿宋" w:eastAsia="仿宋" w:cs="仿宋"/>
          <w:spacing w:val="10"/>
          <w:sz w:val="30"/>
          <w:szCs w:val="30"/>
          <w:lang w:val="en-US" w:eastAsia="zh-CN"/>
        </w:rPr>
        <w:t>0</w:t>
      </w:r>
      <w:r>
        <w:rPr>
          <w:rFonts w:ascii="仿宋" w:hAnsi="仿宋" w:eastAsia="仿宋" w:cs="仿宋"/>
          <w:spacing w:val="-13"/>
          <w:sz w:val="30"/>
          <w:szCs w:val="30"/>
        </w:rPr>
        <w:t>%。</w:t>
      </w:r>
    </w:p>
    <w:p>
      <w:pPr>
        <w:spacing w:before="194" w:line="227" w:lineRule="auto"/>
        <w:ind w:left="638"/>
        <w:outlineLvl w:val="0"/>
        <w:rPr>
          <w:rFonts w:ascii="黑体" w:hAnsi="黑体" w:eastAsia="黑体" w:cs="黑体"/>
          <w:sz w:val="30"/>
          <w:szCs w:val="30"/>
        </w:rPr>
      </w:pPr>
      <w:r>
        <w:rPr>
          <w:rFonts w:ascii="黑体" w:hAnsi="黑体" w:eastAsia="黑体" w:cs="黑体"/>
          <w:spacing w:val="-1"/>
          <w:sz w:val="30"/>
          <w:szCs w:val="30"/>
          <w14:textOutline w14:w="5629" w14:cap="sq" w14:cmpd="sng">
            <w14:solidFill>
              <w14:srgbClr w14:val="000000"/>
            </w14:solidFill>
            <w14:prstDash w14:val="solid"/>
            <w14:bevel/>
          </w14:textOutline>
        </w:rPr>
        <w:t>二、</w:t>
      </w:r>
      <w:r>
        <w:rPr>
          <w:rFonts w:ascii="黑体" w:hAnsi="黑体" w:eastAsia="黑体" w:cs="黑体"/>
          <w:spacing w:val="-33"/>
          <w:sz w:val="30"/>
          <w:szCs w:val="30"/>
        </w:rPr>
        <w:t xml:space="preserve"> </w:t>
      </w:r>
      <w:r>
        <w:rPr>
          <w:rFonts w:ascii="黑体" w:hAnsi="黑体" w:eastAsia="黑体" w:cs="黑体"/>
          <w:spacing w:val="-1"/>
          <w:sz w:val="30"/>
          <w:szCs w:val="30"/>
          <w14:textOutline w14:w="5629" w14:cap="sq" w14:cmpd="sng">
            <w14:solidFill>
              <w14:srgbClr w14:val="000000"/>
            </w14:solidFill>
            <w14:prstDash w14:val="solid"/>
            <w14:bevel/>
          </w14:textOutline>
        </w:rPr>
        <w:t>支出决算情况说明</w:t>
      </w:r>
    </w:p>
    <w:p>
      <w:pPr>
        <w:keepNext w:val="0"/>
        <w:keepLines w:val="0"/>
        <w:pageBreakBefore w:val="0"/>
        <w:widowControl/>
        <w:kinsoku w:val="0"/>
        <w:wordWrap/>
        <w:overflowPunct/>
        <w:topLinePunct w:val="0"/>
        <w:autoSpaceDE w:val="0"/>
        <w:autoSpaceDN w:val="0"/>
        <w:bidi w:val="0"/>
        <w:adjustRightInd w:val="0"/>
        <w:snapToGrid w:val="0"/>
        <w:spacing w:before="269" w:line="600" w:lineRule="exact"/>
        <w:ind w:right="7" w:firstLine="696" w:firstLineChars="200"/>
        <w:jc w:val="left"/>
        <w:textAlignment w:val="baseline"/>
        <w:rPr>
          <w:rFonts w:hint="eastAsia" w:ascii="仿宋" w:hAnsi="仿宋" w:eastAsia="仿宋" w:cs="仿宋"/>
          <w:sz w:val="30"/>
          <w:szCs w:val="30"/>
          <w:lang w:eastAsia="zh-CN"/>
        </w:rPr>
      </w:pPr>
      <w:r>
        <w:rPr>
          <w:rFonts w:ascii="仿宋" w:hAnsi="仿宋" w:eastAsia="仿宋" w:cs="仿宋"/>
          <w:spacing w:val="24"/>
          <w:sz w:val="30"/>
          <w:szCs w:val="30"/>
        </w:rPr>
        <w:t>本部门2022年度支出总计</w:t>
      </w:r>
      <w:r>
        <w:rPr>
          <w:rFonts w:hint="eastAsia" w:ascii="仿宋" w:hAnsi="仿宋" w:eastAsia="仿宋" w:cs="仿宋"/>
          <w:spacing w:val="41"/>
          <w:sz w:val="30"/>
          <w:szCs w:val="30"/>
        </w:rPr>
        <w:t>9801.91</w:t>
      </w:r>
      <w:r>
        <w:rPr>
          <w:rFonts w:ascii="仿宋" w:hAnsi="仿宋" w:eastAsia="仿宋" w:cs="仿宋"/>
          <w:spacing w:val="24"/>
          <w:sz w:val="30"/>
          <w:szCs w:val="30"/>
        </w:rPr>
        <w:t>万元</w:t>
      </w:r>
      <w:r>
        <w:rPr>
          <w:rFonts w:ascii="仿宋" w:hAnsi="仿宋" w:eastAsia="仿宋" w:cs="仿宋"/>
          <w:spacing w:val="-81"/>
          <w:sz w:val="30"/>
          <w:szCs w:val="30"/>
        </w:rPr>
        <w:t xml:space="preserve"> </w:t>
      </w:r>
      <w:r>
        <w:rPr>
          <w:rFonts w:ascii="仿宋" w:hAnsi="仿宋" w:eastAsia="仿宋" w:cs="仿宋"/>
          <w:spacing w:val="24"/>
          <w:sz w:val="30"/>
          <w:szCs w:val="30"/>
        </w:rPr>
        <w:t>，较2021年减</w:t>
      </w:r>
      <w:r>
        <w:rPr>
          <w:rFonts w:ascii="仿宋" w:hAnsi="仿宋" w:eastAsia="仿宋" w:cs="仿宋"/>
          <w:spacing w:val="14"/>
          <w:sz w:val="30"/>
          <w:szCs w:val="30"/>
        </w:rPr>
        <w:t>少</w:t>
      </w:r>
      <w:r>
        <w:rPr>
          <w:rFonts w:hint="eastAsia" w:ascii="仿宋" w:hAnsi="仿宋" w:eastAsia="仿宋" w:cs="仿宋"/>
          <w:spacing w:val="24"/>
          <w:sz w:val="30"/>
          <w:szCs w:val="30"/>
          <w:lang w:val="en-US" w:eastAsia="zh-CN"/>
        </w:rPr>
        <w:t>5092.08</w:t>
      </w:r>
      <w:r>
        <w:rPr>
          <w:rFonts w:ascii="仿宋" w:hAnsi="仿宋" w:eastAsia="仿宋" w:cs="仿宋"/>
          <w:spacing w:val="14"/>
          <w:sz w:val="30"/>
          <w:szCs w:val="30"/>
        </w:rPr>
        <w:t>万元</w:t>
      </w:r>
      <w:r>
        <w:rPr>
          <w:rFonts w:ascii="仿宋" w:hAnsi="仿宋" w:eastAsia="仿宋" w:cs="仿宋"/>
          <w:spacing w:val="-86"/>
          <w:sz w:val="30"/>
          <w:szCs w:val="30"/>
        </w:rPr>
        <w:t xml:space="preserve"> </w:t>
      </w:r>
      <w:r>
        <w:rPr>
          <w:rFonts w:ascii="仿宋" w:hAnsi="仿宋" w:eastAsia="仿宋" w:cs="仿宋"/>
          <w:spacing w:val="14"/>
          <w:sz w:val="30"/>
          <w:szCs w:val="30"/>
        </w:rPr>
        <w:t>。其中本年支出合计</w:t>
      </w:r>
      <w:r>
        <w:rPr>
          <w:rFonts w:hint="eastAsia" w:ascii="仿宋" w:hAnsi="仿宋" w:eastAsia="仿宋" w:cs="仿宋"/>
          <w:spacing w:val="41"/>
          <w:sz w:val="30"/>
          <w:szCs w:val="30"/>
        </w:rPr>
        <w:t>9801.91</w:t>
      </w:r>
      <w:r>
        <w:rPr>
          <w:rFonts w:ascii="仿宋" w:hAnsi="仿宋" w:eastAsia="仿宋" w:cs="仿宋"/>
          <w:spacing w:val="14"/>
          <w:sz w:val="30"/>
          <w:szCs w:val="30"/>
        </w:rPr>
        <w:t>万元</w:t>
      </w:r>
      <w:r>
        <w:rPr>
          <w:rFonts w:ascii="仿宋" w:hAnsi="仿宋" w:eastAsia="仿宋" w:cs="仿宋"/>
          <w:spacing w:val="-87"/>
          <w:sz w:val="30"/>
          <w:szCs w:val="30"/>
        </w:rPr>
        <w:t xml:space="preserve"> </w:t>
      </w:r>
      <w:r>
        <w:rPr>
          <w:rFonts w:ascii="仿宋" w:hAnsi="仿宋" w:eastAsia="仿宋" w:cs="仿宋"/>
          <w:spacing w:val="14"/>
          <w:sz w:val="30"/>
          <w:szCs w:val="30"/>
        </w:rPr>
        <w:t>，较2021年减</w:t>
      </w:r>
      <w:r>
        <w:rPr>
          <w:rFonts w:ascii="仿宋" w:hAnsi="仿宋" w:eastAsia="仿宋" w:cs="仿宋"/>
          <w:spacing w:val="17"/>
          <w:sz w:val="30"/>
          <w:szCs w:val="30"/>
        </w:rPr>
        <w:t>少</w:t>
      </w:r>
      <w:r>
        <w:rPr>
          <w:rFonts w:hint="eastAsia" w:ascii="仿宋" w:hAnsi="仿宋" w:eastAsia="仿宋" w:cs="仿宋"/>
          <w:spacing w:val="17"/>
          <w:sz w:val="30"/>
          <w:szCs w:val="30"/>
          <w:lang w:val="en-US" w:eastAsia="zh-CN"/>
        </w:rPr>
        <w:t>4720.82</w:t>
      </w:r>
      <w:r>
        <w:rPr>
          <w:rFonts w:ascii="仿宋" w:hAnsi="仿宋" w:eastAsia="仿宋" w:cs="仿宋"/>
          <w:spacing w:val="17"/>
          <w:sz w:val="30"/>
          <w:szCs w:val="30"/>
        </w:rPr>
        <w:t>万元</w:t>
      </w:r>
      <w:r>
        <w:rPr>
          <w:rFonts w:ascii="仿宋" w:hAnsi="仿宋" w:eastAsia="仿宋" w:cs="仿宋"/>
          <w:spacing w:val="-88"/>
          <w:sz w:val="30"/>
          <w:szCs w:val="30"/>
        </w:rPr>
        <w:t xml:space="preserve"> </w:t>
      </w:r>
      <w:r>
        <w:rPr>
          <w:rFonts w:ascii="仿宋" w:hAnsi="仿宋" w:eastAsia="仿宋" w:cs="仿宋"/>
          <w:spacing w:val="17"/>
          <w:sz w:val="30"/>
          <w:szCs w:val="30"/>
        </w:rPr>
        <w:t>，下降</w:t>
      </w:r>
      <w:r>
        <w:rPr>
          <w:rFonts w:hint="eastAsia" w:ascii="仿宋" w:hAnsi="仿宋" w:eastAsia="仿宋" w:cs="仿宋"/>
          <w:spacing w:val="17"/>
          <w:sz w:val="30"/>
          <w:szCs w:val="30"/>
          <w:lang w:val="en-US" w:eastAsia="zh-CN"/>
        </w:rPr>
        <w:t>32.51</w:t>
      </w:r>
      <w:r>
        <w:rPr>
          <w:rFonts w:ascii="仿宋" w:hAnsi="仿宋" w:eastAsia="仿宋" w:cs="仿宋"/>
          <w:spacing w:val="17"/>
          <w:sz w:val="30"/>
          <w:szCs w:val="30"/>
        </w:rPr>
        <w:t>%,主要原因是：</w:t>
      </w:r>
      <w:r>
        <w:rPr>
          <w:rFonts w:hint="eastAsia" w:ascii="仿宋" w:hAnsi="仿宋" w:eastAsia="仿宋" w:cs="仿宋"/>
          <w:spacing w:val="62"/>
          <w:sz w:val="30"/>
          <w:szCs w:val="30"/>
          <w:lang w:eastAsia="zh-CN"/>
        </w:rPr>
        <w:t>其他支出及抗疫特别国债安排的支出均减少</w:t>
      </w:r>
      <w:r>
        <w:rPr>
          <w:rFonts w:ascii="仿宋" w:hAnsi="仿宋" w:eastAsia="仿宋" w:cs="仿宋"/>
          <w:spacing w:val="17"/>
          <w:sz w:val="30"/>
          <w:szCs w:val="30"/>
        </w:rPr>
        <w:t>;年末结转</w:t>
      </w:r>
      <w:r>
        <w:rPr>
          <w:rFonts w:ascii="仿宋" w:hAnsi="仿宋" w:eastAsia="仿宋" w:cs="仿宋"/>
          <w:spacing w:val="27"/>
          <w:sz w:val="30"/>
          <w:szCs w:val="30"/>
        </w:rPr>
        <w:t>和结余</w:t>
      </w:r>
      <w:r>
        <w:rPr>
          <w:rFonts w:hint="eastAsia" w:ascii="仿宋" w:hAnsi="仿宋" w:eastAsia="仿宋" w:cs="仿宋"/>
          <w:spacing w:val="27"/>
          <w:sz w:val="30"/>
          <w:szCs w:val="30"/>
          <w:lang w:val="en-US" w:eastAsia="zh-CN"/>
        </w:rPr>
        <w:t>0万</w:t>
      </w:r>
      <w:r>
        <w:rPr>
          <w:rFonts w:ascii="仿宋" w:hAnsi="仿宋" w:eastAsia="仿宋" w:cs="仿宋"/>
          <w:spacing w:val="27"/>
          <w:sz w:val="30"/>
          <w:szCs w:val="30"/>
        </w:rPr>
        <w:t>元</w:t>
      </w:r>
      <w:r>
        <w:rPr>
          <w:rFonts w:ascii="仿宋" w:hAnsi="仿宋" w:eastAsia="仿宋" w:cs="仿宋"/>
          <w:spacing w:val="-77"/>
          <w:sz w:val="30"/>
          <w:szCs w:val="30"/>
        </w:rPr>
        <w:t xml:space="preserve"> </w:t>
      </w:r>
      <w:r>
        <w:rPr>
          <w:rFonts w:ascii="仿宋" w:hAnsi="仿宋" w:eastAsia="仿宋" w:cs="仿宋"/>
          <w:spacing w:val="27"/>
          <w:sz w:val="30"/>
          <w:szCs w:val="30"/>
        </w:rPr>
        <w:t>，较2021年减少</w:t>
      </w:r>
      <w:r>
        <w:rPr>
          <w:rFonts w:hint="eastAsia" w:ascii="仿宋" w:hAnsi="仿宋" w:eastAsia="仿宋" w:cs="仿宋"/>
          <w:spacing w:val="27"/>
          <w:sz w:val="30"/>
          <w:szCs w:val="30"/>
          <w:lang w:val="en-US" w:eastAsia="zh-CN"/>
        </w:rPr>
        <w:t>371.26</w:t>
      </w:r>
      <w:r>
        <w:rPr>
          <w:rFonts w:ascii="仿宋" w:hAnsi="仿宋" w:eastAsia="仿宋" w:cs="仿宋"/>
          <w:spacing w:val="27"/>
          <w:sz w:val="30"/>
          <w:szCs w:val="30"/>
        </w:rPr>
        <w:t>万元</w:t>
      </w:r>
      <w:r>
        <w:rPr>
          <w:rFonts w:ascii="仿宋" w:hAnsi="仿宋" w:eastAsia="仿宋" w:cs="仿宋"/>
          <w:spacing w:val="-79"/>
          <w:sz w:val="30"/>
          <w:szCs w:val="30"/>
        </w:rPr>
        <w:t xml:space="preserve"> </w:t>
      </w:r>
      <w:r>
        <w:rPr>
          <w:rFonts w:ascii="仿宋" w:hAnsi="仿宋" w:eastAsia="仿宋" w:cs="仿宋"/>
          <w:spacing w:val="27"/>
          <w:sz w:val="30"/>
          <w:szCs w:val="30"/>
        </w:rPr>
        <w:t>，下降</w:t>
      </w:r>
      <w:r>
        <w:rPr>
          <w:rFonts w:hint="eastAsia" w:ascii="仿宋" w:hAnsi="仿宋" w:eastAsia="仿宋" w:cs="仿宋"/>
          <w:spacing w:val="27"/>
          <w:sz w:val="30"/>
          <w:szCs w:val="30"/>
          <w:lang w:val="en-US" w:eastAsia="zh-CN"/>
        </w:rPr>
        <w:t>100</w:t>
      </w:r>
      <w:r>
        <w:rPr>
          <w:rFonts w:ascii="仿宋" w:hAnsi="仿宋" w:eastAsia="仿宋" w:cs="仿宋"/>
          <w:sz w:val="30"/>
          <w:szCs w:val="30"/>
        </w:rPr>
        <w:t>%</w:t>
      </w:r>
      <w:r>
        <w:rPr>
          <w:rFonts w:hint="eastAsia" w:ascii="仿宋" w:hAnsi="仿宋" w:eastAsia="仿宋" w:cs="仿宋"/>
          <w:sz w:val="30"/>
          <w:szCs w:val="30"/>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0"/>
        <w:jc w:val="left"/>
        <w:textAlignment w:val="baseline"/>
        <w:rPr>
          <w:rFonts w:hint="eastAsia" w:ascii="仿宋" w:hAnsi="仿宋" w:eastAsia="仿宋"/>
          <w:sz w:val="30"/>
          <w:szCs w:val="30"/>
        </w:rPr>
      </w:pPr>
      <w:r>
        <w:rPr>
          <w:rFonts w:hint="eastAsia" w:ascii="仿宋" w:hAnsi="仿宋" w:eastAsia="仿宋"/>
          <w:sz w:val="30"/>
          <w:szCs w:val="30"/>
        </w:rPr>
        <w:t>本年支出的具体构成为：基本支出2069.05万元，占</w:t>
      </w:r>
      <w:r>
        <w:rPr>
          <w:rFonts w:hint="eastAsia" w:ascii="仿宋" w:hAnsi="仿宋" w:eastAsia="仿宋"/>
          <w:sz w:val="30"/>
          <w:szCs w:val="30"/>
          <w:lang w:val="en-US" w:eastAsia="zh-CN"/>
        </w:rPr>
        <w:t>21.11</w:t>
      </w:r>
      <w:r>
        <w:rPr>
          <w:rFonts w:hint="eastAsia" w:ascii="仿宋" w:hAnsi="仿宋" w:eastAsia="仿宋"/>
          <w:sz w:val="30"/>
          <w:szCs w:val="30"/>
        </w:rPr>
        <w:t>%；项目支出7732.87万元，占</w:t>
      </w:r>
      <w:r>
        <w:rPr>
          <w:rFonts w:hint="eastAsia" w:ascii="仿宋" w:hAnsi="仿宋" w:eastAsia="仿宋"/>
          <w:sz w:val="30"/>
          <w:szCs w:val="30"/>
          <w:lang w:val="en-US" w:eastAsia="zh-CN"/>
        </w:rPr>
        <w:t>78.89</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w:t>
      </w:r>
    </w:p>
    <w:p>
      <w:pPr>
        <w:spacing w:before="207" w:line="227" w:lineRule="auto"/>
        <w:ind w:left="639"/>
        <w:outlineLvl w:val="0"/>
        <w:rPr>
          <w:rFonts w:ascii="黑体" w:hAnsi="黑体" w:eastAsia="黑体" w:cs="黑体"/>
          <w:spacing w:val="10"/>
          <w:sz w:val="30"/>
          <w:szCs w:val="30"/>
          <w14:textOutline w14:w="5629"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before="207" w:line="580" w:lineRule="exact"/>
        <w:ind w:left="639"/>
        <w:textAlignment w:val="baseline"/>
        <w:outlineLvl w:val="0"/>
        <w:rPr>
          <w:rFonts w:ascii="黑体" w:hAnsi="黑体" w:eastAsia="黑体" w:cs="黑体"/>
          <w:sz w:val="30"/>
          <w:szCs w:val="30"/>
        </w:rPr>
      </w:pPr>
      <w:r>
        <w:rPr>
          <w:rFonts w:ascii="黑体" w:hAnsi="黑体" w:eastAsia="黑体" w:cs="黑体"/>
          <w:spacing w:val="10"/>
          <w:sz w:val="30"/>
          <w:szCs w:val="30"/>
          <w14:textOutline w14:w="5629" w14:cap="sq" w14:cmpd="sng">
            <w14:solidFill>
              <w14:srgbClr w14:val="000000"/>
            </w14:solidFill>
            <w14:prstDash w14:val="solid"/>
            <w14:bevel/>
          </w14:textOutline>
        </w:rPr>
        <w:t>三、财政拨款支出决算情况说明</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30"/>
        <w:jc w:val="left"/>
        <w:textAlignment w:val="baseline"/>
        <w:rPr>
          <w:rFonts w:hint="eastAsia" w:ascii="仿宋" w:hAnsi="仿宋" w:eastAsia="仿宋"/>
          <w:sz w:val="30"/>
          <w:szCs w:val="30"/>
        </w:rPr>
      </w:pPr>
      <w:r>
        <w:rPr>
          <w:rFonts w:hint="eastAsia" w:ascii="仿宋" w:hAnsi="仿宋" w:eastAsia="仿宋"/>
          <w:sz w:val="30"/>
          <w:szCs w:val="30"/>
        </w:rPr>
        <w:t>本部门202</w:t>
      </w:r>
      <w:r>
        <w:rPr>
          <w:rFonts w:hint="eastAsia" w:ascii="仿宋" w:hAnsi="仿宋" w:eastAsia="仿宋"/>
          <w:sz w:val="30"/>
          <w:szCs w:val="30"/>
          <w:lang w:val="en-US" w:eastAsia="zh-CN"/>
        </w:rPr>
        <w:t>2</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1728.47</w:t>
      </w:r>
      <w:r>
        <w:rPr>
          <w:rFonts w:hint="eastAsia" w:ascii="仿宋" w:hAnsi="仿宋" w:eastAsia="仿宋"/>
          <w:sz w:val="30"/>
          <w:szCs w:val="30"/>
        </w:rPr>
        <w:t>万元，决算数为</w:t>
      </w:r>
      <w:r>
        <w:rPr>
          <w:rFonts w:hint="eastAsia" w:ascii="仿宋" w:hAnsi="仿宋" w:eastAsia="仿宋" w:cs="仿宋"/>
          <w:spacing w:val="41"/>
          <w:sz w:val="30"/>
          <w:szCs w:val="30"/>
        </w:rPr>
        <w:t>9801.91</w:t>
      </w:r>
      <w:r>
        <w:rPr>
          <w:rFonts w:hint="eastAsia" w:ascii="仿宋" w:hAnsi="仿宋" w:eastAsia="仿宋"/>
          <w:sz w:val="30"/>
          <w:szCs w:val="30"/>
        </w:rPr>
        <w:t>万元。其中：</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30"/>
        <w:jc w:val="left"/>
        <w:textAlignment w:val="baseline"/>
        <w:rPr>
          <w:rFonts w:hint="eastAsia" w:ascii="仿宋" w:hAnsi="仿宋" w:eastAsia="仿宋"/>
          <w:sz w:val="30"/>
          <w:szCs w:val="30"/>
        </w:rPr>
      </w:pPr>
      <w:r>
        <w:rPr>
          <w:rFonts w:hint="eastAsia" w:ascii="仿宋" w:hAnsi="仿宋" w:eastAsia="仿宋"/>
          <w:sz w:val="30"/>
          <w:szCs w:val="30"/>
        </w:rPr>
        <w:t>（一）节能环保支出年初预算数为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3092.62</w:t>
      </w:r>
      <w:r>
        <w:rPr>
          <w:rFonts w:hint="eastAsia" w:ascii="仿宋" w:hAnsi="仿宋" w:eastAsia="仿宋"/>
          <w:sz w:val="30"/>
          <w:szCs w:val="30"/>
        </w:rPr>
        <w:t>万元。</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30"/>
        <w:jc w:val="left"/>
        <w:textAlignment w:val="baseline"/>
        <w:rPr>
          <w:rFonts w:hint="eastAsia" w:ascii="仿宋" w:hAnsi="仿宋" w:eastAsia="仿宋"/>
          <w:sz w:val="30"/>
          <w:szCs w:val="30"/>
        </w:rPr>
      </w:pPr>
      <w:r>
        <w:rPr>
          <w:rFonts w:hint="eastAsia" w:ascii="仿宋" w:hAnsi="仿宋" w:eastAsia="仿宋"/>
          <w:sz w:val="30"/>
          <w:szCs w:val="30"/>
        </w:rPr>
        <w:t>（二）城乡社区支出年初预算数为</w:t>
      </w:r>
      <w:r>
        <w:rPr>
          <w:rFonts w:hint="eastAsia" w:ascii="仿宋" w:hAnsi="仿宋" w:eastAsia="仿宋"/>
          <w:sz w:val="30"/>
          <w:szCs w:val="30"/>
          <w:lang w:val="en-US" w:eastAsia="zh-CN"/>
        </w:rPr>
        <w:t>1593.14</w:t>
      </w:r>
      <w:r>
        <w:rPr>
          <w:rFonts w:hint="eastAsia" w:ascii="仿宋" w:hAnsi="仿宋" w:eastAsia="仿宋"/>
          <w:sz w:val="30"/>
          <w:szCs w:val="30"/>
        </w:rPr>
        <w:t>万元，决算数为</w:t>
      </w:r>
      <w:r>
        <w:rPr>
          <w:rFonts w:hint="eastAsia" w:ascii="仿宋" w:hAnsi="仿宋" w:eastAsia="仿宋"/>
          <w:sz w:val="30"/>
          <w:szCs w:val="30"/>
          <w:lang w:val="en-US" w:eastAsia="zh-CN"/>
        </w:rPr>
        <w:t>6403.96</w:t>
      </w:r>
      <w:r>
        <w:rPr>
          <w:rFonts w:hint="eastAsia" w:ascii="仿宋" w:hAnsi="仿宋" w:eastAsia="仿宋"/>
          <w:sz w:val="30"/>
          <w:szCs w:val="30"/>
        </w:rPr>
        <w:t>万元。</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30"/>
        <w:jc w:val="left"/>
        <w:textAlignment w:val="baseline"/>
        <w:rPr>
          <w:rFonts w:hint="eastAsia" w:ascii="仿宋" w:hAnsi="仿宋" w:eastAsia="仿宋"/>
          <w:sz w:val="30"/>
          <w:szCs w:val="30"/>
          <w:lang w:val="en-US" w:eastAsia="zh-CN"/>
        </w:rPr>
      </w:pPr>
      <w:r>
        <w:rPr>
          <w:rFonts w:hint="eastAsia" w:ascii="仿宋" w:hAnsi="仿宋" w:eastAsia="仿宋"/>
          <w:sz w:val="30"/>
          <w:szCs w:val="30"/>
          <w:lang w:eastAsia="zh-CN"/>
        </w:rPr>
        <w:t>（三）社会保障和就业支出</w:t>
      </w:r>
      <w:r>
        <w:rPr>
          <w:rFonts w:hint="eastAsia" w:ascii="仿宋" w:hAnsi="仿宋" w:eastAsia="仿宋"/>
          <w:sz w:val="30"/>
          <w:szCs w:val="30"/>
        </w:rPr>
        <w:t>年初预算数为</w:t>
      </w:r>
      <w:r>
        <w:rPr>
          <w:rFonts w:hint="eastAsia" w:ascii="仿宋" w:hAnsi="仿宋" w:eastAsia="仿宋"/>
          <w:sz w:val="30"/>
          <w:szCs w:val="30"/>
          <w:lang w:val="en-US" w:eastAsia="zh-CN"/>
        </w:rPr>
        <w:t>79.01</w:t>
      </w:r>
      <w:r>
        <w:rPr>
          <w:rFonts w:hint="eastAsia" w:ascii="仿宋" w:hAnsi="仿宋" w:eastAsia="仿宋"/>
          <w:sz w:val="30"/>
          <w:szCs w:val="30"/>
        </w:rPr>
        <w:t>万元，决算数为</w:t>
      </w:r>
      <w:r>
        <w:rPr>
          <w:rFonts w:hint="eastAsia" w:ascii="仿宋" w:hAnsi="仿宋" w:eastAsia="仿宋"/>
          <w:sz w:val="30"/>
          <w:szCs w:val="30"/>
          <w:lang w:val="en-US" w:eastAsia="zh-CN"/>
        </w:rPr>
        <w:t>79.01</w:t>
      </w:r>
      <w:r>
        <w:rPr>
          <w:rFonts w:hint="eastAsia" w:ascii="仿宋" w:hAnsi="仿宋" w:eastAsia="仿宋"/>
          <w:sz w:val="30"/>
          <w:szCs w:val="30"/>
        </w:rPr>
        <w:t>万元</w:t>
      </w:r>
      <w:r>
        <w:rPr>
          <w:rFonts w:hint="eastAsia" w:ascii="仿宋" w:hAnsi="仿宋" w:eastAsia="仿宋"/>
          <w:sz w:val="30"/>
          <w:szCs w:val="30"/>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30"/>
        <w:jc w:val="left"/>
        <w:textAlignment w:val="baseline"/>
        <w:rPr>
          <w:rFonts w:hint="eastAsia" w:ascii="仿宋" w:hAnsi="仿宋" w:eastAsia="仿宋"/>
          <w:sz w:val="30"/>
          <w:szCs w:val="30"/>
          <w:lang w:val="en-US" w:eastAsia="zh-CN"/>
        </w:rPr>
      </w:pPr>
      <w:r>
        <w:rPr>
          <w:rFonts w:hint="eastAsia" w:ascii="仿宋" w:hAnsi="仿宋" w:eastAsia="仿宋"/>
          <w:sz w:val="30"/>
          <w:szCs w:val="30"/>
          <w:lang w:val="en-US" w:eastAsia="zh-CN"/>
        </w:rPr>
        <w:t>（四）卫生健康支出年初</w:t>
      </w:r>
      <w:r>
        <w:rPr>
          <w:rFonts w:hint="eastAsia" w:ascii="仿宋" w:hAnsi="仿宋" w:eastAsia="仿宋"/>
          <w:sz w:val="30"/>
          <w:szCs w:val="30"/>
        </w:rPr>
        <w:t>预算数为</w:t>
      </w:r>
      <w:r>
        <w:rPr>
          <w:rFonts w:hint="eastAsia" w:ascii="仿宋" w:hAnsi="仿宋" w:eastAsia="仿宋"/>
          <w:sz w:val="30"/>
          <w:szCs w:val="30"/>
          <w:lang w:val="en-US" w:eastAsia="zh-CN"/>
        </w:rPr>
        <w:t>17.65</w:t>
      </w:r>
      <w:r>
        <w:rPr>
          <w:rFonts w:hint="eastAsia" w:ascii="仿宋" w:hAnsi="仿宋" w:eastAsia="仿宋"/>
          <w:sz w:val="30"/>
          <w:szCs w:val="30"/>
        </w:rPr>
        <w:t>万元，决算数为</w:t>
      </w:r>
      <w:r>
        <w:rPr>
          <w:rFonts w:hint="eastAsia" w:ascii="仿宋" w:hAnsi="仿宋" w:eastAsia="仿宋"/>
          <w:sz w:val="30"/>
          <w:szCs w:val="30"/>
          <w:lang w:val="en-US" w:eastAsia="zh-CN"/>
        </w:rPr>
        <w:t>17.65</w:t>
      </w:r>
      <w:r>
        <w:rPr>
          <w:rFonts w:hint="eastAsia" w:ascii="仿宋" w:hAnsi="仿宋" w:eastAsia="仿宋"/>
          <w:sz w:val="30"/>
          <w:szCs w:val="30"/>
        </w:rPr>
        <w:t>万元</w:t>
      </w:r>
      <w:r>
        <w:rPr>
          <w:rFonts w:hint="eastAsia" w:ascii="仿宋" w:hAnsi="仿宋" w:eastAsia="仿宋"/>
          <w:sz w:val="30"/>
          <w:szCs w:val="30"/>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30"/>
        <w:jc w:val="left"/>
        <w:textAlignment w:val="baseline"/>
        <w:rPr>
          <w:rFonts w:hint="eastAsia" w:ascii="仿宋" w:hAnsi="仿宋" w:eastAsia="仿宋"/>
          <w:sz w:val="30"/>
          <w:szCs w:val="30"/>
          <w:lang w:val="en-US" w:eastAsia="zh-CN"/>
        </w:rPr>
      </w:pPr>
      <w:r>
        <w:rPr>
          <w:rFonts w:hint="eastAsia" w:ascii="仿宋" w:hAnsi="仿宋" w:eastAsia="仿宋"/>
          <w:sz w:val="30"/>
          <w:szCs w:val="30"/>
          <w:lang w:val="en-US" w:eastAsia="zh-CN"/>
        </w:rPr>
        <w:t>（五）住房保障支出年初预算数为38.67万元，决算数为38.67万元。</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30"/>
        <w:jc w:val="left"/>
        <w:textAlignment w:val="baseline"/>
        <w:rPr>
          <w:rFonts w:hint="default" w:ascii="仿宋" w:hAnsi="仿宋" w:eastAsia="仿宋"/>
          <w:sz w:val="30"/>
          <w:szCs w:val="30"/>
          <w:lang w:val="en-US" w:eastAsia="zh-CN"/>
        </w:rPr>
      </w:pPr>
      <w:r>
        <w:rPr>
          <w:rFonts w:hint="eastAsia" w:ascii="仿宋" w:hAnsi="仿宋" w:eastAsia="仿宋"/>
          <w:sz w:val="30"/>
          <w:szCs w:val="30"/>
          <w:lang w:val="en-US" w:eastAsia="zh-CN"/>
        </w:rPr>
        <w:t>（六）抗疫特别国债安排的支出年初预算数为170万元，决算数为170万元。</w:t>
      </w:r>
    </w:p>
    <w:p>
      <w:pPr>
        <w:keepNext w:val="0"/>
        <w:keepLines w:val="0"/>
        <w:pageBreakBefore w:val="0"/>
        <w:widowControl/>
        <w:kinsoku w:val="0"/>
        <w:wordWrap/>
        <w:overflowPunct/>
        <w:topLinePunct w:val="0"/>
        <w:autoSpaceDE w:val="0"/>
        <w:autoSpaceDN w:val="0"/>
        <w:bidi w:val="0"/>
        <w:adjustRightInd w:val="0"/>
        <w:snapToGrid w:val="0"/>
        <w:spacing w:before="225" w:line="580" w:lineRule="exact"/>
        <w:ind w:left="703"/>
        <w:textAlignment w:val="baseline"/>
        <w:outlineLvl w:val="0"/>
        <w:rPr>
          <w:rFonts w:ascii="黑体" w:hAnsi="黑体" w:eastAsia="黑体" w:cs="黑体"/>
          <w:sz w:val="30"/>
          <w:szCs w:val="30"/>
        </w:rPr>
      </w:pPr>
      <w:r>
        <w:rPr>
          <w:rFonts w:ascii="黑体" w:hAnsi="黑体" w:eastAsia="黑体" w:cs="黑体"/>
          <w:spacing w:val="7"/>
          <w:sz w:val="30"/>
          <w:szCs w:val="30"/>
          <w14:textOutline w14:w="5629" w14:cap="sq" w14:cmpd="sng">
            <w14:solidFill>
              <w14:srgbClr w14:val="000000"/>
            </w14:solidFill>
            <w14:prstDash w14:val="solid"/>
            <w14:bevel/>
          </w14:textOutline>
        </w:rPr>
        <w:t>四、</w:t>
      </w:r>
      <w:r>
        <w:rPr>
          <w:rFonts w:ascii="黑体" w:hAnsi="黑体" w:eastAsia="黑体" w:cs="黑体"/>
          <w:spacing w:val="-31"/>
          <w:sz w:val="30"/>
          <w:szCs w:val="30"/>
        </w:rPr>
        <w:t xml:space="preserve"> </w:t>
      </w:r>
      <w:r>
        <w:rPr>
          <w:rFonts w:ascii="黑体" w:hAnsi="黑体" w:eastAsia="黑体" w:cs="黑体"/>
          <w:spacing w:val="7"/>
          <w:sz w:val="30"/>
          <w:szCs w:val="30"/>
          <w14:textOutline w14:w="5629" w14:cap="sq" w14:cmpd="sng">
            <w14:solidFill>
              <w14:srgbClr w14:val="000000"/>
            </w14:solidFill>
            <w14:prstDash w14:val="solid"/>
            <w14:bevel/>
          </w14:textOutline>
        </w:rPr>
        <w:t>一般公共预算财政拨款基本支出决算情况说明</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585"/>
        <w:jc w:val="left"/>
        <w:textAlignment w:val="baseline"/>
        <w:rPr>
          <w:rFonts w:hint="eastAsia" w:ascii="仿宋" w:hAnsi="仿宋" w:eastAsia="仿宋"/>
          <w:sz w:val="30"/>
          <w:szCs w:val="30"/>
        </w:rPr>
      </w:pPr>
      <w:r>
        <w:rPr>
          <w:rFonts w:hint="eastAsia" w:ascii="仿宋" w:hAnsi="仿宋" w:eastAsia="仿宋" w:cs="仿宋"/>
          <w:spacing w:val="30"/>
          <w:position w:val="18"/>
          <w:sz w:val="30"/>
          <w:szCs w:val="30"/>
          <w:lang w:val="en-US" w:eastAsia="zh-CN"/>
        </w:rPr>
        <w:t xml:space="preserve">  </w:t>
      </w:r>
      <w:r>
        <w:rPr>
          <w:rFonts w:hint="eastAsia" w:ascii="仿宋" w:hAnsi="仿宋" w:eastAsia="仿宋"/>
          <w:sz w:val="30"/>
          <w:szCs w:val="30"/>
        </w:rPr>
        <w:t>本部门202</w:t>
      </w:r>
      <w:r>
        <w:rPr>
          <w:rFonts w:hint="eastAsia" w:ascii="仿宋" w:hAnsi="仿宋" w:eastAsia="仿宋"/>
          <w:sz w:val="30"/>
          <w:szCs w:val="30"/>
          <w:lang w:val="en-US" w:eastAsia="zh-CN"/>
        </w:rPr>
        <w:t>2</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2069.05</w:t>
      </w:r>
      <w:r>
        <w:rPr>
          <w:rFonts w:hint="eastAsia" w:ascii="仿宋" w:hAnsi="仿宋" w:eastAsia="仿宋"/>
          <w:sz w:val="30"/>
          <w:szCs w:val="30"/>
        </w:rPr>
        <w:t>万元，其中：</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585"/>
        <w:jc w:val="left"/>
        <w:textAlignment w:val="baseline"/>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1791.41</w:t>
      </w:r>
      <w:r>
        <w:rPr>
          <w:rFonts w:hint="eastAsia" w:ascii="仿宋" w:hAnsi="仿宋" w:eastAsia="仿宋"/>
          <w:sz w:val="30"/>
          <w:szCs w:val="30"/>
        </w:rPr>
        <w:t>万元，较</w:t>
      </w:r>
      <w:r>
        <w:rPr>
          <w:rFonts w:hint="eastAsia" w:ascii="仿宋" w:hAnsi="仿宋" w:eastAsia="仿宋"/>
          <w:sz w:val="30"/>
          <w:szCs w:val="30"/>
          <w:lang w:val="en-US" w:eastAsia="zh-CN"/>
        </w:rPr>
        <w:t>2021</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392.87</w:t>
      </w:r>
      <w:r>
        <w:rPr>
          <w:rFonts w:hint="eastAsia" w:ascii="仿宋" w:hAnsi="仿宋" w:eastAsia="仿宋"/>
          <w:sz w:val="30"/>
          <w:szCs w:val="30"/>
        </w:rPr>
        <w:t>万元，</w:t>
      </w:r>
      <w:r>
        <w:rPr>
          <w:rFonts w:hint="eastAsia" w:ascii="仿宋" w:hAnsi="仿宋" w:eastAsia="仿宋"/>
          <w:sz w:val="30"/>
          <w:szCs w:val="30"/>
          <w:lang w:eastAsia="zh-CN"/>
        </w:rPr>
        <w:t>下降</w:t>
      </w:r>
      <w:r>
        <w:rPr>
          <w:rFonts w:hint="eastAsia" w:ascii="仿宋" w:hAnsi="仿宋" w:eastAsia="仿宋"/>
          <w:sz w:val="30"/>
          <w:szCs w:val="30"/>
          <w:lang w:val="en-US" w:eastAsia="zh-CN"/>
        </w:rPr>
        <w:t>17.99</w:t>
      </w:r>
      <w:r>
        <w:rPr>
          <w:rFonts w:hint="eastAsia" w:ascii="仿宋" w:hAnsi="仿宋" w:eastAsia="仿宋"/>
          <w:sz w:val="30"/>
          <w:szCs w:val="30"/>
        </w:rPr>
        <w:t>%，主要原因是：</w:t>
      </w:r>
      <w:r>
        <w:rPr>
          <w:rFonts w:hint="eastAsia" w:ascii="仿宋" w:hAnsi="仿宋" w:eastAsia="仿宋"/>
          <w:sz w:val="30"/>
          <w:szCs w:val="30"/>
          <w:lang w:eastAsia="zh-CN"/>
        </w:rPr>
        <w:t>本年有几个月工资未支付</w:t>
      </w:r>
      <w:r>
        <w:rPr>
          <w:rFonts w:hint="eastAsia" w:ascii="仿宋" w:hAnsi="仿宋" w:eastAsia="仿宋"/>
          <w:sz w:val="30"/>
          <w:szCs w:val="30"/>
        </w:rPr>
        <w:t>。</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585"/>
        <w:jc w:val="left"/>
        <w:textAlignment w:val="baseline"/>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265.19</w:t>
      </w:r>
      <w:r>
        <w:rPr>
          <w:rFonts w:hint="eastAsia" w:ascii="仿宋" w:hAnsi="仿宋" w:eastAsia="仿宋"/>
          <w:sz w:val="30"/>
          <w:szCs w:val="30"/>
        </w:rPr>
        <w:t>万元，较</w:t>
      </w:r>
      <w:r>
        <w:rPr>
          <w:rFonts w:hint="eastAsia" w:ascii="仿宋" w:hAnsi="仿宋" w:eastAsia="仿宋"/>
          <w:sz w:val="30"/>
          <w:szCs w:val="30"/>
          <w:lang w:val="en-US" w:eastAsia="zh-CN"/>
        </w:rPr>
        <w:t>2021</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3490.26</w:t>
      </w:r>
      <w:r>
        <w:rPr>
          <w:rFonts w:hint="eastAsia" w:ascii="仿宋" w:hAnsi="仿宋" w:eastAsia="仿宋"/>
          <w:sz w:val="30"/>
          <w:szCs w:val="30"/>
        </w:rPr>
        <w:t>万元，</w:t>
      </w:r>
      <w:r>
        <w:rPr>
          <w:rFonts w:hint="eastAsia" w:ascii="仿宋" w:hAnsi="仿宋" w:eastAsia="仿宋"/>
          <w:sz w:val="30"/>
          <w:szCs w:val="30"/>
          <w:lang w:eastAsia="zh-CN"/>
        </w:rPr>
        <w:t>下降</w:t>
      </w:r>
      <w:r>
        <w:rPr>
          <w:rFonts w:hint="eastAsia" w:ascii="仿宋" w:hAnsi="仿宋" w:eastAsia="仿宋"/>
          <w:sz w:val="30"/>
          <w:szCs w:val="30"/>
          <w:lang w:val="en-US" w:eastAsia="zh-CN"/>
        </w:rPr>
        <w:t>92.94</w:t>
      </w:r>
      <w:r>
        <w:rPr>
          <w:rFonts w:hint="eastAsia" w:ascii="仿宋" w:hAnsi="仿宋" w:eastAsia="仿宋"/>
          <w:sz w:val="30"/>
          <w:szCs w:val="30"/>
        </w:rPr>
        <w:t>%，主要原因是：</w:t>
      </w:r>
      <w:r>
        <w:rPr>
          <w:rFonts w:hint="eastAsia" w:ascii="仿宋" w:hAnsi="仿宋" w:eastAsia="仿宋"/>
          <w:sz w:val="30"/>
          <w:szCs w:val="30"/>
          <w:lang w:eastAsia="zh-CN"/>
        </w:rPr>
        <w:t>上年部分支出实为项目支出</w:t>
      </w:r>
      <w:r>
        <w:rPr>
          <w:rFonts w:hint="eastAsia" w:ascii="仿宋" w:hAnsi="仿宋" w:eastAsia="仿宋"/>
          <w:sz w:val="30"/>
          <w:szCs w:val="30"/>
        </w:rPr>
        <w:t>。</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585"/>
        <w:jc w:val="left"/>
        <w:textAlignment w:val="baseline"/>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12.45</w:t>
      </w:r>
      <w:r>
        <w:rPr>
          <w:rFonts w:hint="eastAsia" w:ascii="仿宋" w:hAnsi="仿宋" w:eastAsia="仿宋"/>
          <w:sz w:val="30"/>
          <w:szCs w:val="30"/>
        </w:rPr>
        <w:t>万元，较</w:t>
      </w:r>
      <w:r>
        <w:rPr>
          <w:rFonts w:hint="eastAsia" w:ascii="仿宋" w:hAnsi="仿宋" w:eastAsia="仿宋"/>
          <w:sz w:val="30"/>
          <w:szCs w:val="30"/>
          <w:lang w:val="en-US" w:eastAsia="zh-CN"/>
        </w:rPr>
        <w:t>2021</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2.56</w:t>
      </w:r>
      <w:r>
        <w:rPr>
          <w:rFonts w:hint="eastAsia" w:ascii="仿宋" w:hAnsi="仿宋" w:eastAsia="仿宋"/>
          <w:sz w:val="30"/>
          <w:szCs w:val="30"/>
        </w:rPr>
        <w:t>万元，</w:t>
      </w:r>
      <w:r>
        <w:rPr>
          <w:rFonts w:hint="eastAsia" w:ascii="仿宋" w:hAnsi="仿宋" w:eastAsia="仿宋"/>
          <w:sz w:val="30"/>
          <w:szCs w:val="30"/>
          <w:lang w:eastAsia="zh-CN"/>
        </w:rPr>
        <w:t>下降</w:t>
      </w:r>
      <w:r>
        <w:rPr>
          <w:rFonts w:hint="eastAsia" w:ascii="仿宋" w:hAnsi="仿宋" w:eastAsia="仿宋"/>
          <w:sz w:val="30"/>
          <w:szCs w:val="30"/>
          <w:lang w:val="en-US" w:eastAsia="zh-CN"/>
        </w:rPr>
        <w:t>17.06</w:t>
      </w:r>
      <w:r>
        <w:rPr>
          <w:rFonts w:hint="eastAsia" w:ascii="仿宋" w:hAnsi="仿宋" w:eastAsia="仿宋"/>
          <w:sz w:val="30"/>
          <w:szCs w:val="30"/>
        </w:rPr>
        <w:t>%，主要原因是：</w:t>
      </w:r>
      <w:r>
        <w:rPr>
          <w:rFonts w:hint="eastAsia" w:ascii="仿宋" w:hAnsi="仿宋" w:eastAsia="仿宋"/>
          <w:sz w:val="30"/>
          <w:szCs w:val="30"/>
          <w:lang w:eastAsia="zh-CN"/>
        </w:rPr>
        <w:t>本年生活补助减少</w:t>
      </w:r>
      <w:r>
        <w:rPr>
          <w:rFonts w:hint="eastAsia" w:ascii="仿宋" w:hAnsi="仿宋" w:eastAsia="仿宋"/>
          <w:sz w:val="30"/>
          <w:szCs w:val="30"/>
        </w:rPr>
        <w:t>。</w:t>
      </w:r>
    </w:p>
    <w:p>
      <w:pPr>
        <w:spacing w:before="1" w:line="228" w:lineRule="auto"/>
        <w:ind w:left="4"/>
        <w:rPr>
          <w:rFonts w:ascii="仿宋" w:hAnsi="仿宋" w:eastAsia="仿宋" w:cs="仿宋"/>
          <w:sz w:val="30"/>
          <w:szCs w:val="30"/>
        </w:rPr>
      </w:pPr>
    </w:p>
    <w:p>
      <w:pPr>
        <w:keepNext w:val="0"/>
        <w:keepLines w:val="0"/>
        <w:pageBreakBefore w:val="0"/>
        <w:widowControl/>
        <w:kinsoku w:val="0"/>
        <w:wordWrap/>
        <w:overflowPunct/>
        <w:topLinePunct w:val="0"/>
        <w:autoSpaceDE w:val="0"/>
        <w:autoSpaceDN w:val="0"/>
        <w:bidi w:val="0"/>
        <w:adjustRightInd w:val="0"/>
        <w:snapToGrid w:val="0"/>
        <w:spacing w:before="190" w:line="580" w:lineRule="exact"/>
        <w:ind w:left="693"/>
        <w:textAlignment w:val="baseline"/>
        <w:outlineLvl w:val="0"/>
        <w:rPr>
          <w:rFonts w:ascii="黑体" w:hAnsi="黑体" w:eastAsia="黑体" w:cs="黑体"/>
          <w:sz w:val="30"/>
          <w:szCs w:val="30"/>
        </w:rPr>
      </w:pPr>
      <w:r>
        <w:rPr>
          <w:rFonts w:ascii="黑体" w:hAnsi="黑体" w:eastAsia="黑体" w:cs="黑体"/>
          <w:spacing w:val="5"/>
          <w:sz w:val="30"/>
          <w:szCs w:val="30"/>
          <w14:textOutline w14:w="5629" w14:cap="sq" w14:cmpd="sng">
            <w14:solidFill>
              <w14:srgbClr w14:val="000000"/>
            </w14:solidFill>
            <w14:prstDash w14:val="solid"/>
            <w14:bevel/>
          </w14:textOutline>
        </w:rPr>
        <w:t>五</w:t>
      </w:r>
      <w:r>
        <w:rPr>
          <w:rFonts w:ascii="黑体" w:hAnsi="黑体" w:eastAsia="黑体" w:cs="黑体"/>
          <w:spacing w:val="5"/>
          <w:sz w:val="30"/>
          <w:szCs w:val="30"/>
        </w:rPr>
        <w:t xml:space="preserve"> </w:t>
      </w:r>
      <w:r>
        <w:rPr>
          <w:rFonts w:ascii="黑体" w:hAnsi="黑体" w:eastAsia="黑体" w:cs="黑体"/>
          <w:spacing w:val="5"/>
          <w:sz w:val="30"/>
          <w:szCs w:val="30"/>
          <w14:textOutline w14:w="5629" w14:cap="sq" w14:cmpd="sng">
            <w14:solidFill>
              <w14:srgbClr w14:val="000000"/>
            </w14:solidFill>
            <w14:prstDash w14:val="solid"/>
            <w14:bevel/>
          </w14:textOutline>
        </w:rPr>
        <w:t>、财政拨款“三公”经费支出决算情况说明</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30"/>
        <w:jc w:val="left"/>
        <w:textAlignment w:val="baseline"/>
        <w:rPr>
          <w:rFonts w:hint="eastAsia" w:ascii="仿宋" w:hAnsi="仿宋" w:eastAsia="仿宋"/>
          <w:sz w:val="30"/>
          <w:szCs w:val="30"/>
        </w:rPr>
      </w:pPr>
      <w:r>
        <w:rPr>
          <w:rFonts w:hint="eastAsia" w:ascii="仿宋" w:hAnsi="仿宋" w:eastAsia="仿宋"/>
          <w:sz w:val="30"/>
          <w:szCs w:val="30"/>
        </w:rPr>
        <w:t>本部门202</w:t>
      </w:r>
      <w:r>
        <w:rPr>
          <w:rFonts w:hint="eastAsia" w:ascii="仿宋" w:hAnsi="仿宋" w:eastAsia="仿宋"/>
          <w:sz w:val="30"/>
          <w:szCs w:val="30"/>
          <w:lang w:val="en-US" w:eastAsia="zh-CN"/>
        </w:rPr>
        <w:t>2</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2.69</w:t>
      </w:r>
      <w:r>
        <w:rPr>
          <w:rFonts w:hint="eastAsia" w:ascii="仿宋" w:hAnsi="仿宋" w:eastAsia="仿宋"/>
          <w:sz w:val="30"/>
          <w:szCs w:val="30"/>
        </w:rPr>
        <w:t>万元，决算数较</w:t>
      </w:r>
      <w:r>
        <w:rPr>
          <w:rFonts w:hint="eastAsia" w:ascii="仿宋" w:hAnsi="仿宋" w:eastAsia="仿宋"/>
          <w:sz w:val="30"/>
          <w:szCs w:val="30"/>
          <w:lang w:val="en-US" w:eastAsia="zh-CN"/>
        </w:rPr>
        <w:t>2021</w:t>
      </w:r>
      <w:r>
        <w:rPr>
          <w:rFonts w:hint="eastAsia" w:ascii="仿宋" w:hAnsi="仿宋" w:eastAsia="仿宋"/>
          <w:sz w:val="30"/>
          <w:szCs w:val="30"/>
        </w:rPr>
        <w:t>年减少</w:t>
      </w:r>
      <w:r>
        <w:rPr>
          <w:rFonts w:hint="eastAsia" w:ascii="仿宋" w:hAnsi="仿宋" w:eastAsia="仿宋"/>
          <w:sz w:val="30"/>
          <w:szCs w:val="30"/>
          <w:lang w:val="en-US" w:eastAsia="zh-CN"/>
        </w:rPr>
        <w:t>27.56</w:t>
      </w:r>
      <w:r>
        <w:rPr>
          <w:rFonts w:hint="eastAsia" w:ascii="仿宋" w:hAnsi="仿宋" w:eastAsia="仿宋"/>
          <w:sz w:val="30"/>
          <w:szCs w:val="30"/>
        </w:rPr>
        <w:t>万元，下降</w:t>
      </w:r>
      <w:r>
        <w:rPr>
          <w:rFonts w:hint="eastAsia" w:ascii="仿宋" w:hAnsi="仿宋" w:eastAsia="仿宋"/>
          <w:sz w:val="30"/>
          <w:szCs w:val="30"/>
          <w:lang w:val="en-US" w:eastAsia="zh-CN"/>
        </w:rPr>
        <w:t>91.11</w:t>
      </w:r>
      <w:r>
        <w:rPr>
          <w:rFonts w:hint="eastAsia" w:ascii="仿宋" w:hAnsi="仿宋" w:eastAsia="仿宋"/>
          <w:sz w:val="30"/>
          <w:szCs w:val="30"/>
        </w:rPr>
        <w:t>%，其中：</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30"/>
        <w:jc w:val="left"/>
        <w:textAlignment w:val="baseline"/>
        <w:rPr>
          <w:rFonts w:hint="default" w:ascii="仿宋" w:hAnsi="仿宋" w:eastAsia="仿宋"/>
          <w:sz w:val="30"/>
          <w:szCs w:val="30"/>
          <w:lang w:val="en-US"/>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万元，完成预算的</w:t>
      </w:r>
      <w:r>
        <w:rPr>
          <w:rFonts w:hint="eastAsia" w:ascii="仿宋" w:hAnsi="仿宋" w:eastAsia="仿宋"/>
          <w:sz w:val="30"/>
          <w:szCs w:val="30"/>
          <w:lang w:val="en-US" w:eastAsia="zh-CN"/>
        </w:rPr>
        <w:t>0</w:t>
      </w:r>
      <w:r>
        <w:rPr>
          <w:rFonts w:hint="eastAsia" w:ascii="仿宋" w:hAnsi="仿宋" w:eastAsia="仿宋"/>
          <w:sz w:val="30"/>
          <w:szCs w:val="30"/>
        </w:rPr>
        <w:t>%，决算数较20</w:t>
      </w:r>
      <w:r>
        <w:rPr>
          <w:rFonts w:hint="eastAsia" w:ascii="仿宋" w:hAnsi="仿宋" w:eastAsia="仿宋"/>
          <w:sz w:val="30"/>
          <w:szCs w:val="30"/>
          <w:lang w:val="en-US" w:eastAsia="zh-CN"/>
        </w:rPr>
        <w:t>22</w:t>
      </w:r>
      <w:r>
        <w:rPr>
          <w:rFonts w:hint="eastAsia" w:ascii="仿宋" w:hAnsi="仿宋" w:eastAsia="仿宋"/>
          <w:sz w:val="30"/>
          <w:szCs w:val="30"/>
        </w:rPr>
        <w:t>年增加（减少）</w:t>
      </w:r>
      <w:r>
        <w:rPr>
          <w:rFonts w:hint="eastAsia" w:ascii="仿宋" w:hAnsi="仿宋" w:eastAsia="仿宋"/>
          <w:sz w:val="30"/>
          <w:szCs w:val="30"/>
          <w:lang w:val="en-US" w:eastAsia="zh-CN"/>
        </w:rPr>
        <w:t>0</w:t>
      </w:r>
      <w:r>
        <w:rPr>
          <w:rFonts w:hint="eastAsia" w:ascii="仿宋" w:hAnsi="仿宋" w:eastAsia="仿宋"/>
          <w:sz w:val="30"/>
          <w:szCs w:val="30"/>
        </w:rPr>
        <w:t>万元，增长（下降）</w:t>
      </w:r>
      <w:r>
        <w:rPr>
          <w:rFonts w:hint="eastAsia" w:ascii="仿宋" w:hAnsi="仿宋" w:eastAsia="仿宋"/>
          <w:sz w:val="30"/>
          <w:szCs w:val="30"/>
          <w:lang w:val="en-US" w:eastAsia="zh-CN"/>
        </w:rPr>
        <w:t>0</w:t>
      </w:r>
      <w:r>
        <w:rPr>
          <w:rFonts w:hint="eastAsia" w:ascii="仿宋" w:hAnsi="仿宋" w:eastAsia="仿宋"/>
          <w:sz w:val="30"/>
          <w:szCs w:val="30"/>
        </w:rPr>
        <w:t>%</w:t>
      </w:r>
      <w:r>
        <w:rPr>
          <w:rFonts w:hint="eastAsia" w:ascii="仿宋" w:hAnsi="仿宋" w:eastAsia="仿宋"/>
          <w:sz w:val="30"/>
          <w:szCs w:val="30"/>
          <w:lang w:eastAsia="zh-CN"/>
        </w:rPr>
        <w:t>，</w:t>
      </w:r>
      <w:r>
        <w:rPr>
          <w:rFonts w:hint="eastAsia" w:ascii="仿宋" w:hAnsi="仿宋" w:eastAsia="仿宋" w:cs="Times New Roman"/>
          <w:sz w:val="30"/>
          <w:szCs w:val="30"/>
          <w:lang w:val="en-US" w:eastAsia="zh-CN"/>
        </w:rPr>
        <w:t>主要原因是本年没有</w:t>
      </w:r>
      <w:r>
        <w:rPr>
          <w:rFonts w:hint="eastAsia" w:ascii="仿宋" w:hAnsi="仿宋" w:eastAsia="仿宋"/>
          <w:sz w:val="30"/>
          <w:szCs w:val="30"/>
        </w:rPr>
        <w:t>因公出国（境）支出</w:t>
      </w:r>
      <w:r>
        <w:rPr>
          <w:rFonts w:hint="eastAsia" w:ascii="仿宋" w:hAnsi="仿宋" w:eastAsia="仿宋" w:cs="Times New Roman"/>
          <w:sz w:val="30"/>
          <w:szCs w:val="30"/>
        </w:rPr>
        <w:t>。</w:t>
      </w:r>
      <w:r>
        <w:rPr>
          <w:rFonts w:hint="eastAsia" w:ascii="仿宋" w:hAnsi="仿宋" w:eastAsia="仿宋"/>
          <w:sz w:val="30"/>
          <w:szCs w:val="30"/>
        </w:rPr>
        <w:t>决算数较年初预算数增加（减少）的主要原因是：</w:t>
      </w:r>
      <w:r>
        <w:rPr>
          <w:rFonts w:hint="eastAsia" w:ascii="仿宋" w:hAnsi="仿宋" w:eastAsia="仿宋"/>
          <w:sz w:val="30"/>
          <w:szCs w:val="30"/>
          <w:lang w:eastAsia="zh-CN"/>
        </w:rPr>
        <w:t>本年</w:t>
      </w:r>
      <w:r>
        <w:rPr>
          <w:rFonts w:hint="eastAsia" w:ascii="仿宋" w:hAnsi="仿宋" w:eastAsia="仿宋" w:cs="Times New Roman"/>
          <w:sz w:val="30"/>
          <w:szCs w:val="30"/>
          <w:lang w:val="en-US" w:eastAsia="zh-CN"/>
        </w:rPr>
        <w:t>没有</w:t>
      </w:r>
      <w:r>
        <w:rPr>
          <w:rFonts w:hint="eastAsia" w:ascii="仿宋" w:hAnsi="仿宋" w:eastAsia="仿宋"/>
          <w:sz w:val="30"/>
          <w:szCs w:val="30"/>
        </w:rPr>
        <w:t>因公出国（境）支出。</w:t>
      </w:r>
      <w:r>
        <w:rPr>
          <w:rFonts w:hint="eastAsia" w:ascii="仿宋" w:hAnsi="仿宋" w:eastAsia="仿宋"/>
          <w:sz w:val="30"/>
          <w:szCs w:val="30"/>
          <w:lang w:val="en-US" w:eastAsia="zh-CN"/>
        </w:rPr>
        <w:t>全年安排因公出国（境）团组0个，累计0人次，主要为：本年</w:t>
      </w:r>
      <w:r>
        <w:rPr>
          <w:rFonts w:hint="eastAsia" w:ascii="仿宋" w:hAnsi="仿宋" w:eastAsia="仿宋" w:cs="Times New Roman"/>
          <w:sz w:val="30"/>
          <w:szCs w:val="30"/>
          <w:lang w:val="en-US" w:eastAsia="zh-CN"/>
        </w:rPr>
        <w:t>没有</w:t>
      </w:r>
      <w:r>
        <w:rPr>
          <w:rFonts w:hint="eastAsia" w:ascii="仿宋" w:hAnsi="仿宋" w:eastAsia="仿宋"/>
          <w:sz w:val="30"/>
          <w:szCs w:val="30"/>
        </w:rPr>
        <w:t>因公出国（境）支出。</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30"/>
        <w:jc w:val="left"/>
        <w:textAlignment w:val="baseline"/>
        <w:rPr>
          <w:rFonts w:hint="default" w:ascii="仿宋" w:hAnsi="仿宋" w:eastAsia="仿宋"/>
          <w:sz w:val="30"/>
          <w:szCs w:val="30"/>
          <w:lang w:val="en-US" w:eastAsia="zh-CN"/>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2.69</w:t>
      </w:r>
      <w:r>
        <w:rPr>
          <w:rFonts w:hint="eastAsia" w:ascii="仿宋" w:hAnsi="仿宋" w:eastAsia="仿宋"/>
          <w:sz w:val="30"/>
          <w:szCs w:val="30"/>
        </w:rPr>
        <w:t>万元，决算数较</w:t>
      </w:r>
      <w:r>
        <w:rPr>
          <w:rFonts w:hint="eastAsia" w:ascii="仿宋" w:hAnsi="仿宋" w:eastAsia="仿宋"/>
          <w:sz w:val="30"/>
          <w:szCs w:val="30"/>
          <w:lang w:val="en-US" w:eastAsia="zh-CN"/>
        </w:rPr>
        <w:t>2021</w:t>
      </w:r>
      <w:r>
        <w:rPr>
          <w:rFonts w:hint="eastAsia" w:ascii="仿宋" w:hAnsi="仿宋" w:eastAsia="仿宋"/>
          <w:sz w:val="30"/>
          <w:szCs w:val="30"/>
        </w:rPr>
        <w:t>年减少</w:t>
      </w:r>
      <w:r>
        <w:rPr>
          <w:rFonts w:hint="eastAsia" w:ascii="仿宋" w:hAnsi="仿宋" w:eastAsia="仿宋"/>
          <w:sz w:val="30"/>
          <w:szCs w:val="30"/>
          <w:lang w:val="en-US" w:eastAsia="zh-CN"/>
        </w:rPr>
        <w:t>27.56</w:t>
      </w:r>
      <w:r>
        <w:rPr>
          <w:rFonts w:hint="eastAsia" w:ascii="仿宋" w:hAnsi="仿宋" w:eastAsia="仿宋"/>
          <w:sz w:val="30"/>
          <w:szCs w:val="30"/>
        </w:rPr>
        <w:t>万元，下降</w:t>
      </w:r>
      <w:r>
        <w:rPr>
          <w:rFonts w:hint="eastAsia" w:ascii="仿宋" w:hAnsi="仿宋" w:eastAsia="仿宋"/>
          <w:sz w:val="30"/>
          <w:szCs w:val="30"/>
          <w:lang w:val="en-US" w:eastAsia="zh-CN"/>
        </w:rPr>
        <w:t>91.11</w:t>
      </w:r>
      <w:r>
        <w:rPr>
          <w:rFonts w:hint="eastAsia" w:ascii="仿宋" w:hAnsi="仿宋" w:eastAsia="仿宋"/>
          <w:sz w:val="30"/>
          <w:szCs w:val="30"/>
        </w:rPr>
        <w:t>%</w:t>
      </w:r>
      <w:r>
        <w:rPr>
          <w:rFonts w:hint="eastAsia" w:ascii="仿宋" w:hAnsi="仿宋" w:eastAsia="仿宋"/>
          <w:sz w:val="30"/>
          <w:szCs w:val="30"/>
          <w:lang w:eastAsia="zh-CN"/>
        </w:rPr>
        <w:t>，</w:t>
      </w:r>
      <w:r>
        <w:rPr>
          <w:rFonts w:hint="eastAsia" w:ascii="仿宋" w:hAnsi="仿宋" w:eastAsia="仿宋" w:cs="Times New Roman"/>
          <w:sz w:val="30"/>
          <w:szCs w:val="30"/>
          <w:lang w:val="en-US" w:eastAsia="zh-CN"/>
        </w:rPr>
        <w:t>主要原因是本年公务接待减少</w:t>
      </w:r>
      <w:r>
        <w:rPr>
          <w:rFonts w:hint="eastAsia" w:ascii="仿宋" w:hAnsi="仿宋" w:eastAsia="仿宋"/>
          <w:sz w:val="30"/>
          <w:szCs w:val="30"/>
        </w:rPr>
        <w:t>。决算数较年初预算数增加（减少）的主要原因是：</w:t>
      </w:r>
      <w:r>
        <w:rPr>
          <w:rFonts w:hint="eastAsia" w:ascii="仿宋" w:hAnsi="仿宋" w:eastAsia="仿宋"/>
          <w:sz w:val="30"/>
          <w:szCs w:val="30"/>
          <w:lang w:eastAsia="zh-CN"/>
        </w:rPr>
        <w:t>较年初预算数没有变化</w:t>
      </w:r>
      <w:r>
        <w:rPr>
          <w:rFonts w:hint="eastAsia" w:ascii="仿宋" w:hAnsi="仿宋" w:eastAsia="仿宋"/>
          <w:sz w:val="30"/>
          <w:szCs w:val="30"/>
        </w:rPr>
        <w:t>。</w:t>
      </w:r>
      <w:r>
        <w:rPr>
          <w:rFonts w:hint="eastAsia" w:ascii="仿宋" w:hAnsi="仿宋" w:eastAsia="仿宋"/>
          <w:sz w:val="30"/>
          <w:szCs w:val="30"/>
          <w:lang w:val="en-US" w:eastAsia="zh-CN"/>
        </w:rPr>
        <w:t>全年国内公务接待46批，累计接待407人次，其中外事接待0批，累计接待0人次，主要为：公务接待费用还有未出账</w:t>
      </w:r>
      <w:r>
        <w:rPr>
          <w:rFonts w:hint="eastAsia" w:ascii="仿宋" w:hAnsi="仿宋" w:eastAsia="仿宋"/>
          <w:sz w:val="30"/>
          <w:szCs w:val="30"/>
        </w:rPr>
        <w:t>。</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30"/>
        <w:jc w:val="left"/>
        <w:textAlignment w:val="baseline"/>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0</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万元，完成预算的</w:t>
      </w:r>
      <w:r>
        <w:rPr>
          <w:rFonts w:hint="eastAsia" w:ascii="仿宋" w:hAnsi="仿宋" w:eastAsia="仿宋"/>
          <w:sz w:val="30"/>
          <w:szCs w:val="30"/>
          <w:lang w:val="en-US" w:eastAsia="zh-CN"/>
        </w:rPr>
        <w:t>0</w:t>
      </w:r>
      <w:r>
        <w:rPr>
          <w:rFonts w:hint="eastAsia" w:ascii="仿宋" w:hAnsi="仿宋" w:eastAsia="仿宋"/>
          <w:sz w:val="30"/>
          <w:szCs w:val="30"/>
        </w:rPr>
        <w:t>%，决算数较</w:t>
      </w:r>
      <w:r>
        <w:rPr>
          <w:rFonts w:hint="eastAsia" w:ascii="仿宋" w:hAnsi="仿宋" w:eastAsia="仿宋"/>
          <w:sz w:val="30"/>
          <w:szCs w:val="30"/>
          <w:lang w:val="en-US" w:eastAsia="zh-CN"/>
        </w:rPr>
        <w:t>2021</w:t>
      </w:r>
      <w:r>
        <w:rPr>
          <w:rFonts w:hint="eastAsia" w:ascii="仿宋" w:hAnsi="仿宋" w:eastAsia="仿宋"/>
          <w:sz w:val="30"/>
          <w:szCs w:val="30"/>
        </w:rPr>
        <w:t>年增加（减少）</w:t>
      </w:r>
      <w:r>
        <w:rPr>
          <w:rFonts w:hint="eastAsia" w:ascii="仿宋" w:hAnsi="仿宋" w:eastAsia="仿宋"/>
          <w:sz w:val="30"/>
          <w:szCs w:val="30"/>
          <w:lang w:val="en-US" w:eastAsia="zh-CN"/>
        </w:rPr>
        <w:t>0</w:t>
      </w:r>
      <w:r>
        <w:rPr>
          <w:rFonts w:hint="eastAsia" w:ascii="仿宋" w:hAnsi="仿宋" w:eastAsia="仿宋"/>
          <w:sz w:val="30"/>
          <w:szCs w:val="30"/>
        </w:rPr>
        <w:t>万元，增长（下降）</w:t>
      </w:r>
      <w:r>
        <w:rPr>
          <w:rFonts w:hint="eastAsia" w:ascii="仿宋" w:hAnsi="仿宋" w:eastAsia="仿宋"/>
          <w:sz w:val="30"/>
          <w:szCs w:val="30"/>
          <w:lang w:val="en-US" w:eastAsia="zh-CN"/>
        </w:rPr>
        <w:t>0</w:t>
      </w:r>
      <w:r>
        <w:rPr>
          <w:rFonts w:hint="eastAsia" w:ascii="仿宋" w:hAnsi="仿宋" w:eastAsia="仿宋"/>
          <w:sz w:val="30"/>
          <w:szCs w:val="30"/>
        </w:rPr>
        <w:t>%</w:t>
      </w:r>
      <w:r>
        <w:rPr>
          <w:rFonts w:hint="eastAsia" w:ascii="仿宋" w:hAnsi="仿宋" w:eastAsia="仿宋"/>
          <w:sz w:val="30"/>
          <w:szCs w:val="30"/>
          <w:lang w:eastAsia="zh-CN"/>
        </w:rPr>
        <w:t>，</w:t>
      </w:r>
      <w:r>
        <w:rPr>
          <w:rFonts w:hint="eastAsia" w:ascii="仿宋" w:hAnsi="仿宋" w:eastAsia="仿宋" w:cs="Times New Roman"/>
          <w:sz w:val="30"/>
          <w:szCs w:val="30"/>
          <w:lang w:val="en-US" w:eastAsia="zh-CN"/>
        </w:rPr>
        <w:t>主要原因是没有公务用车购置</w:t>
      </w:r>
      <w:r>
        <w:rPr>
          <w:rFonts w:hint="eastAsia" w:ascii="仿宋" w:hAnsi="仿宋" w:eastAsia="仿宋"/>
          <w:sz w:val="30"/>
          <w:szCs w:val="30"/>
          <w:lang w:eastAsia="zh-CN"/>
        </w:rPr>
        <w:t>，</w:t>
      </w:r>
      <w:r>
        <w:rPr>
          <w:rFonts w:hint="eastAsia" w:ascii="仿宋" w:hAnsi="仿宋" w:eastAsia="仿宋"/>
          <w:sz w:val="30"/>
          <w:szCs w:val="30"/>
          <w:lang w:val="en-US" w:eastAsia="zh-CN"/>
        </w:rPr>
        <w:t>全年购置公务用车0辆</w:t>
      </w:r>
      <w:r>
        <w:rPr>
          <w:rFonts w:hint="eastAsia" w:ascii="仿宋" w:hAnsi="仿宋" w:eastAsia="仿宋"/>
          <w:sz w:val="30"/>
          <w:szCs w:val="30"/>
        </w:rPr>
        <w:t>。决算数较年初预算数增加（减少）的主要原因是：</w:t>
      </w:r>
      <w:r>
        <w:rPr>
          <w:rFonts w:hint="eastAsia" w:ascii="仿宋" w:hAnsi="仿宋" w:eastAsia="仿宋"/>
          <w:sz w:val="30"/>
          <w:szCs w:val="30"/>
          <w:lang w:eastAsia="zh-CN"/>
        </w:rPr>
        <w:t>本年</w:t>
      </w:r>
      <w:r>
        <w:rPr>
          <w:rFonts w:hint="eastAsia" w:ascii="仿宋" w:hAnsi="仿宋" w:eastAsia="仿宋" w:cs="Times New Roman"/>
          <w:sz w:val="30"/>
          <w:szCs w:val="30"/>
          <w:lang w:val="en-US" w:eastAsia="zh-CN"/>
        </w:rPr>
        <w:t>没有公务用车购置</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万元，完成预算的</w:t>
      </w:r>
      <w:r>
        <w:rPr>
          <w:rFonts w:hint="eastAsia" w:ascii="仿宋" w:hAnsi="仿宋" w:eastAsia="仿宋"/>
          <w:sz w:val="30"/>
          <w:szCs w:val="30"/>
          <w:lang w:val="en-US" w:eastAsia="zh-CN"/>
        </w:rPr>
        <w:t>0</w:t>
      </w:r>
      <w:r>
        <w:rPr>
          <w:rFonts w:hint="eastAsia" w:ascii="仿宋" w:hAnsi="仿宋" w:eastAsia="仿宋"/>
          <w:sz w:val="30"/>
          <w:szCs w:val="30"/>
        </w:rPr>
        <w:t>%，决算数较</w:t>
      </w:r>
      <w:r>
        <w:rPr>
          <w:rFonts w:hint="eastAsia" w:ascii="仿宋" w:hAnsi="仿宋" w:eastAsia="仿宋"/>
          <w:sz w:val="30"/>
          <w:szCs w:val="30"/>
          <w:lang w:val="en-US" w:eastAsia="zh-CN"/>
        </w:rPr>
        <w:t>2021</w:t>
      </w:r>
      <w:r>
        <w:rPr>
          <w:rFonts w:hint="eastAsia" w:ascii="仿宋" w:hAnsi="仿宋" w:eastAsia="仿宋"/>
          <w:sz w:val="30"/>
          <w:szCs w:val="30"/>
        </w:rPr>
        <w:t>年增加（减少）</w:t>
      </w:r>
      <w:r>
        <w:rPr>
          <w:rFonts w:hint="eastAsia" w:ascii="仿宋" w:hAnsi="仿宋" w:eastAsia="仿宋"/>
          <w:sz w:val="30"/>
          <w:szCs w:val="30"/>
          <w:lang w:val="en-US" w:eastAsia="zh-CN"/>
        </w:rPr>
        <w:t>0</w:t>
      </w:r>
      <w:r>
        <w:rPr>
          <w:rFonts w:hint="eastAsia" w:ascii="仿宋" w:hAnsi="仿宋" w:eastAsia="仿宋"/>
          <w:sz w:val="30"/>
          <w:szCs w:val="30"/>
        </w:rPr>
        <w:t>万元，增长（下降）</w:t>
      </w:r>
      <w:r>
        <w:rPr>
          <w:rFonts w:hint="eastAsia" w:ascii="仿宋" w:hAnsi="仿宋" w:eastAsia="仿宋"/>
          <w:sz w:val="30"/>
          <w:szCs w:val="30"/>
          <w:lang w:val="en-US" w:eastAsia="zh-CN"/>
        </w:rPr>
        <w:t>0</w:t>
      </w:r>
      <w:r>
        <w:rPr>
          <w:rFonts w:hint="eastAsia" w:ascii="仿宋" w:hAnsi="仿宋" w:eastAsia="仿宋"/>
          <w:sz w:val="30"/>
          <w:szCs w:val="30"/>
        </w:rPr>
        <w:t>%</w:t>
      </w:r>
      <w:r>
        <w:rPr>
          <w:rFonts w:hint="eastAsia" w:ascii="仿宋" w:hAnsi="仿宋" w:eastAsia="仿宋"/>
          <w:sz w:val="30"/>
          <w:szCs w:val="30"/>
          <w:lang w:eastAsia="zh-CN"/>
        </w:rPr>
        <w:t>，</w:t>
      </w:r>
      <w:r>
        <w:rPr>
          <w:rFonts w:hint="eastAsia" w:ascii="仿宋" w:hAnsi="仿宋" w:eastAsia="仿宋" w:cs="Times New Roman"/>
          <w:sz w:val="30"/>
          <w:szCs w:val="30"/>
          <w:lang w:val="en-US" w:eastAsia="zh-CN"/>
        </w:rPr>
        <w:t>主要原因是本年没有公务用车</w:t>
      </w:r>
      <w:r>
        <w:rPr>
          <w:rFonts w:hint="eastAsia" w:ascii="仿宋" w:hAnsi="仿宋" w:eastAsia="仿宋"/>
          <w:sz w:val="30"/>
          <w:szCs w:val="30"/>
          <w:lang w:eastAsia="zh-CN"/>
        </w:rPr>
        <w:t>，</w:t>
      </w:r>
      <w:r>
        <w:rPr>
          <w:rFonts w:hint="eastAsia" w:ascii="仿宋" w:hAnsi="仿宋" w:eastAsia="仿宋"/>
          <w:sz w:val="30"/>
          <w:szCs w:val="30"/>
          <w:lang w:val="en-US" w:eastAsia="zh-CN"/>
        </w:rPr>
        <w:t>年末公务用车保有0辆</w:t>
      </w:r>
      <w:r>
        <w:rPr>
          <w:rFonts w:hint="eastAsia" w:ascii="仿宋" w:hAnsi="仿宋" w:eastAsia="仿宋"/>
          <w:sz w:val="30"/>
          <w:szCs w:val="30"/>
        </w:rPr>
        <w:t>。决算数较年初预算数增加（减少）的主要原因是：</w:t>
      </w:r>
      <w:r>
        <w:rPr>
          <w:rFonts w:hint="eastAsia" w:ascii="仿宋" w:hAnsi="仿宋" w:eastAsia="仿宋"/>
          <w:sz w:val="30"/>
          <w:szCs w:val="30"/>
          <w:lang w:eastAsia="zh-CN"/>
        </w:rPr>
        <w:t>本年</w:t>
      </w:r>
      <w:r>
        <w:rPr>
          <w:rFonts w:hint="eastAsia" w:ascii="仿宋" w:hAnsi="仿宋" w:eastAsia="仿宋" w:cs="Times New Roman"/>
          <w:sz w:val="30"/>
          <w:szCs w:val="30"/>
          <w:lang w:val="en-US" w:eastAsia="zh-CN"/>
        </w:rPr>
        <w:t>没有公务用车</w:t>
      </w:r>
      <w:r>
        <w:rPr>
          <w:rFonts w:hint="eastAsia" w:ascii="仿宋" w:hAnsi="仿宋" w:eastAsia="仿宋"/>
          <w:sz w:val="30"/>
          <w:szCs w:val="30"/>
        </w:rPr>
        <w:t>。</w:t>
      </w:r>
    </w:p>
    <w:p>
      <w:pPr>
        <w:keepNext w:val="0"/>
        <w:keepLines w:val="0"/>
        <w:pageBreakBefore w:val="0"/>
        <w:widowControl/>
        <w:kinsoku w:val="0"/>
        <w:wordWrap/>
        <w:overflowPunct/>
        <w:topLinePunct w:val="0"/>
        <w:autoSpaceDE w:val="0"/>
        <w:autoSpaceDN w:val="0"/>
        <w:bidi w:val="0"/>
        <w:adjustRightInd w:val="0"/>
        <w:snapToGrid w:val="0"/>
        <w:spacing w:before="1" w:line="580" w:lineRule="exact"/>
        <w:ind w:left="663"/>
        <w:textAlignment w:val="baseline"/>
        <w:rPr>
          <w:rFonts w:hint="eastAsia" w:ascii="黑体" w:hAnsi="黑体" w:eastAsia="黑体" w:cs="黑体"/>
          <w:spacing w:val="3"/>
          <w:sz w:val="30"/>
          <w:szCs w:val="30"/>
          <w:lang w:eastAsia="zh-CN"/>
          <w14:textOutline w14:w="5629" w14:cap="sq" w14:cmpd="sng">
            <w14:solidFill>
              <w14:srgbClr w14:val="000000"/>
            </w14:solidFill>
            <w14:prstDash w14:val="solid"/>
            <w14:bevel/>
          </w14:textOutline>
        </w:rPr>
      </w:pPr>
      <w:r>
        <w:rPr>
          <w:rFonts w:ascii="黑体" w:hAnsi="黑体" w:eastAsia="黑体" w:cs="黑体"/>
          <w:spacing w:val="3"/>
          <w:sz w:val="30"/>
          <w:szCs w:val="30"/>
          <w14:textOutline w14:w="5629" w14:cap="sq" w14:cmpd="sng">
            <w14:solidFill>
              <w14:srgbClr w14:val="000000"/>
            </w14:solidFill>
            <w14:prstDash w14:val="solid"/>
            <w14:bevel/>
          </w14:textOutline>
        </w:rPr>
        <w:t>六、</w:t>
      </w:r>
      <w:r>
        <w:rPr>
          <w:rFonts w:ascii="黑体" w:hAnsi="黑体" w:eastAsia="黑体" w:cs="黑体"/>
          <w:spacing w:val="-49"/>
          <w:sz w:val="30"/>
          <w:szCs w:val="30"/>
        </w:rPr>
        <w:t xml:space="preserve"> </w:t>
      </w:r>
      <w:r>
        <w:rPr>
          <w:rFonts w:ascii="黑体" w:hAnsi="黑体" w:eastAsia="黑体" w:cs="黑体"/>
          <w:spacing w:val="3"/>
          <w:sz w:val="30"/>
          <w:szCs w:val="30"/>
          <w14:textOutline w14:w="5629" w14:cap="sq" w14:cmpd="sng">
            <w14:solidFill>
              <w14:srgbClr w14:val="000000"/>
            </w14:solidFill>
            <w14:prstDash w14:val="solid"/>
            <w14:bevel/>
          </w14:textOutline>
        </w:rPr>
        <w:t>机关运行经费支出情况</w:t>
      </w:r>
      <w:r>
        <w:rPr>
          <w:rFonts w:hint="eastAsia" w:ascii="黑体" w:hAnsi="黑体" w:eastAsia="黑体" w:cs="黑体"/>
          <w:spacing w:val="3"/>
          <w:sz w:val="30"/>
          <w:szCs w:val="30"/>
          <w:lang w:eastAsia="zh-CN"/>
          <w14:textOutline w14:w="5629" w14:cap="sq" w14:cmpd="sng">
            <w14:solidFill>
              <w14:srgbClr w14:val="000000"/>
            </w14:solidFill>
            <w14:prstDash w14:val="solid"/>
            <w14:bevel/>
          </w14:textOutline>
        </w:rPr>
        <w:t>说明</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30"/>
        <w:jc w:val="left"/>
        <w:textAlignment w:val="baseline"/>
        <w:rPr>
          <w:rFonts w:hint="eastAsia" w:ascii="仿宋" w:hAnsi="仿宋" w:eastAsia="仿宋"/>
          <w:sz w:val="30"/>
          <w:szCs w:val="30"/>
        </w:rPr>
      </w:pPr>
      <w:r>
        <w:rPr>
          <w:rFonts w:hint="eastAsia" w:ascii="仿宋" w:hAnsi="仿宋" w:eastAsia="仿宋"/>
          <w:sz w:val="30"/>
          <w:szCs w:val="30"/>
        </w:rPr>
        <w:t>本部门202</w:t>
      </w:r>
      <w:r>
        <w:rPr>
          <w:rFonts w:hint="eastAsia" w:ascii="仿宋" w:hAnsi="仿宋" w:eastAsia="仿宋"/>
          <w:sz w:val="30"/>
          <w:szCs w:val="30"/>
          <w:lang w:val="en-US" w:eastAsia="zh-CN"/>
        </w:rPr>
        <w:t>2</w:t>
      </w:r>
      <w:r>
        <w:rPr>
          <w:rFonts w:hint="eastAsia" w:ascii="仿宋" w:hAnsi="仿宋" w:eastAsia="仿宋"/>
          <w:sz w:val="30"/>
          <w:szCs w:val="30"/>
        </w:rPr>
        <w:t>年度机关运行经费支出</w:t>
      </w:r>
      <w:r>
        <w:rPr>
          <w:rFonts w:hint="eastAsia" w:ascii="仿宋" w:hAnsi="仿宋" w:eastAsia="仿宋"/>
          <w:sz w:val="30"/>
          <w:szCs w:val="30"/>
          <w:lang w:val="en-US" w:eastAsia="zh-CN"/>
        </w:rPr>
        <w:t>256.79</w:t>
      </w:r>
      <w:r>
        <w:rPr>
          <w:rFonts w:hint="eastAsia" w:ascii="仿宋" w:hAnsi="仿宋" w:eastAsia="仿宋"/>
          <w:sz w:val="30"/>
          <w:szCs w:val="30"/>
        </w:rPr>
        <w:t>万元（与部门决算中行政单位和参照公务员法管理事业单位一般公共预算财政拨款基本支出中公用经费之和一致），较</w:t>
      </w:r>
      <w:r>
        <w:rPr>
          <w:rFonts w:hint="eastAsia" w:ascii="仿宋" w:hAnsi="仿宋" w:eastAsia="仿宋"/>
          <w:sz w:val="30"/>
          <w:szCs w:val="30"/>
          <w:lang w:val="en-US" w:eastAsia="zh-CN"/>
        </w:rPr>
        <w:t>上年决算数</w:t>
      </w:r>
      <w:r>
        <w:rPr>
          <w:rFonts w:hint="eastAsia" w:ascii="仿宋" w:hAnsi="仿宋" w:eastAsia="仿宋"/>
          <w:sz w:val="30"/>
          <w:szCs w:val="30"/>
          <w:lang w:eastAsia="zh-CN"/>
        </w:rPr>
        <w:t>增加</w:t>
      </w:r>
      <w:r>
        <w:rPr>
          <w:rFonts w:hint="eastAsia" w:ascii="仿宋" w:hAnsi="仿宋" w:eastAsia="仿宋"/>
          <w:sz w:val="30"/>
          <w:szCs w:val="30"/>
          <w:lang w:val="en-US" w:eastAsia="zh-CN"/>
        </w:rPr>
        <w:t>14.03</w:t>
      </w:r>
      <w:r>
        <w:rPr>
          <w:rFonts w:hint="eastAsia" w:ascii="仿宋" w:hAnsi="仿宋" w:eastAsia="仿宋"/>
          <w:sz w:val="30"/>
          <w:szCs w:val="30"/>
        </w:rPr>
        <w:t>万元，</w:t>
      </w:r>
      <w:r>
        <w:rPr>
          <w:rFonts w:hint="eastAsia" w:ascii="仿宋" w:hAnsi="仿宋" w:eastAsia="仿宋"/>
          <w:sz w:val="30"/>
          <w:szCs w:val="30"/>
          <w:lang w:eastAsia="zh-CN"/>
        </w:rPr>
        <w:t>增长</w:t>
      </w:r>
      <w:r>
        <w:rPr>
          <w:rFonts w:hint="eastAsia" w:ascii="仿宋" w:hAnsi="仿宋" w:eastAsia="仿宋"/>
          <w:sz w:val="30"/>
          <w:szCs w:val="30"/>
          <w:lang w:val="en-US" w:eastAsia="zh-CN"/>
        </w:rPr>
        <w:t>5.79</w:t>
      </w:r>
      <w:r>
        <w:rPr>
          <w:rFonts w:hint="eastAsia" w:ascii="仿宋" w:hAnsi="仿宋" w:eastAsia="仿宋"/>
          <w:sz w:val="30"/>
          <w:szCs w:val="30"/>
        </w:rPr>
        <w:t>%。</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30"/>
        <w:jc w:val="left"/>
        <w:textAlignment w:val="baseline"/>
        <w:rPr>
          <w:rFonts w:hint="eastAsia" w:ascii="仿宋" w:hAnsi="仿宋" w:eastAsia="仿宋"/>
          <w:sz w:val="30"/>
          <w:szCs w:val="30"/>
        </w:rPr>
      </w:pPr>
    </w:p>
    <w:p>
      <w:pPr>
        <w:spacing w:before="218" w:line="226" w:lineRule="auto"/>
        <w:ind w:firstLine="628" w:firstLineChars="200"/>
        <w:outlineLvl w:val="0"/>
        <w:rPr>
          <w:rFonts w:ascii="黑体" w:hAnsi="黑体" w:eastAsia="黑体" w:cs="黑体"/>
          <w:sz w:val="31"/>
          <w:szCs w:val="31"/>
        </w:rPr>
      </w:pPr>
      <w:r>
        <w:rPr>
          <w:rFonts w:ascii="黑体" w:hAnsi="黑体" w:eastAsia="黑体" w:cs="黑体"/>
          <w:spacing w:val="2"/>
          <w:sz w:val="31"/>
          <w:szCs w:val="31"/>
          <w14:textOutline w14:w="5793" w14:cap="sq" w14:cmpd="sng">
            <w14:solidFill>
              <w14:srgbClr w14:val="000000"/>
            </w14:solidFill>
            <w14:prstDash w14:val="solid"/>
            <w14:bevel/>
          </w14:textOutline>
        </w:rPr>
        <w:t>七、政府采购支出情况说明</w:t>
      </w:r>
    </w:p>
    <w:p>
      <w:pPr>
        <w:spacing w:before="255" w:line="363" w:lineRule="auto"/>
        <w:ind w:left="16" w:right="10" w:firstLine="650"/>
        <w:jc w:val="both"/>
        <w:rPr>
          <w:rFonts w:ascii="宋体" w:hAnsi="宋体" w:eastAsia="宋体" w:cs="宋体"/>
          <w:sz w:val="25"/>
          <w:szCs w:val="25"/>
        </w:rPr>
      </w:pPr>
      <w:r>
        <w:rPr>
          <w:rFonts w:ascii="仿宋" w:hAnsi="仿宋" w:eastAsia="仿宋" w:cs="仿宋"/>
          <w:spacing w:val="11"/>
          <w:sz w:val="31"/>
          <w:szCs w:val="31"/>
        </w:rPr>
        <w:t>本部门2022年度政府采购支出总额</w:t>
      </w:r>
      <w:r>
        <w:rPr>
          <w:rFonts w:hint="eastAsia" w:ascii="仿宋" w:hAnsi="仿宋" w:eastAsia="仿宋" w:cs="仿宋"/>
          <w:spacing w:val="11"/>
          <w:sz w:val="31"/>
          <w:szCs w:val="31"/>
          <w:lang w:val="en-US" w:eastAsia="zh-CN"/>
        </w:rPr>
        <w:t>73.45</w:t>
      </w:r>
      <w:r>
        <w:rPr>
          <w:rFonts w:ascii="仿宋" w:hAnsi="仿宋" w:eastAsia="仿宋" w:cs="仿宋"/>
          <w:spacing w:val="11"/>
          <w:sz w:val="31"/>
          <w:szCs w:val="31"/>
        </w:rPr>
        <w:t>万元，其中：政府采</w:t>
      </w:r>
      <w:r>
        <w:rPr>
          <w:rFonts w:ascii="仿宋" w:hAnsi="仿宋" w:eastAsia="仿宋" w:cs="仿宋"/>
          <w:spacing w:val="6"/>
          <w:sz w:val="31"/>
          <w:szCs w:val="31"/>
        </w:rPr>
        <w:t xml:space="preserve"> </w:t>
      </w:r>
      <w:r>
        <w:rPr>
          <w:rFonts w:ascii="仿宋" w:hAnsi="仿宋" w:eastAsia="仿宋" w:cs="仿宋"/>
          <w:spacing w:val="12"/>
          <w:sz w:val="31"/>
          <w:szCs w:val="31"/>
        </w:rPr>
        <w:t>购货物支出</w:t>
      </w:r>
      <w:r>
        <w:rPr>
          <w:rFonts w:hint="eastAsia" w:ascii="仿宋" w:hAnsi="仿宋" w:eastAsia="仿宋" w:cs="仿宋"/>
          <w:spacing w:val="12"/>
          <w:sz w:val="31"/>
          <w:szCs w:val="31"/>
          <w:lang w:val="en-US" w:eastAsia="zh-CN"/>
        </w:rPr>
        <w:t>73.45</w:t>
      </w:r>
      <w:r>
        <w:rPr>
          <w:rFonts w:ascii="仿宋" w:hAnsi="仿宋" w:eastAsia="仿宋" w:cs="仿宋"/>
          <w:spacing w:val="12"/>
          <w:sz w:val="31"/>
          <w:szCs w:val="31"/>
        </w:rPr>
        <w:t>万元、政府采购工程支出</w:t>
      </w:r>
      <w:r>
        <w:rPr>
          <w:rFonts w:hint="eastAsia" w:ascii="仿宋" w:hAnsi="仿宋" w:eastAsia="仿宋" w:cs="仿宋"/>
          <w:spacing w:val="12"/>
          <w:sz w:val="31"/>
          <w:szCs w:val="31"/>
          <w:lang w:val="en-US" w:eastAsia="zh-CN"/>
        </w:rPr>
        <w:t>0</w:t>
      </w:r>
      <w:r>
        <w:rPr>
          <w:rFonts w:ascii="仿宋" w:hAnsi="仿宋" w:eastAsia="仿宋" w:cs="仿宋"/>
          <w:spacing w:val="12"/>
          <w:sz w:val="31"/>
          <w:szCs w:val="31"/>
        </w:rPr>
        <w:t>万元、</w:t>
      </w:r>
      <w:r>
        <w:rPr>
          <w:rFonts w:ascii="仿宋" w:hAnsi="仿宋" w:eastAsia="仿宋" w:cs="仿宋"/>
          <w:spacing w:val="11"/>
          <w:sz w:val="31"/>
          <w:szCs w:val="31"/>
        </w:rPr>
        <w:t>政府采购服务</w:t>
      </w:r>
      <w:r>
        <w:rPr>
          <w:rFonts w:ascii="仿宋" w:hAnsi="仿宋" w:eastAsia="仿宋" w:cs="仿宋"/>
          <w:sz w:val="31"/>
          <w:szCs w:val="31"/>
        </w:rPr>
        <w:t xml:space="preserve"> </w:t>
      </w:r>
      <w:r>
        <w:rPr>
          <w:rFonts w:ascii="仿宋" w:hAnsi="仿宋" w:eastAsia="仿宋" w:cs="仿宋"/>
          <w:spacing w:val="8"/>
          <w:sz w:val="31"/>
          <w:szCs w:val="31"/>
        </w:rPr>
        <w:t>支出</w:t>
      </w:r>
      <w:r>
        <w:rPr>
          <w:rFonts w:hint="eastAsia" w:ascii="仿宋" w:hAnsi="仿宋" w:eastAsia="仿宋" w:cs="仿宋"/>
          <w:spacing w:val="8"/>
          <w:sz w:val="31"/>
          <w:szCs w:val="31"/>
          <w:lang w:val="en-US" w:eastAsia="zh-CN"/>
        </w:rPr>
        <w:t>0</w:t>
      </w:r>
      <w:r>
        <w:rPr>
          <w:rFonts w:ascii="仿宋" w:hAnsi="仿宋" w:eastAsia="仿宋" w:cs="仿宋"/>
          <w:spacing w:val="8"/>
          <w:sz w:val="31"/>
          <w:szCs w:val="31"/>
        </w:rPr>
        <w:t>万元。授予中小企业合同金额</w:t>
      </w:r>
      <w:r>
        <w:rPr>
          <w:rFonts w:hint="eastAsia" w:ascii="仿宋" w:hAnsi="仿宋" w:eastAsia="仿宋" w:cs="仿宋"/>
          <w:spacing w:val="21"/>
          <w:sz w:val="31"/>
          <w:szCs w:val="31"/>
          <w:lang w:val="en-US" w:eastAsia="zh-CN"/>
        </w:rPr>
        <w:t>0</w:t>
      </w:r>
      <w:r>
        <w:rPr>
          <w:rFonts w:ascii="仿宋" w:hAnsi="仿宋" w:eastAsia="仿宋" w:cs="仿宋"/>
          <w:spacing w:val="8"/>
          <w:sz w:val="31"/>
          <w:szCs w:val="31"/>
        </w:rPr>
        <w:t>万元，</w:t>
      </w:r>
      <w:r>
        <w:rPr>
          <w:rFonts w:ascii="仿宋" w:hAnsi="仿宋" w:eastAsia="仿宋" w:cs="仿宋"/>
          <w:spacing w:val="-67"/>
          <w:sz w:val="31"/>
          <w:szCs w:val="31"/>
        </w:rPr>
        <w:t xml:space="preserve"> </w:t>
      </w:r>
      <w:r>
        <w:rPr>
          <w:rFonts w:ascii="仿宋" w:hAnsi="仿宋" w:eastAsia="仿宋" w:cs="仿宋"/>
          <w:spacing w:val="8"/>
          <w:sz w:val="31"/>
          <w:szCs w:val="31"/>
        </w:rPr>
        <w:t>占政府采购</w:t>
      </w:r>
      <w:r>
        <w:rPr>
          <w:rFonts w:ascii="仿宋" w:hAnsi="仿宋" w:eastAsia="仿宋" w:cs="仿宋"/>
          <w:spacing w:val="7"/>
          <w:sz w:val="31"/>
          <w:szCs w:val="31"/>
        </w:rPr>
        <w:t>支出</w:t>
      </w:r>
      <w:r>
        <w:rPr>
          <w:rFonts w:ascii="仿宋" w:hAnsi="仿宋" w:eastAsia="仿宋" w:cs="仿宋"/>
          <w:sz w:val="31"/>
          <w:szCs w:val="31"/>
        </w:rPr>
        <w:t xml:space="preserve"> </w:t>
      </w:r>
      <w:r>
        <w:rPr>
          <w:rFonts w:ascii="仿宋" w:hAnsi="仿宋" w:eastAsia="仿宋" w:cs="仿宋"/>
          <w:spacing w:val="8"/>
          <w:sz w:val="31"/>
          <w:szCs w:val="31"/>
        </w:rPr>
        <w:t>总额的</w:t>
      </w:r>
      <w:r>
        <w:rPr>
          <w:rFonts w:hint="eastAsia" w:ascii="仿宋" w:hAnsi="仿宋" w:eastAsia="仿宋" w:cs="仿宋"/>
          <w:spacing w:val="8"/>
          <w:sz w:val="31"/>
          <w:szCs w:val="31"/>
          <w:lang w:val="en-US" w:eastAsia="zh-CN"/>
        </w:rPr>
        <w:t>0</w:t>
      </w:r>
      <w:r>
        <w:rPr>
          <w:rFonts w:ascii="仿宋" w:hAnsi="仿宋" w:eastAsia="仿宋" w:cs="仿宋"/>
          <w:spacing w:val="8"/>
          <w:sz w:val="31"/>
          <w:szCs w:val="31"/>
        </w:rPr>
        <w:t>%,其中：授予小微企业合同金额</w:t>
      </w:r>
      <w:r>
        <w:rPr>
          <w:rFonts w:hint="eastAsia" w:ascii="仿宋" w:hAnsi="仿宋" w:eastAsia="仿宋" w:cs="仿宋"/>
          <w:spacing w:val="8"/>
          <w:sz w:val="31"/>
          <w:szCs w:val="31"/>
          <w:lang w:val="en-US" w:eastAsia="zh-CN"/>
        </w:rPr>
        <w:t>73.45</w:t>
      </w:r>
      <w:r>
        <w:rPr>
          <w:rFonts w:ascii="仿宋" w:hAnsi="仿宋" w:eastAsia="仿宋" w:cs="仿宋"/>
          <w:spacing w:val="8"/>
          <w:sz w:val="31"/>
          <w:szCs w:val="31"/>
        </w:rPr>
        <w:t>万元，</w:t>
      </w:r>
      <w:r>
        <w:rPr>
          <w:rFonts w:ascii="仿宋" w:hAnsi="仿宋" w:eastAsia="仿宋" w:cs="仿宋"/>
          <w:spacing w:val="-65"/>
          <w:sz w:val="31"/>
          <w:szCs w:val="31"/>
        </w:rPr>
        <w:t xml:space="preserve"> </w:t>
      </w:r>
      <w:r>
        <w:rPr>
          <w:rFonts w:ascii="仿宋" w:hAnsi="仿宋" w:eastAsia="仿宋" w:cs="仿宋"/>
          <w:spacing w:val="8"/>
          <w:sz w:val="31"/>
          <w:szCs w:val="31"/>
        </w:rPr>
        <w:t>占小微企业合同金额</w:t>
      </w:r>
      <w:r>
        <w:rPr>
          <w:rFonts w:hint="eastAsia" w:ascii="仿宋" w:hAnsi="仿宋" w:eastAsia="仿宋" w:cs="仿宋"/>
          <w:spacing w:val="8"/>
          <w:sz w:val="31"/>
          <w:szCs w:val="31"/>
          <w:lang w:val="en-US" w:eastAsia="zh-CN"/>
        </w:rPr>
        <w:t>100</w:t>
      </w:r>
      <w:r>
        <w:rPr>
          <w:rFonts w:ascii="仿宋" w:hAnsi="仿宋" w:eastAsia="仿宋" w:cs="仿宋"/>
          <w:spacing w:val="11"/>
          <w:sz w:val="31"/>
          <w:szCs w:val="31"/>
        </w:rPr>
        <w:t>%;货物采购授予中小企业</w:t>
      </w:r>
      <w:r>
        <w:rPr>
          <w:rFonts w:ascii="仿宋" w:hAnsi="仿宋" w:eastAsia="仿宋" w:cs="仿宋"/>
          <w:spacing w:val="10"/>
          <w:sz w:val="31"/>
          <w:szCs w:val="31"/>
        </w:rPr>
        <w:t>合同金额占货物支</w:t>
      </w:r>
      <w:r>
        <w:rPr>
          <w:rFonts w:ascii="仿宋" w:hAnsi="仿宋" w:eastAsia="仿宋" w:cs="仿宋"/>
          <w:sz w:val="31"/>
          <w:szCs w:val="31"/>
        </w:rPr>
        <w:t xml:space="preserve"> </w:t>
      </w:r>
      <w:r>
        <w:rPr>
          <w:rFonts w:ascii="仿宋" w:hAnsi="仿宋" w:eastAsia="仿宋" w:cs="仿宋"/>
          <w:spacing w:val="11"/>
          <w:sz w:val="31"/>
          <w:szCs w:val="31"/>
        </w:rPr>
        <w:t>出金额的</w:t>
      </w:r>
      <w:r>
        <w:rPr>
          <w:rFonts w:hint="eastAsia" w:ascii="仿宋" w:hAnsi="仿宋" w:eastAsia="仿宋" w:cs="仿宋"/>
          <w:spacing w:val="48"/>
          <w:sz w:val="31"/>
          <w:szCs w:val="31"/>
          <w:lang w:val="en-US" w:eastAsia="zh-CN"/>
        </w:rPr>
        <w:t>100</w:t>
      </w:r>
      <w:r>
        <w:rPr>
          <w:rFonts w:ascii="仿宋" w:hAnsi="仿宋" w:eastAsia="仿宋" w:cs="仿宋"/>
          <w:spacing w:val="11"/>
          <w:sz w:val="31"/>
          <w:szCs w:val="31"/>
        </w:rPr>
        <w:t>%,工程采购授予中小企业合同金额占工程支出金</w:t>
      </w:r>
      <w:r>
        <w:rPr>
          <w:rFonts w:ascii="仿宋" w:hAnsi="仿宋" w:eastAsia="仿宋" w:cs="仿宋"/>
          <w:spacing w:val="2"/>
          <w:sz w:val="31"/>
          <w:szCs w:val="31"/>
        </w:rPr>
        <w:t xml:space="preserve"> </w:t>
      </w:r>
      <w:r>
        <w:rPr>
          <w:rFonts w:ascii="仿宋" w:hAnsi="仿宋" w:eastAsia="仿宋" w:cs="仿宋"/>
          <w:spacing w:val="10"/>
          <w:sz w:val="31"/>
          <w:szCs w:val="31"/>
        </w:rPr>
        <w:t>额的</w:t>
      </w:r>
      <w:r>
        <w:rPr>
          <w:rFonts w:hint="eastAsia" w:ascii="仿宋" w:hAnsi="仿宋" w:eastAsia="仿宋" w:cs="仿宋"/>
          <w:spacing w:val="3"/>
          <w:sz w:val="31"/>
          <w:szCs w:val="31"/>
          <w:lang w:val="en-US" w:eastAsia="zh-CN"/>
        </w:rPr>
        <w:t>0</w:t>
      </w:r>
      <w:r>
        <w:rPr>
          <w:rFonts w:ascii="仿宋" w:hAnsi="仿宋" w:eastAsia="仿宋" w:cs="仿宋"/>
          <w:spacing w:val="10"/>
          <w:sz w:val="31"/>
          <w:szCs w:val="31"/>
        </w:rPr>
        <w:t>%,服务采购授予中小企业合同金额占服务支出金额的</w:t>
      </w:r>
      <w:r>
        <w:rPr>
          <w:rFonts w:hint="eastAsia" w:ascii="仿宋" w:hAnsi="仿宋" w:eastAsia="仿宋" w:cs="仿宋"/>
          <w:sz w:val="31"/>
          <w:szCs w:val="31"/>
          <w:lang w:val="en-US" w:eastAsia="zh-CN"/>
        </w:rPr>
        <w:t>0</w:t>
      </w:r>
      <w:r>
        <w:rPr>
          <w:rFonts w:ascii="宋体" w:hAnsi="宋体" w:eastAsia="宋体" w:cs="宋体"/>
          <w:position w:val="1"/>
          <w:sz w:val="25"/>
          <w:szCs w:val="25"/>
        </w:rPr>
        <w:t>%。</w:t>
      </w:r>
    </w:p>
    <w:p>
      <w:pPr>
        <w:spacing w:before="154" w:line="226" w:lineRule="auto"/>
        <w:ind w:left="662"/>
        <w:outlineLvl w:val="0"/>
        <w:rPr>
          <w:rFonts w:ascii="黑体" w:hAnsi="黑体" w:eastAsia="黑体" w:cs="黑体"/>
          <w:sz w:val="31"/>
          <w:szCs w:val="31"/>
        </w:rPr>
      </w:pPr>
      <w:r>
        <w:rPr>
          <w:rFonts w:ascii="黑体" w:hAnsi="黑体" w:eastAsia="黑体" w:cs="黑体"/>
          <w:spacing w:val="1"/>
          <w:sz w:val="31"/>
          <w:szCs w:val="31"/>
          <w14:textOutline w14:w="5793" w14:cap="sq" w14:cmpd="sng">
            <w14:solidFill>
              <w14:srgbClr w14:val="000000"/>
            </w14:solidFill>
            <w14:prstDash w14:val="solid"/>
            <w14:bevel/>
          </w14:textOutline>
        </w:rPr>
        <w:t>八、国有资产占用情况说明</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30"/>
        <w:jc w:val="left"/>
        <w:textAlignment w:val="baseline"/>
        <w:rPr>
          <w:rFonts w:hint="eastAsia" w:ascii="仿宋" w:hAnsi="仿宋" w:eastAsia="仿宋"/>
          <w:sz w:val="30"/>
          <w:szCs w:val="30"/>
          <w:lang w:eastAsia="zh-CN"/>
        </w:rPr>
      </w:pPr>
    </w:p>
    <w:p>
      <w:pPr>
        <w:spacing w:before="97" w:line="363" w:lineRule="auto"/>
        <w:ind w:left="12" w:right="91" w:firstLine="637"/>
        <w:jc w:val="both"/>
        <w:rPr>
          <w:rFonts w:hint="eastAsia" w:ascii="仿宋" w:hAnsi="仿宋" w:eastAsia="仿宋" w:cs="仿宋"/>
          <w:spacing w:val="17"/>
          <w:sz w:val="30"/>
          <w:szCs w:val="30"/>
          <w:lang w:eastAsia="zh-CN"/>
        </w:rPr>
      </w:pPr>
      <w:r>
        <w:rPr>
          <w:rFonts w:ascii="仿宋" w:hAnsi="仿宋" w:eastAsia="仿宋" w:cs="仿宋"/>
          <w:spacing w:val="24"/>
          <w:sz w:val="30"/>
          <w:szCs w:val="30"/>
        </w:rPr>
        <w:t>截止2022年12月31日</w:t>
      </w:r>
      <w:r>
        <w:rPr>
          <w:rFonts w:ascii="仿宋" w:hAnsi="仿宋" w:eastAsia="仿宋" w:cs="仿宋"/>
          <w:spacing w:val="-88"/>
          <w:sz w:val="30"/>
          <w:szCs w:val="30"/>
        </w:rPr>
        <w:t xml:space="preserve"> </w:t>
      </w:r>
      <w:r>
        <w:rPr>
          <w:rFonts w:ascii="仿宋" w:hAnsi="仿宋" w:eastAsia="仿宋" w:cs="仿宋"/>
          <w:spacing w:val="24"/>
          <w:sz w:val="30"/>
          <w:szCs w:val="30"/>
        </w:rPr>
        <w:t>，本部门国有资产占用情况见公开</w:t>
      </w:r>
      <w:r>
        <w:rPr>
          <w:rFonts w:ascii="仿宋" w:hAnsi="仿宋" w:eastAsia="仿宋" w:cs="仿宋"/>
          <w:sz w:val="30"/>
          <w:szCs w:val="30"/>
        </w:rPr>
        <w:t xml:space="preserve"> </w:t>
      </w:r>
      <w:r>
        <w:rPr>
          <w:rFonts w:ascii="仿宋" w:hAnsi="仿宋" w:eastAsia="仿宋" w:cs="仿宋"/>
          <w:spacing w:val="17"/>
          <w:sz w:val="30"/>
          <w:szCs w:val="30"/>
        </w:rPr>
        <w:t>10</w:t>
      </w:r>
      <w:r>
        <w:rPr>
          <w:rFonts w:ascii="仿宋" w:hAnsi="仿宋" w:eastAsia="仿宋" w:cs="仿宋"/>
          <w:spacing w:val="69"/>
          <w:sz w:val="30"/>
          <w:szCs w:val="30"/>
        </w:rPr>
        <w:t xml:space="preserve"> </w:t>
      </w:r>
      <w:r>
        <w:rPr>
          <w:rFonts w:ascii="仿宋" w:hAnsi="仿宋" w:eastAsia="仿宋" w:cs="仿宋"/>
          <w:spacing w:val="17"/>
          <w:sz w:val="30"/>
          <w:szCs w:val="30"/>
        </w:rPr>
        <w:t>表《国有资产占用情况表》</w:t>
      </w:r>
      <w:r>
        <w:rPr>
          <w:rFonts w:ascii="仿宋" w:hAnsi="仿宋" w:eastAsia="仿宋" w:cs="仿宋"/>
          <w:spacing w:val="-68"/>
          <w:sz w:val="30"/>
          <w:szCs w:val="30"/>
        </w:rPr>
        <w:t xml:space="preserve"> </w:t>
      </w:r>
      <w:r>
        <w:rPr>
          <w:rFonts w:ascii="仿宋" w:hAnsi="仿宋" w:eastAsia="仿宋" w:cs="仿宋"/>
          <w:spacing w:val="17"/>
          <w:sz w:val="30"/>
          <w:szCs w:val="30"/>
        </w:rPr>
        <w:t>。其中车辆中的其他用</w:t>
      </w:r>
      <w:r>
        <w:rPr>
          <w:rFonts w:hint="eastAsia" w:ascii="仿宋" w:hAnsi="仿宋" w:eastAsia="仿宋" w:cs="仿宋"/>
          <w:spacing w:val="17"/>
          <w:sz w:val="30"/>
          <w:szCs w:val="30"/>
          <w:lang w:val="en-US" w:eastAsia="zh-CN"/>
        </w:rPr>
        <w:t>车</w:t>
      </w:r>
      <w:r>
        <w:rPr>
          <w:rFonts w:hint="eastAsia" w:ascii="仿宋" w:hAnsi="仿宋" w:eastAsia="仿宋" w:cs="仿宋"/>
          <w:spacing w:val="17"/>
          <w:sz w:val="30"/>
          <w:szCs w:val="30"/>
          <w:lang w:eastAsia="zh-CN"/>
        </w:rPr>
        <w:t>主要是</w:t>
      </w:r>
      <w:r>
        <w:rPr>
          <w:rFonts w:hint="eastAsia" w:ascii="仿宋" w:hAnsi="仿宋" w:eastAsia="仿宋"/>
          <w:kern w:val="0"/>
          <w:sz w:val="30"/>
          <w:szCs w:val="30"/>
          <w:lang w:eastAsia="zh-CN"/>
        </w:rPr>
        <w:t>登高车、洒水车、垃圾运输车</w:t>
      </w:r>
      <w:r>
        <w:rPr>
          <w:rFonts w:hint="eastAsia" w:ascii="仿宋" w:hAnsi="仿宋" w:eastAsia="仿宋" w:cs="仿宋"/>
          <w:spacing w:val="17"/>
          <w:sz w:val="30"/>
          <w:szCs w:val="30"/>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201" w:line="580" w:lineRule="exact"/>
        <w:ind w:left="653"/>
        <w:textAlignment w:val="baseline"/>
        <w:outlineLvl w:val="0"/>
        <w:rPr>
          <w:rFonts w:ascii="黑体" w:hAnsi="黑体" w:eastAsia="黑体" w:cs="黑体"/>
          <w:sz w:val="30"/>
          <w:szCs w:val="30"/>
        </w:rPr>
      </w:pPr>
      <w:r>
        <w:rPr>
          <w:rFonts w:ascii="黑体" w:hAnsi="黑体" w:eastAsia="黑体" w:cs="黑体"/>
          <w:spacing w:val="8"/>
          <w:sz w:val="30"/>
          <w:szCs w:val="30"/>
          <w14:textOutline w14:w="5629" w14:cap="sq" w14:cmpd="sng">
            <w14:solidFill>
              <w14:srgbClr w14:val="000000"/>
            </w14:solidFill>
            <w14:prstDash w14:val="solid"/>
            <w14:bevel/>
          </w14:textOutline>
        </w:rPr>
        <w:t>九、预算绩效评价情况说明</w:t>
      </w:r>
    </w:p>
    <w:p>
      <w:pPr>
        <w:keepNext w:val="0"/>
        <w:keepLines w:val="0"/>
        <w:pageBreakBefore w:val="0"/>
        <w:widowControl/>
        <w:kinsoku w:val="0"/>
        <w:wordWrap/>
        <w:overflowPunct/>
        <w:topLinePunct w:val="0"/>
        <w:autoSpaceDE w:val="0"/>
        <w:autoSpaceDN w:val="0"/>
        <w:bidi w:val="0"/>
        <w:adjustRightInd w:val="0"/>
        <w:snapToGrid w:val="0"/>
        <w:spacing w:before="243" w:line="580" w:lineRule="exact"/>
        <w:ind w:left="828"/>
        <w:textAlignment w:val="baseline"/>
        <w:rPr>
          <w:rFonts w:ascii="楷体" w:hAnsi="楷体" w:eastAsia="楷体" w:cs="楷体"/>
          <w:sz w:val="30"/>
          <w:szCs w:val="30"/>
        </w:rPr>
      </w:pPr>
      <w:r>
        <w:rPr>
          <w:rFonts w:ascii="楷体" w:hAnsi="楷体" w:eastAsia="楷体" w:cs="楷体"/>
          <w:spacing w:val="15"/>
          <w:sz w:val="30"/>
          <w:szCs w:val="30"/>
        </w:rPr>
        <w:t>(一)绩效评价工作开展情况。</w:t>
      </w:r>
    </w:p>
    <w:p>
      <w:pPr>
        <w:keepNext w:val="0"/>
        <w:keepLines w:val="0"/>
        <w:pageBreakBefore w:val="0"/>
        <w:widowControl/>
        <w:kinsoku w:val="0"/>
        <w:wordWrap/>
        <w:overflowPunct/>
        <w:topLinePunct w:val="0"/>
        <w:autoSpaceDE w:val="0"/>
        <w:autoSpaceDN w:val="0"/>
        <w:bidi w:val="0"/>
        <w:adjustRightInd w:val="0"/>
        <w:snapToGrid w:val="0"/>
        <w:spacing w:before="243" w:line="580" w:lineRule="exact"/>
        <w:ind w:left="1" w:right="36" w:firstLine="649"/>
        <w:textAlignment w:val="baseline"/>
        <w:rPr>
          <w:rFonts w:ascii="仿宋" w:hAnsi="仿宋" w:eastAsia="仿宋" w:cs="仿宋"/>
          <w:sz w:val="30"/>
          <w:szCs w:val="30"/>
        </w:rPr>
      </w:pPr>
      <w:r>
        <w:rPr>
          <w:rFonts w:ascii="仿宋" w:hAnsi="仿宋" w:eastAsia="仿宋" w:cs="仿宋"/>
          <w:spacing w:val="18"/>
          <w:sz w:val="30"/>
          <w:szCs w:val="30"/>
        </w:rPr>
        <w:t>根据预算绩效管理要求，我部门组织对纳入2022年度部门</w:t>
      </w:r>
      <w:r>
        <w:rPr>
          <w:rFonts w:ascii="仿宋" w:hAnsi="仿宋" w:eastAsia="仿宋" w:cs="仿宋"/>
          <w:spacing w:val="2"/>
          <w:sz w:val="30"/>
          <w:szCs w:val="30"/>
        </w:rPr>
        <w:t xml:space="preserve"> </w:t>
      </w:r>
      <w:r>
        <w:rPr>
          <w:rFonts w:ascii="仿宋" w:hAnsi="仿宋" w:eastAsia="仿宋" w:cs="仿宋"/>
          <w:spacing w:val="12"/>
          <w:sz w:val="30"/>
          <w:szCs w:val="30"/>
        </w:rPr>
        <w:t>预算范围的二级项目</w:t>
      </w:r>
      <w:r>
        <w:rPr>
          <w:rFonts w:hint="eastAsia" w:ascii="仿宋" w:hAnsi="仿宋" w:eastAsia="仿宋" w:cs="仿宋"/>
          <w:spacing w:val="12"/>
          <w:sz w:val="30"/>
          <w:szCs w:val="30"/>
          <w:lang w:val="en-US" w:eastAsia="zh-CN"/>
        </w:rPr>
        <w:t>13</w:t>
      </w:r>
      <w:r>
        <w:rPr>
          <w:rFonts w:ascii="仿宋" w:hAnsi="仿宋" w:eastAsia="仿宋" w:cs="仿宋"/>
          <w:spacing w:val="12"/>
          <w:sz w:val="30"/>
          <w:szCs w:val="30"/>
        </w:rPr>
        <w:t xml:space="preserve">个全面开展绩效自评，共涉及资金  </w:t>
      </w:r>
      <w:r>
        <w:rPr>
          <w:rFonts w:hint="eastAsia" w:ascii="仿宋" w:hAnsi="仿宋" w:eastAsia="仿宋" w:cs="仿宋"/>
          <w:spacing w:val="12"/>
          <w:sz w:val="30"/>
          <w:szCs w:val="30"/>
          <w:lang w:val="en-US" w:eastAsia="zh-CN"/>
        </w:rPr>
        <w:t>7732.87</w:t>
      </w:r>
      <w:r>
        <w:rPr>
          <w:rFonts w:ascii="仿宋" w:hAnsi="仿宋" w:eastAsia="仿宋" w:cs="仿宋"/>
          <w:spacing w:val="12"/>
          <w:sz w:val="30"/>
          <w:szCs w:val="30"/>
        </w:rPr>
        <w:t>万</w:t>
      </w:r>
      <w:r>
        <w:rPr>
          <w:rFonts w:ascii="仿宋" w:hAnsi="仿宋" w:eastAsia="仿宋" w:cs="仿宋"/>
          <w:spacing w:val="1"/>
          <w:sz w:val="30"/>
          <w:szCs w:val="30"/>
        </w:rPr>
        <w:t>元，</w:t>
      </w:r>
      <w:r>
        <w:rPr>
          <w:rFonts w:ascii="仿宋" w:hAnsi="仿宋" w:eastAsia="仿宋" w:cs="仿宋"/>
          <w:spacing w:val="-59"/>
          <w:sz w:val="30"/>
          <w:szCs w:val="30"/>
        </w:rPr>
        <w:t xml:space="preserve"> </w:t>
      </w:r>
      <w:r>
        <w:rPr>
          <w:rFonts w:ascii="仿宋" w:hAnsi="仿宋" w:eastAsia="仿宋" w:cs="仿宋"/>
          <w:spacing w:val="1"/>
          <w:sz w:val="30"/>
          <w:szCs w:val="30"/>
        </w:rPr>
        <w:t>占项目支出总额的</w:t>
      </w:r>
      <w:r>
        <w:rPr>
          <w:rFonts w:hint="eastAsia" w:ascii="仿宋" w:hAnsi="仿宋" w:eastAsia="仿宋" w:cs="仿宋"/>
          <w:spacing w:val="67"/>
          <w:sz w:val="30"/>
          <w:szCs w:val="30"/>
          <w:lang w:val="en-US" w:eastAsia="zh-CN"/>
        </w:rPr>
        <w:t>100</w:t>
      </w:r>
      <w:r>
        <w:rPr>
          <w:rFonts w:ascii="仿宋" w:hAnsi="仿宋" w:eastAsia="仿宋" w:cs="仿宋"/>
          <w:spacing w:val="1"/>
          <w:sz w:val="30"/>
          <w:szCs w:val="30"/>
        </w:rPr>
        <w:t>%。</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3"/>
        <w:textAlignment w:val="baseline"/>
        <w:rPr>
          <w:rFonts w:ascii="仿宋" w:hAnsi="仿宋" w:eastAsia="仿宋" w:cs="仿宋"/>
          <w:sz w:val="30"/>
          <w:szCs w:val="30"/>
        </w:rPr>
      </w:pPr>
      <w:r>
        <w:rPr>
          <w:rFonts w:ascii="仿宋" w:hAnsi="仿宋" w:eastAsia="仿宋" w:cs="仿宋"/>
          <w:spacing w:val="3"/>
          <w:position w:val="21"/>
          <w:sz w:val="30"/>
          <w:szCs w:val="30"/>
        </w:rPr>
        <w:t xml:space="preserve">组织对 </w:t>
      </w:r>
      <w:r>
        <w:rPr>
          <w:rFonts w:hint="eastAsia" w:ascii="仿宋" w:hAnsi="仿宋" w:eastAsia="仿宋" w:cs="仿宋"/>
          <w:spacing w:val="3"/>
          <w:position w:val="21"/>
          <w:sz w:val="30"/>
          <w:szCs w:val="30"/>
        </w:rPr>
        <w:t>“</w:t>
      </w:r>
      <w:r>
        <w:rPr>
          <w:rFonts w:hint="eastAsia" w:ascii="仿宋" w:hAnsi="仿宋" w:eastAsia="仿宋" w:cs="仿宋"/>
          <w:position w:val="21"/>
          <w:sz w:val="30"/>
          <w:szCs w:val="30"/>
          <w:lang w:val="en-US" w:eastAsia="zh-CN"/>
        </w:rPr>
        <w:t>2022年三龙垃圾处理场运行</w:t>
      </w:r>
      <w:r>
        <w:rPr>
          <w:rFonts w:hint="eastAsia" w:ascii="仿宋" w:hAnsi="仿宋" w:eastAsia="仿宋" w:cs="仿宋"/>
          <w:spacing w:val="3"/>
          <w:position w:val="21"/>
          <w:sz w:val="30"/>
          <w:szCs w:val="30"/>
        </w:rPr>
        <w:t>” 、 “</w:t>
      </w:r>
      <w:r>
        <w:rPr>
          <w:rFonts w:hint="eastAsia" w:ascii="仿宋" w:hAnsi="仿宋" w:eastAsia="仿宋" w:cs="仿宋"/>
          <w:position w:val="21"/>
          <w:sz w:val="30"/>
          <w:szCs w:val="30"/>
          <w:lang w:eastAsia="zh-CN"/>
        </w:rPr>
        <w:t>创园林县城经费</w:t>
      </w:r>
      <w:r>
        <w:rPr>
          <w:rFonts w:hint="eastAsia" w:ascii="仿宋" w:hAnsi="仿宋" w:eastAsia="仿宋" w:cs="仿宋"/>
          <w:spacing w:val="3"/>
          <w:position w:val="21"/>
          <w:sz w:val="30"/>
          <w:szCs w:val="30"/>
        </w:rPr>
        <w:t xml:space="preserve">”  </w:t>
      </w:r>
      <w:r>
        <w:rPr>
          <w:rFonts w:hint="eastAsia" w:ascii="仿宋" w:hAnsi="仿宋" w:eastAsia="仿宋" w:cs="仿宋"/>
          <w:spacing w:val="3"/>
          <w:position w:val="21"/>
          <w:sz w:val="30"/>
          <w:szCs w:val="30"/>
          <w:lang w:eastAsia="zh-CN"/>
        </w:rPr>
        <w:t>、“东大门一河两岸景观工程”、“浮府办抄字【2022】245号”、“浮府办抄字【2022】281号”、“浮府办抄字【2022】323号”、“浮府办抄字【2022】324号”、“浮府办抄字【2022】325号”、“浮梁县城乡环卫一体化2022年”、“两违经费”、“路灯维修维护”、“三龙垃圾处理场运行维护”、“市政设施维修”</w:t>
      </w:r>
      <w:r>
        <w:rPr>
          <w:rFonts w:ascii="仿宋" w:hAnsi="仿宋" w:eastAsia="仿宋" w:cs="仿宋"/>
          <w:spacing w:val="3"/>
          <w:position w:val="21"/>
          <w:sz w:val="30"/>
          <w:szCs w:val="30"/>
        </w:rPr>
        <w:t>等</w:t>
      </w:r>
      <w:r>
        <w:rPr>
          <w:rFonts w:hint="eastAsia" w:ascii="仿宋" w:hAnsi="仿宋" w:eastAsia="仿宋" w:cs="仿宋"/>
          <w:spacing w:val="3"/>
          <w:position w:val="21"/>
          <w:sz w:val="30"/>
          <w:szCs w:val="30"/>
          <w:lang w:val="en-US" w:eastAsia="zh-CN"/>
        </w:rPr>
        <w:t>13</w:t>
      </w:r>
      <w:r>
        <w:rPr>
          <w:rFonts w:ascii="仿宋" w:hAnsi="仿宋" w:eastAsia="仿宋" w:cs="仿宋"/>
          <w:spacing w:val="3"/>
          <w:position w:val="21"/>
          <w:sz w:val="30"/>
          <w:szCs w:val="30"/>
        </w:rPr>
        <w:t>个项目开展了部门评价，涉</w:t>
      </w:r>
      <w:r>
        <w:rPr>
          <w:rFonts w:hint="eastAsia" w:ascii="仿宋" w:hAnsi="仿宋" w:eastAsia="仿宋" w:cs="仿宋"/>
          <w:spacing w:val="3"/>
          <w:position w:val="21"/>
          <w:sz w:val="30"/>
          <w:szCs w:val="30"/>
          <w:lang w:eastAsia="zh-CN"/>
        </w:rPr>
        <w:t>及一般公共预算支出6483.24万元，政府性基金预算支出1249.63万元</w:t>
      </w:r>
      <w:r>
        <w:rPr>
          <w:rFonts w:ascii="仿宋" w:hAnsi="仿宋" w:eastAsia="仿宋" w:cs="仿宋"/>
          <w:spacing w:val="5"/>
          <w:position w:val="19"/>
          <w:sz w:val="30"/>
          <w:szCs w:val="30"/>
        </w:rPr>
        <w:t>。</w:t>
      </w:r>
      <w:r>
        <w:rPr>
          <w:rFonts w:hint="eastAsia" w:ascii="仿宋" w:hAnsi="仿宋" w:eastAsia="仿宋" w:cs="仿宋"/>
          <w:spacing w:val="5"/>
          <w:position w:val="19"/>
          <w:sz w:val="30"/>
          <w:szCs w:val="30"/>
          <w:lang w:eastAsia="zh-CN"/>
        </w:rPr>
        <w:t>没有委托第三方进行绩效评价。</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850"/>
        <w:textAlignment w:val="baseline"/>
        <w:rPr>
          <w:rFonts w:ascii="楷体" w:hAnsi="楷体" w:eastAsia="楷体" w:cs="楷体"/>
          <w:sz w:val="30"/>
          <w:szCs w:val="30"/>
        </w:rPr>
      </w:pPr>
      <w:r>
        <w:rPr>
          <w:rFonts w:ascii="楷体" w:hAnsi="楷体" w:eastAsia="楷体" w:cs="楷体"/>
          <w:spacing w:val="15"/>
          <w:sz w:val="30"/>
          <w:szCs w:val="30"/>
        </w:rPr>
        <w:t>(二)部门决算中项目绩效自评结果。</w:t>
      </w:r>
    </w:p>
    <w:p>
      <w:pPr>
        <w:keepNext w:val="0"/>
        <w:keepLines w:val="0"/>
        <w:pageBreakBefore w:val="0"/>
        <w:widowControl/>
        <w:kinsoku w:val="0"/>
        <w:wordWrap/>
        <w:overflowPunct/>
        <w:topLinePunct w:val="0"/>
        <w:autoSpaceDE w:val="0"/>
        <w:autoSpaceDN w:val="0"/>
        <w:bidi w:val="0"/>
        <w:adjustRightInd w:val="0"/>
        <w:snapToGrid w:val="0"/>
        <w:spacing w:before="253" w:line="580" w:lineRule="exact"/>
        <w:ind w:left="2" w:right="91" w:firstLine="647"/>
        <w:textAlignment w:val="baseline"/>
        <w:rPr>
          <w:rFonts w:ascii="仿宋" w:hAnsi="仿宋" w:eastAsia="仿宋" w:cs="仿宋"/>
          <w:sz w:val="30"/>
          <w:szCs w:val="30"/>
        </w:rPr>
      </w:pPr>
      <w:r>
        <w:rPr>
          <w:rFonts w:ascii="仿宋" w:hAnsi="仿宋" w:eastAsia="仿宋" w:cs="仿宋"/>
          <w:spacing w:val="21"/>
          <w:sz w:val="30"/>
          <w:szCs w:val="30"/>
        </w:rPr>
        <w:t>反映2022年度市级部门绩效自评总报告(绩效自评总报告</w:t>
      </w:r>
      <w:r>
        <w:rPr>
          <w:rFonts w:ascii="仿宋" w:hAnsi="仿宋" w:eastAsia="仿宋" w:cs="仿宋"/>
          <w:spacing w:val="16"/>
          <w:sz w:val="30"/>
          <w:szCs w:val="30"/>
        </w:rPr>
        <w:t xml:space="preserve"> </w:t>
      </w:r>
      <w:r>
        <w:rPr>
          <w:rFonts w:ascii="仿宋" w:hAnsi="仿宋" w:eastAsia="仿宋" w:cs="仿宋"/>
          <w:spacing w:val="17"/>
          <w:sz w:val="30"/>
          <w:szCs w:val="30"/>
        </w:rPr>
        <w:t>主要包括本部门项目绩效目标情况、单位自评工作开展情况、</w:t>
      </w:r>
      <w:r>
        <w:rPr>
          <w:rFonts w:ascii="仿宋" w:hAnsi="仿宋" w:eastAsia="仿宋" w:cs="仿宋"/>
          <w:spacing w:val="1"/>
          <w:sz w:val="30"/>
          <w:szCs w:val="30"/>
        </w:rPr>
        <w:t xml:space="preserve"> </w:t>
      </w:r>
      <w:r>
        <w:rPr>
          <w:rFonts w:ascii="仿宋" w:hAnsi="仿宋" w:eastAsia="仿宋" w:cs="仿宋"/>
          <w:spacing w:val="17"/>
          <w:sz w:val="30"/>
          <w:szCs w:val="30"/>
        </w:rPr>
        <w:t>综合评价结论、绩效目标完成情况总体分析、偏离绩效目标的</w:t>
      </w:r>
      <w:r>
        <w:rPr>
          <w:rFonts w:ascii="仿宋" w:hAnsi="仿宋" w:eastAsia="仿宋" w:cs="仿宋"/>
          <w:spacing w:val="15"/>
          <w:sz w:val="30"/>
          <w:szCs w:val="30"/>
        </w:rPr>
        <w:t xml:space="preserve"> </w:t>
      </w:r>
      <w:r>
        <w:rPr>
          <w:rFonts w:ascii="仿宋" w:hAnsi="仿宋" w:eastAsia="仿宋" w:cs="仿宋"/>
          <w:spacing w:val="21"/>
          <w:sz w:val="30"/>
          <w:szCs w:val="30"/>
        </w:rPr>
        <w:t>原因和改进措施</w:t>
      </w:r>
      <w:r>
        <w:rPr>
          <w:rFonts w:ascii="仿宋" w:hAnsi="仿宋" w:eastAsia="仿宋" w:cs="仿宋"/>
          <w:spacing w:val="-88"/>
          <w:sz w:val="30"/>
          <w:szCs w:val="30"/>
        </w:rPr>
        <w:t xml:space="preserve"> </w:t>
      </w:r>
      <w:r>
        <w:rPr>
          <w:rFonts w:ascii="仿宋" w:hAnsi="仿宋" w:eastAsia="仿宋" w:cs="仿宋"/>
          <w:spacing w:val="21"/>
          <w:sz w:val="30"/>
          <w:szCs w:val="30"/>
        </w:rPr>
        <w:t>、绩效自评结果应用情况。)和《项目支出绩</w:t>
      </w:r>
    </w:p>
    <w:p>
      <w:pPr>
        <w:keepNext w:val="0"/>
        <w:keepLines w:val="0"/>
        <w:pageBreakBefore w:val="0"/>
        <w:widowControl/>
        <w:kinsoku w:val="0"/>
        <w:wordWrap/>
        <w:overflowPunct/>
        <w:topLinePunct w:val="0"/>
        <w:autoSpaceDE w:val="0"/>
        <w:autoSpaceDN w:val="0"/>
        <w:bidi w:val="0"/>
        <w:adjustRightInd w:val="0"/>
        <w:snapToGrid w:val="0"/>
        <w:spacing w:before="1" w:line="580" w:lineRule="exact"/>
        <w:ind w:left="3"/>
        <w:textAlignment w:val="baseline"/>
        <w:rPr>
          <w:rFonts w:ascii="仿宋" w:hAnsi="仿宋" w:eastAsia="仿宋" w:cs="仿宋"/>
          <w:sz w:val="30"/>
          <w:szCs w:val="30"/>
        </w:rPr>
      </w:pPr>
      <w:r>
        <w:rPr>
          <w:rFonts w:ascii="仿宋" w:hAnsi="仿宋" w:eastAsia="仿宋" w:cs="仿宋"/>
          <w:spacing w:val="11"/>
          <w:sz w:val="30"/>
          <w:szCs w:val="30"/>
        </w:rPr>
        <w:t>效自评表》</w:t>
      </w:r>
      <w:r>
        <w:rPr>
          <w:rFonts w:ascii="仿宋" w:hAnsi="仿宋" w:eastAsia="仿宋" w:cs="仿宋"/>
          <w:spacing w:val="52"/>
          <w:sz w:val="30"/>
          <w:szCs w:val="30"/>
        </w:rPr>
        <w:t xml:space="preserve">  </w:t>
      </w:r>
      <w:r>
        <w:rPr>
          <w:rFonts w:ascii="仿宋" w:hAnsi="仿宋" w:eastAsia="仿宋" w:cs="仿宋"/>
          <w:spacing w:val="11"/>
          <w:sz w:val="30"/>
          <w:szCs w:val="30"/>
        </w:rPr>
        <w:t>(自选2个项目)。</w:t>
      </w:r>
    </w:p>
    <w:p>
      <w:pPr>
        <w:spacing w:line="228" w:lineRule="auto"/>
        <w:rPr>
          <w:rFonts w:ascii="仿宋" w:hAnsi="仿宋" w:eastAsia="仿宋" w:cs="仿宋"/>
          <w:sz w:val="30"/>
          <w:szCs w:val="30"/>
        </w:rPr>
      </w:pPr>
    </w:p>
    <w:p>
      <w:pPr>
        <w:pStyle w:val="2"/>
        <w:spacing w:line="352" w:lineRule="auto"/>
      </w:pPr>
    </w:p>
    <w:p>
      <w:pPr>
        <w:spacing w:before="100" w:line="229" w:lineRule="auto"/>
        <w:ind w:left="826"/>
        <w:rPr>
          <w:rFonts w:ascii="楷体" w:hAnsi="楷体" w:eastAsia="楷体" w:cs="楷体"/>
          <w:sz w:val="31"/>
          <w:szCs w:val="31"/>
        </w:rPr>
      </w:pPr>
      <w:r>
        <w:rPr>
          <w:rFonts w:ascii="楷体" w:hAnsi="楷体" w:eastAsia="楷体" w:cs="楷体"/>
          <w:spacing w:val="7"/>
          <w:sz w:val="31"/>
          <w:szCs w:val="31"/>
        </w:rPr>
        <w:t>(三)部门评价项目绩效评价情况。</w:t>
      </w:r>
    </w:p>
    <w:p>
      <w:pPr>
        <w:spacing w:before="215" w:line="360" w:lineRule="auto"/>
        <w:ind w:right="96" w:firstLine="630"/>
        <w:rPr>
          <w:rFonts w:ascii="仿宋" w:hAnsi="仿宋" w:eastAsia="仿宋" w:cs="仿宋"/>
          <w:sz w:val="31"/>
          <w:szCs w:val="31"/>
        </w:rPr>
      </w:pPr>
      <w:r>
        <w:rPr>
          <w:rFonts w:ascii="仿宋" w:hAnsi="仿宋" w:eastAsia="仿宋" w:cs="仿宋"/>
          <w:spacing w:val="-3"/>
          <w:sz w:val="31"/>
          <w:szCs w:val="31"/>
          <w14:textOutline w14:w="5793" w14:cap="sq" w14:cmpd="sng">
            <w14:solidFill>
              <w14:srgbClr w14:val="000000"/>
            </w14:solidFill>
            <w14:prstDash w14:val="solid"/>
            <w14:bevel/>
          </w14:textOutline>
        </w:rPr>
        <w:t>本部门公开</w:t>
      </w:r>
      <w:r>
        <w:rPr>
          <w:rFonts w:ascii="仿宋" w:hAnsi="仿宋" w:eastAsia="仿宋" w:cs="仿宋"/>
          <w:spacing w:val="-3"/>
          <w:sz w:val="31"/>
          <w:szCs w:val="31"/>
        </w:rPr>
        <w:t xml:space="preserve"> </w:t>
      </w:r>
      <w:r>
        <w:rPr>
          <w:rFonts w:ascii="Times New Roman" w:hAnsi="Times New Roman" w:eastAsia="Times New Roman" w:cs="Times New Roman"/>
          <w:b/>
          <w:bCs/>
          <w:spacing w:val="-3"/>
          <w:sz w:val="31"/>
          <w:szCs w:val="31"/>
        </w:rPr>
        <w:t>“</w:t>
      </w:r>
      <w:r>
        <w:rPr>
          <w:rFonts w:hint="eastAsia" w:ascii="Times New Roman" w:hAnsi="Times New Roman" w:eastAsia="宋体" w:cs="Times New Roman"/>
          <w:b/>
          <w:bCs/>
          <w:spacing w:val="-3"/>
          <w:sz w:val="31"/>
          <w:szCs w:val="31"/>
          <w:lang w:eastAsia="zh-CN"/>
        </w:rPr>
        <w:t>东大门一河两岸景观工程</w:t>
      </w:r>
      <w:r>
        <w:rPr>
          <w:rFonts w:ascii="Times New Roman" w:hAnsi="Times New Roman" w:eastAsia="Times New Roman" w:cs="Times New Roman"/>
          <w:b/>
          <w:bCs/>
          <w:spacing w:val="-3"/>
          <w:sz w:val="31"/>
          <w:szCs w:val="31"/>
        </w:rPr>
        <w:t>”</w:t>
      </w:r>
      <w:r>
        <w:rPr>
          <w:rFonts w:ascii="Times New Roman" w:hAnsi="Times New Roman" w:eastAsia="Times New Roman" w:cs="Times New Roman"/>
          <w:b/>
          <w:bCs/>
          <w:spacing w:val="-45"/>
          <w:sz w:val="31"/>
          <w:szCs w:val="31"/>
        </w:rPr>
        <w:t xml:space="preserve"> </w:t>
      </w:r>
      <w:r>
        <w:rPr>
          <w:rFonts w:ascii="宋体" w:hAnsi="宋体" w:eastAsia="宋体" w:cs="宋体"/>
          <w:spacing w:val="-3"/>
          <w:sz w:val="31"/>
          <w:szCs w:val="31"/>
          <w14:textOutline w14:w="5793" w14:cap="sq" w14:cmpd="sng">
            <w14:solidFill>
              <w14:srgbClr w14:val="000000"/>
            </w14:solidFill>
            <w14:prstDash w14:val="solid"/>
            <w14:bevel/>
          </w14:textOutline>
        </w:rPr>
        <w:t>、</w:t>
      </w:r>
      <w:r>
        <w:rPr>
          <w:rFonts w:ascii="Times New Roman" w:hAnsi="Times New Roman" w:eastAsia="Times New Roman" w:cs="Times New Roman"/>
          <w:b/>
          <w:bCs/>
          <w:spacing w:val="-3"/>
          <w:sz w:val="31"/>
          <w:szCs w:val="31"/>
        </w:rPr>
        <w:t>“</w:t>
      </w:r>
      <w:r>
        <w:rPr>
          <w:rFonts w:hint="eastAsia" w:ascii="Times New Roman" w:hAnsi="Times New Roman" w:eastAsia="宋体" w:cs="Times New Roman"/>
          <w:b/>
          <w:bCs/>
          <w:spacing w:val="-3"/>
          <w:sz w:val="31"/>
          <w:szCs w:val="31"/>
          <w:lang w:eastAsia="zh-CN"/>
        </w:rPr>
        <w:t>浮梁县城乡环卫一体化</w:t>
      </w:r>
      <w:r>
        <w:rPr>
          <w:rFonts w:hint="eastAsia" w:ascii="Times New Roman" w:hAnsi="Times New Roman" w:eastAsia="宋体" w:cs="Times New Roman"/>
          <w:b/>
          <w:bCs/>
          <w:spacing w:val="-3"/>
          <w:sz w:val="31"/>
          <w:szCs w:val="31"/>
          <w:lang w:val="en-US" w:eastAsia="zh-CN"/>
        </w:rPr>
        <w:t>2022年</w:t>
      </w:r>
      <w:r>
        <w:rPr>
          <w:rFonts w:ascii="Times New Roman" w:hAnsi="Times New Roman" w:eastAsia="Times New Roman" w:cs="Times New Roman"/>
          <w:b/>
          <w:bCs/>
          <w:spacing w:val="-3"/>
          <w:sz w:val="31"/>
          <w:szCs w:val="31"/>
        </w:rPr>
        <w:t xml:space="preserve">” </w:t>
      </w:r>
      <w:r>
        <w:rPr>
          <w:rFonts w:ascii="仿宋" w:hAnsi="仿宋" w:eastAsia="仿宋" w:cs="仿宋"/>
          <w:spacing w:val="-3"/>
          <w:sz w:val="31"/>
          <w:szCs w:val="31"/>
          <w14:textOutline w14:w="5793" w14:cap="sq" w14:cmpd="sng">
            <w14:solidFill>
              <w14:srgbClr w14:val="000000"/>
            </w14:solidFill>
            <w14:prstDash w14:val="solid"/>
            <w14:bevel/>
          </w14:textOutline>
        </w:rPr>
        <w:t>项目部门评价报告(见附件)。</w:t>
      </w:r>
      <w:r>
        <w:rPr>
          <w:rFonts w:ascii="仿宋" w:hAnsi="仿宋" w:eastAsia="仿宋" w:cs="仿宋"/>
          <w:sz w:val="31"/>
          <w:szCs w:val="31"/>
        </w:rPr>
        <w:t xml:space="preserve"> </w:t>
      </w:r>
      <w:r>
        <w:rPr>
          <w:rFonts w:ascii="仿宋" w:hAnsi="仿宋" w:eastAsia="仿宋" w:cs="仿宋"/>
          <w:spacing w:val="12"/>
          <w:sz w:val="31"/>
          <w:szCs w:val="31"/>
          <w14:textOutline w14:w="5793" w14:cap="sq" w14:cmpd="sng">
            <w14:solidFill>
              <w14:srgbClr w14:val="000000"/>
            </w14:solidFill>
            <w14:prstDash w14:val="solid"/>
            <w14:bevel/>
          </w14:textOutline>
        </w:rPr>
        <w:t>(部门评价项目数量在3个以内的，至少将1</w:t>
      </w:r>
      <w:r>
        <w:rPr>
          <w:rFonts w:ascii="仿宋" w:hAnsi="仿宋" w:eastAsia="仿宋" w:cs="仿宋"/>
          <w:spacing w:val="11"/>
          <w:sz w:val="31"/>
          <w:szCs w:val="31"/>
          <w14:textOutline w14:w="5793" w14:cap="sq" w14:cmpd="sng">
            <w14:solidFill>
              <w14:srgbClr w14:val="000000"/>
            </w14:solidFill>
            <w14:prstDash w14:val="solid"/>
            <w14:bevel/>
          </w14:textOutline>
        </w:rPr>
        <w:t>个部门评价报告向</w:t>
      </w:r>
      <w:r>
        <w:rPr>
          <w:rFonts w:ascii="仿宋" w:hAnsi="仿宋" w:eastAsia="仿宋" w:cs="仿宋"/>
          <w:sz w:val="31"/>
          <w:szCs w:val="31"/>
        </w:rPr>
        <w:t xml:space="preserve"> </w:t>
      </w:r>
      <w:r>
        <w:rPr>
          <w:rFonts w:ascii="仿宋" w:hAnsi="仿宋" w:eastAsia="仿宋" w:cs="仿宋"/>
          <w:spacing w:val="8"/>
          <w:sz w:val="31"/>
          <w:szCs w:val="31"/>
          <w14:textOutline w14:w="5793" w14:cap="sq" w14:cmpd="sng">
            <w14:solidFill>
              <w14:srgbClr w14:val="000000"/>
            </w14:solidFill>
            <w14:prstDash w14:val="solid"/>
            <w14:bevel/>
          </w14:textOutline>
        </w:rPr>
        <w:t>社会公开；部门评价项目数量大于3个的，至</w:t>
      </w:r>
      <w:r>
        <w:rPr>
          <w:rFonts w:ascii="仿宋" w:hAnsi="仿宋" w:eastAsia="仿宋" w:cs="仿宋"/>
          <w:spacing w:val="7"/>
          <w:sz w:val="31"/>
          <w:szCs w:val="31"/>
          <w14:textOutline w14:w="5793" w14:cap="sq" w14:cmpd="sng">
            <w14:solidFill>
              <w14:srgbClr w14:val="000000"/>
            </w14:solidFill>
            <w14:prstDash w14:val="solid"/>
            <w14:bevel/>
          </w14:textOutline>
        </w:rPr>
        <w:t>少将2个部门评价</w:t>
      </w:r>
      <w:r>
        <w:rPr>
          <w:rFonts w:ascii="仿宋" w:hAnsi="仿宋" w:eastAsia="仿宋" w:cs="仿宋"/>
          <w:sz w:val="31"/>
          <w:szCs w:val="31"/>
        </w:rPr>
        <w:t xml:space="preserve"> </w:t>
      </w:r>
      <w:r>
        <w:rPr>
          <w:rFonts w:ascii="仿宋" w:hAnsi="仿宋" w:eastAsia="仿宋" w:cs="仿宋"/>
          <w:spacing w:val="2"/>
          <w:sz w:val="31"/>
          <w:szCs w:val="31"/>
          <w14:textOutline w14:w="5793" w14:cap="sq" w14:cmpd="sng">
            <w14:solidFill>
              <w14:srgbClr w14:val="000000"/>
            </w14:solidFill>
            <w14:prstDash w14:val="solid"/>
            <w14:bevel/>
          </w14:textOutline>
        </w:rPr>
        <w:t>报告向社会公开。</w:t>
      </w:r>
      <w:r>
        <w:rPr>
          <w:rFonts w:ascii="仿宋" w:hAnsi="仿宋" w:eastAsia="仿宋" w:cs="仿宋"/>
          <w:spacing w:val="71"/>
          <w:sz w:val="31"/>
          <w:szCs w:val="31"/>
        </w:rPr>
        <w:t xml:space="preserve"> </w:t>
      </w:r>
      <w:r>
        <w:rPr>
          <w:rFonts w:ascii="仿宋" w:hAnsi="仿宋" w:eastAsia="仿宋" w:cs="仿宋"/>
          <w:spacing w:val="2"/>
          <w:sz w:val="31"/>
          <w:szCs w:val="31"/>
        </w:rPr>
        <w:t>报告框架可参考《项目支出绩效评</w:t>
      </w:r>
      <w:r>
        <w:rPr>
          <w:rFonts w:ascii="仿宋" w:hAnsi="仿宋" w:eastAsia="仿宋" w:cs="仿宋"/>
          <w:spacing w:val="1"/>
          <w:sz w:val="31"/>
          <w:szCs w:val="31"/>
        </w:rPr>
        <w:t>价办法》</w:t>
      </w:r>
      <w:r>
        <w:rPr>
          <w:rFonts w:ascii="仿宋" w:hAnsi="仿宋" w:eastAsia="仿宋" w:cs="仿宋"/>
          <w:sz w:val="31"/>
          <w:szCs w:val="31"/>
        </w:rPr>
        <w:t>(财预〔2020〕10号)中《项目支出绩效评价报告(参考提纲)》)</w:t>
      </w:r>
    </w:p>
    <w:p>
      <w:pPr>
        <w:spacing w:line="227" w:lineRule="auto"/>
        <w:rPr>
          <w:rFonts w:ascii="仿宋" w:hAnsi="仿宋" w:eastAsia="仿宋" w:cs="仿宋"/>
          <w:sz w:val="31"/>
          <w:szCs w:val="31"/>
        </w:rPr>
      </w:pPr>
    </w:p>
    <w:p>
      <w:pPr>
        <w:spacing w:before="137" w:line="224" w:lineRule="auto"/>
        <w:ind w:left="2407"/>
        <w:rPr>
          <w:rFonts w:ascii="宋体" w:hAnsi="宋体" w:eastAsia="宋体" w:cs="宋体"/>
          <w:sz w:val="42"/>
          <w:szCs w:val="42"/>
        </w:rPr>
      </w:pPr>
      <w:r>
        <w:rPr>
          <w:rFonts w:ascii="宋体" w:hAnsi="宋体" w:eastAsia="宋体" w:cs="宋体"/>
          <w:spacing w:val="3"/>
          <w:sz w:val="42"/>
          <w:szCs w:val="42"/>
          <w14:textOutline w14:w="7809" w14:cap="sq" w14:cmpd="sng">
            <w14:solidFill>
              <w14:srgbClr w14:val="000000"/>
            </w14:solidFill>
            <w14:prstDash w14:val="solid"/>
            <w14:bevel/>
          </w14:textOutline>
        </w:rPr>
        <w:t>第四部分</w:t>
      </w:r>
      <w:r>
        <w:rPr>
          <w:rFonts w:ascii="宋体" w:hAnsi="宋体" w:eastAsia="宋体" w:cs="宋体"/>
          <w:spacing w:val="3"/>
          <w:sz w:val="42"/>
          <w:szCs w:val="42"/>
        </w:rPr>
        <w:t xml:space="preserve">  </w:t>
      </w:r>
      <w:r>
        <w:rPr>
          <w:rFonts w:ascii="宋体" w:hAnsi="宋体" w:eastAsia="宋体" w:cs="宋体"/>
          <w:spacing w:val="3"/>
          <w:sz w:val="42"/>
          <w:szCs w:val="42"/>
          <w14:textOutline w14:w="7809" w14:cap="sq" w14:cmpd="sng">
            <w14:solidFill>
              <w14:srgbClr w14:val="000000"/>
            </w14:solidFill>
            <w14:prstDash w14:val="solid"/>
            <w14:bevel/>
          </w14:textOutline>
        </w:rPr>
        <w:t>名词解释</w:t>
      </w:r>
    </w:p>
    <w:p>
      <w:pPr>
        <w:pStyle w:val="2"/>
        <w:spacing w:line="320" w:lineRule="auto"/>
      </w:pPr>
    </w:p>
    <w:p>
      <w:pPr>
        <w:pStyle w:val="2"/>
        <w:spacing w:line="321" w:lineRule="auto"/>
      </w:pPr>
    </w:p>
    <w:p>
      <w:pPr>
        <w:spacing w:before="101" w:line="332" w:lineRule="auto"/>
        <w:ind w:left="13" w:right="41" w:firstLine="636"/>
        <w:jc w:val="both"/>
        <w:rPr>
          <w:rFonts w:ascii="仿宋" w:hAnsi="仿宋" w:eastAsia="仿宋" w:cs="仿宋"/>
          <w:sz w:val="31"/>
          <w:szCs w:val="31"/>
        </w:rPr>
      </w:pPr>
      <w:r>
        <w:rPr>
          <w:rFonts w:ascii="仿宋" w:hAnsi="仿宋" w:eastAsia="仿宋" w:cs="仿宋"/>
          <w:spacing w:val="1"/>
          <w:sz w:val="31"/>
          <w:szCs w:val="31"/>
          <w14:textOutline w14:w="5793" w14:cap="sq" w14:cmpd="sng">
            <w14:solidFill>
              <w14:srgbClr w14:val="000000"/>
            </w14:solidFill>
            <w14:prstDash w14:val="solid"/>
            <w14:bevel/>
          </w14:textOutline>
        </w:rPr>
        <w:t>应对报表项目、政府收支分类科目进行适当说明。</w:t>
      </w:r>
      <w:r>
        <w:rPr>
          <w:rFonts w:ascii="仿宋" w:hAnsi="仿宋" w:eastAsia="仿宋" w:cs="仿宋"/>
          <w:spacing w:val="1"/>
          <w:sz w:val="31"/>
          <w:szCs w:val="31"/>
        </w:rPr>
        <w:t xml:space="preserve"> </w:t>
      </w:r>
      <w:r>
        <w:rPr>
          <w:rFonts w:ascii="仿宋" w:hAnsi="仿宋" w:eastAsia="仿宋" w:cs="仿宋"/>
          <w:sz w:val="31"/>
          <w:szCs w:val="31"/>
        </w:rPr>
        <w:t xml:space="preserve"> (以财 </w:t>
      </w:r>
      <w:r>
        <w:rPr>
          <w:rFonts w:ascii="仿宋" w:hAnsi="仿宋" w:eastAsia="仿宋" w:cs="仿宋"/>
          <w:spacing w:val="-2"/>
          <w:sz w:val="31"/>
          <w:szCs w:val="31"/>
        </w:rPr>
        <w:t>务会计制度、政府收支分类科目以及部门预算管理等规定为准，</w:t>
      </w:r>
    </w:p>
    <w:p>
      <w:pPr>
        <w:spacing w:line="227" w:lineRule="auto"/>
        <w:ind w:left="9"/>
        <w:rPr>
          <w:rFonts w:ascii="仿宋" w:hAnsi="仿宋" w:eastAsia="仿宋" w:cs="仿宋"/>
          <w:sz w:val="31"/>
          <w:szCs w:val="31"/>
        </w:rPr>
      </w:pPr>
      <w:r>
        <w:rPr>
          <w:rFonts w:ascii="仿宋" w:hAnsi="仿宋" w:eastAsia="仿宋" w:cs="仿宋"/>
          <w:spacing w:val="5"/>
          <w:sz w:val="31"/>
          <w:szCs w:val="31"/>
        </w:rPr>
        <w:t>可结合部门实际情况适当细化)</w:t>
      </w:r>
    </w:p>
    <w:p>
      <w:pPr>
        <w:spacing w:before="175" w:line="590" w:lineRule="exact"/>
        <w:ind w:left="616"/>
        <w:rPr>
          <w:rFonts w:ascii="仿宋" w:hAnsi="仿宋" w:eastAsia="仿宋" w:cs="仿宋"/>
          <w:sz w:val="31"/>
          <w:szCs w:val="31"/>
        </w:rPr>
      </w:pPr>
      <w:r>
        <w:rPr>
          <w:rFonts w:ascii="仿宋" w:hAnsi="仿宋" w:eastAsia="仿宋" w:cs="仿宋"/>
          <w:spacing w:val="7"/>
          <w:position w:val="20"/>
          <w:sz w:val="31"/>
          <w:szCs w:val="31"/>
        </w:rPr>
        <w:t>“三公</w:t>
      </w:r>
      <w:r>
        <w:rPr>
          <w:rFonts w:ascii="仿宋" w:hAnsi="仿宋" w:eastAsia="仿宋" w:cs="仿宋"/>
          <w:spacing w:val="-101"/>
          <w:position w:val="20"/>
          <w:sz w:val="31"/>
          <w:szCs w:val="31"/>
        </w:rPr>
        <w:t xml:space="preserve"> </w:t>
      </w:r>
      <w:r>
        <w:rPr>
          <w:rFonts w:ascii="仿宋" w:hAnsi="仿宋" w:eastAsia="仿宋" w:cs="仿宋"/>
          <w:spacing w:val="7"/>
          <w:position w:val="20"/>
          <w:sz w:val="31"/>
          <w:szCs w:val="31"/>
        </w:rPr>
        <w:t>”经费支出和机关运行经费支出口径必须予以说明</w:t>
      </w:r>
    </w:p>
    <w:p>
      <w:pPr>
        <w:spacing w:line="226" w:lineRule="auto"/>
        <w:ind w:left="190"/>
        <w:rPr>
          <w:rFonts w:ascii="仿宋" w:hAnsi="仿宋" w:eastAsia="仿宋" w:cs="仿宋"/>
          <w:sz w:val="31"/>
          <w:szCs w:val="31"/>
        </w:rPr>
      </w:pPr>
      <w:r>
        <w:rPr>
          <w:rFonts w:ascii="仿宋" w:hAnsi="仿宋" w:eastAsia="仿宋" w:cs="仿宋"/>
          <w:spacing w:val="10"/>
          <w:sz w:val="31"/>
          <w:szCs w:val="31"/>
        </w:rPr>
        <w:t>(可参照如下格式进行说明):</w:t>
      </w:r>
    </w:p>
    <w:p>
      <w:pPr>
        <w:spacing w:before="212" w:line="337" w:lineRule="auto"/>
        <w:ind w:right="81" w:firstLine="635"/>
        <w:jc w:val="both"/>
        <w:rPr>
          <w:rFonts w:ascii="仿宋" w:hAnsi="仿宋" w:eastAsia="仿宋" w:cs="仿宋"/>
          <w:sz w:val="31"/>
          <w:szCs w:val="31"/>
        </w:rPr>
      </w:pPr>
      <w:r>
        <w:rPr>
          <w:rFonts w:ascii="仿宋" w:hAnsi="仿宋" w:eastAsia="仿宋" w:cs="仿宋"/>
          <w:spacing w:val="14"/>
          <w:sz w:val="31"/>
          <w:szCs w:val="31"/>
        </w:rPr>
        <w:t>“</w:t>
      </w:r>
      <w:r>
        <w:rPr>
          <w:rFonts w:ascii="仿宋" w:hAnsi="仿宋" w:eastAsia="仿宋" w:cs="仿宋"/>
          <w:spacing w:val="-110"/>
          <w:sz w:val="31"/>
          <w:szCs w:val="31"/>
        </w:rPr>
        <w:t xml:space="preserve"> </w:t>
      </w:r>
      <w:r>
        <w:rPr>
          <w:rFonts w:ascii="仿宋" w:hAnsi="仿宋" w:eastAsia="仿宋" w:cs="仿宋"/>
          <w:spacing w:val="14"/>
          <w:sz w:val="31"/>
          <w:szCs w:val="31"/>
        </w:rPr>
        <w:t>三公</w:t>
      </w:r>
      <w:r>
        <w:rPr>
          <w:rFonts w:ascii="仿宋" w:hAnsi="仿宋" w:eastAsia="仿宋" w:cs="仿宋"/>
          <w:spacing w:val="-106"/>
          <w:sz w:val="31"/>
          <w:szCs w:val="31"/>
        </w:rPr>
        <w:t xml:space="preserve"> </w:t>
      </w:r>
      <w:r>
        <w:rPr>
          <w:rFonts w:ascii="仿宋" w:hAnsi="仿宋" w:eastAsia="仿宋" w:cs="仿宋"/>
          <w:spacing w:val="14"/>
          <w:sz w:val="31"/>
          <w:szCs w:val="31"/>
        </w:rPr>
        <w:t>”经费支出：指用</w:t>
      </w:r>
      <w:r>
        <w:rPr>
          <w:rFonts w:ascii="仿宋" w:hAnsi="仿宋" w:eastAsia="仿宋" w:cs="仿宋"/>
          <w:spacing w:val="14"/>
          <w:sz w:val="31"/>
          <w:szCs w:val="31"/>
          <w14:textOutline w14:w="5793" w14:cap="sq" w14:cmpd="sng">
            <w14:solidFill>
              <w14:srgbClr w14:val="000000"/>
            </w14:solidFill>
            <w14:prstDash w14:val="solid"/>
            <w14:bevel/>
          </w14:textOutline>
        </w:rPr>
        <w:t>财政拨款安</w:t>
      </w:r>
      <w:r>
        <w:rPr>
          <w:rFonts w:ascii="仿宋" w:hAnsi="仿宋" w:eastAsia="仿宋" w:cs="仿宋"/>
          <w:spacing w:val="14"/>
          <w:sz w:val="31"/>
          <w:szCs w:val="31"/>
        </w:rPr>
        <w:t>排的因公出国(境)</w:t>
      </w:r>
      <w:r>
        <w:rPr>
          <w:rFonts w:ascii="仿宋" w:hAnsi="仿宋" w:eastAsia="仿宋" w:cs="仿宋"/>
          <w:sz w:val="31"/>
          <w:szCs w:val="31"/>
        </w:rPr>
        <w:t xml:space="preserve"> </w:t>
      </w:r>
      <w:r>
        <w:rPr>
          <w:rFonts w:ascii="仿宋" w:hAnsi="仿宋" w:eastAsia="仿宋" w:cs="仿宋"/>
          <w:spacing w:val="8"/>
          <w:sz w:val="31"/>
          <w:szCs w:val="31"/>
        </w:rPr>
        <w:t>费、公务用车购置及运行维护费和公务接待费。其中，因公出</w:t>
      </w:r>
      <w:r>
        <w:rPr>
          <w:rFonts w:ascii="仿宋" w:hAnsi="仿宋" w:eastAsia="仿宋" w:cs="仿宋"/>
          <w:spacing w:val="5"/>
          <w:sz w:val="31"/>
          <w:szCs w:val="31"/>
        </w:rPr>
        <w:t xml:space="preserve"> </w:t>
      </w:r>
      <w:r>
        <w:rPr>
          <w:rFonts w:ascii="仿宋" w:hAnsi="仿宋" w:eastAsia="仿宋" w:cs="仿宋"/>
          <w:spacing w:val="25"/>
          <w:sz w:val="31"/>
          <w:szCs w:val="31"/>
        </w:rPr>
        <w:t>国(境)费反映单位公务出国(境)的国际旅费</w:t>
      </w:r>
      <w:r>
        <w:rPr>
          <w:rFonts w:ascii="仿宋" w:hAnsi="仿宋" w:eastAsia="仿宋" w:cs="仿宋"/>
          <w:spacing w:val="-86"/>
          <w:sz w:val="31"/>
          <w:szCs w:val="31"/>
        </w:rPr>
        <w:t xml:space="preserve"> </w:t>
      </w:r>
      <w:r>
        <w:rPr>
          <w:rFonts w:ascii="仿宋" w:hAnsi="仿宋" w:eastAsia="仿宋" w:cs="仿宋"/>
          <w:spacing w:val="25"/>
          <w:sz w:val="31"/>
          <w:szCs w:val="31"/>
        </w:rPr>
        <w:t>、</w:t>
      </w:r>
      <w:r>
        <w:rPr>
          <w:rFonts w:ascii="仿宋" w:hAnsi="仿宋" w:eastAsia="仿宋" w:cs="仿宋"/>
          <w:spacing w:val="-70"/>
          <w:sz w:val="31"/>
          <w:szCs w:val="31"/>
        </w:rPr>
        <w:t xml:space="preserve"> </w:t>
      </w:r>
      <w:r>
        <w:rPr>
          <w:rFonts w:ascii="仿宋" w:hAnsi="仿宋" w:eastAsia="仿宋" w:cs="仿宋"/>
          <w:spacing w:val="25"/>
          <w:sz w:val="31"/>
          <w:szCs w:val="31"/>
        </w:rPr>
        <w:t>国外城市间</w:t>
      </w:r>
      <w:r>
        <w:rPr>
          <w:rFonts w:ascii="仿宋" w:hAnsi="仿宋" w:eastAsia="仿宋" w:cs="仿宋"/>
          <w:sz w:val="31"/>
          <w:szCs w:val="31"/>
        </w:rPr>
        <w:t xml:space="preserve"> </w:t>
      </w:r>
      <w:r>
        <w:rPr>
          <w:rFonts w:ascii="仿宋" w:hAnsi="仿宋" w:eastAsia="仿宋" w:cs="仿宋"/>
          <w:spacing w:val="8"/>
          <w:sz w:val="31"/>
          <w:szCs w:val="31"/>
        </w:rPr>
        <w:t>交通费、住宿费、伙食费、培训费、公杂费等支出；公务用车</w:t>
      </w:r>
      <w:r>
        <w:rPr>
          <w:rFonts w:ascii="仿宋" w:hAnsi="仿宋" w:eastAsia="仿宋" w:cs="仿宋"/>
          <w:spacing w:val="7"/>
          <w:sz w:val="31"/>
          <w:szCs w:val="31"/>
        </w:rPr>
        <w:t xml:space="preserve"> </w:t>
      </w:r>
      <w:r>
        <w:rPr>
          <w:rFonts w:ascii="仿宋" w:hAnsi="仿宋" w:eastAsia="仿宋" w:cs="仿宋"/>
          <w:spacing w:val="13"/>
          <w:sz w:val="31"/>
          <w:szCs w:val="31"/>
        </w:rPr>
        <w:t>购置及运行维护费反映单位公务用车车辆购置支出(含车辆购</w:t>
      </w:r>
      <w:r>
        <w:rPr>
          <w:rFonts w:ascii="仿宋" w:hAnsi="仿宋" w:eastAsia="仿宋" w:cs="仿宋"/>
          <w:spacing w:val="1"/>
          <w:sz w:val="31"/>
          <w:szCs w:val="31"/>
        </w:rPr>
        <w:t xml:space="preserve"> </w:t>
      </w:r>
      <w:r>
        <w:rPr>
          <w:rFonts w:ascii="仿宋" w:hAnsi="仿宋" w:eastAsia="仿宋" w:cs="仿宋"/>
          <w:spacing w:val="20"/>
          <w:sz w:val="31"/>
          <w:szCs w:val="31"/>
        </w:rPr>
        <w:t>置税、牌照费),按规定保留的公务用车燃料费、维修费、过</w:t>
      </w:r>
      <w:r>
        <w:rPr>
          <w:rFonts w:ascii="仿宋" w:hAnsi="仿宋" w:eastAsia="仿宋" w:cs="仿宋"/>
          <w:spacing w:val="15"/>
          <w:sz w:val="31"/>
          <w:szCs w:val="31"/>
        </w:rPr>
        <w:t xml:space="preserve"> </w:t>
      </w:r>
      <w:r>
        <w:rPr>
          <w:rFonts w:ascii="仿宋" w:hAnsi="仿宋" w:eastAsia="仿宋" w:cs="仿宋"/>
          <w:spacing w:val="8"/>
          <w:sz w:val="31"/>
          <w:szCs w:val="31"/>
        </w:rPr>
        <w:t>桥过路费、保险费、安全奖励费用等支出；公务接待费反映单</w:t>
      </w:r>
    </w:p>
    <w:p>
      <w:pPr>
        <w:spacing w:line="227" w:lineRule="auto"/>
        <w:ind w:left="6"/>
        <w:rPr>
          <w:rFonts w:ascii="仿宋" w:hAnsi="仿宋" w:eastAsia="仿宋" w:cs="仿宋"/>
          <w:sz w:val="31"/>
          <w:szCs w:val="31"/>
        </w:rPr>
      </w:pPr>
      <w:r>
        <w:rPr>
          <w:rFonts w:ascii="仿宋" w:hAnsi="仿宋" w:eastAsia="仿宋" w:cs="仿宋"/>
          <w:spacing w:val="15"/>
          <w:sz w:val="31"/>
          <w:szCs w:val="31"/>
        </w:rPr>
        <w:t>位按规定开支的各类公务接待(含外宾接待)支出。</w:t>
      </w:r>
    </w:p>
    <w:p>
      <w:pPr>
        <w:spacing w:before="209" w:line="335" w:lineRule="auto"/>
        <w:ind w:left="4" w:right="64" w:firstLine="650"/>
        <w:jc w:val="both"/>
        <w:rPr>
          <w:rFonts w:ascii="仿宋" w:hAnsi="仿宋" w:eastAsia="仿宋" w:cs="仿宋"/>
          <w:sz w:val="31"/>
          <w:szCs w:val="31"/>
        </w:rPr>
      </w:pPr>
      <w:r>
        <w:rPr>
          <w:rFonts w:ascii="仿宋" w:hAnsi="仿宋" w:eastAsia="仿宋" w:cs="仿宋"/>
          <w:spacing w:val="9"/>
          <w:sz w:val="31"/>
          <w:szCs w:val="31"/>
        </w:rPr>
        <w:t>机关运行经费支出：指用</w:t>
      </w:r>
      <w:r>
        <w:rPr>
          <w:rFonts w:ascii="仿宋" w:hAnsi="仿宋" w:eastAsia="仿宋" w:cs="仿宋"/>
          <w:spacing w:val="9"/>
          <w:sz w:val="31"/>
          <w:szCs w:val="31"/>
          <w14:textOutline w14:w="5793" w14:cap="sq" w14:cmpd="sng">
            <w14:solidFill>
              <w14:srgbClr w14:val="000000"/>
            </w14:solidFill>
            <w14:prstDash w14:val="solid"/>
            <w14:bevel/>
          </w14:textOutline>
        </w:rPr>
        <w:t>财政拨款</w:t>
      </w:r>
      <w:r>
        <w:rPr>
          <w:rFonts w:ascii="仿宋" w:hAnsi="仿宋" w:eastAsia="仿宋" w:cs="仿宋"/>
          <w:spacing w:val="9"/>
          <w:sz w:val="31"/>
          <w:szCs w:val="31"/>
        </w:rPr>
        <w:t>安排的为保障行政单位</w:t>
      </w:r>
      <w:r>
        <w:rPr>
          <w:rFonts w:ascii="仿宋" w:hAnsi="仿宋" w:eastAsia="仿宋" w:cs="仿宋"/>
          <w:spacing w:val="1"/>
          <w:sz w:val="31"/>
          <w:szCs w:val="31"/>
        </w:rPr>
        <w:t xml:space="preserve"> </w:t>
      </w:r>
      <w:r>
        <w:rPr>
          <w:rFonts w:ascii="仿宋" w:hAnsi="仿宋" w:eastAsia="仿宋" w:cs="仿宋"/>
          <w:spacing w:val="20"/>
          <w:sz w:val="31"/>
          <w:szCs w:val="31"/>
        </w:rPr>
        <w:t>(包括参照公务员法管理的事业单位)运行用于购买货物和服</w:t>
      </w:r>
      <w:r>
        <w:rPr>
          <w:rFonts w:ascii="仿宋" w:hAnsi="仿宋" w:eastAsia="仿宋" w:cs="仿宋"/>
          <w:spacing w:val="8"/>
          <w:sz w:val="31"/>
          <w:szCs w:val="31"/>
        </w:rPr>
        <w:t xml:space="preserve"> </w:t>
      </w:r>
      <w:r>
        <w:rPr>
          <w:rFonts w:ascii="仿宋" w:hAnsi="仿宋" w:eastAsia="仿宋" w:cs="仿宋"/>
          <w:spacing w:val="9"/>
          <w:sz w:val="31"/>
          <w:szCs w:val="31"/>
        </w:rPr>
        <w:t>务的各项资金，包括办公费、印刷费、邮电费、差旅费、会议</w:t>
      </w:r>
      <w:r>
        <w:rPr>
          <w:rFonts w:ascii="仿宋" w:hAnsi="仿宋" w:eastAsia="仿宋" w:cs="仿宋"/>
          <w:spacing w:val="4"/>
          <w:sz w:val="31"/>
          <w:szCs w:val="31"/>
        </w:rPr>
        <w:t xml:space="preserve"> </w:t>
      </w:r>
      <w:r>
        <w:rPr>
          <w:rFonts w:ascii="仿宋" w:hAnsi="仿宋" w:eastAsia="仿宋" w:cs="仿宋"/>
          <w:spacing w:val="5"/>
          <w:sz w:val="31"/>
          <w:szCs w:val="31"/>
        </w:rPr>
        <w:t>费、福利费、</w:t>
      </w:r>
      <w:r>
        <w:rPr>
          <w:rFonts w:ascii="仿宋" w:hAnsi="仿宋" w:eastAsia="仿宋" w:cs="仿宋"/>
          <w:spacing w:val="-43"/>
          <w:sz w:val="31"/>
          <w:szCs w:val="31"/>
        </w:rPr>
        <w:t xml:space="preserve"> </w:t>
      </w:r>
      <w:r>
        <w:rPr>
          <w:rFonts w:ascii="仿宋" w:hAnsi="仿宋" w:eastAsia="仿宋" w:cs="仿宋"/>
          <w:spacing w:val="5"/>
          <w:sz w:val="31"/>
          <w:szCs w:val="31"/>
        </w:rPr>
        <w:t>日常维修费、专用材料及一般设备购置费、办公</w:t>
      </w:r>
      <w:r>
        <w:rPr>
          <w:rFonts w:ascii="仿宋" w:hAnsi="仿宋" w:eastAsia="仿宋" w:cs="仿宋"/>
          <w:sz w:val="31"/>
          <w:szCs w:val="31"/>
        </w:rPr>
        <w:t xml:space="preserve"> </w:t>
      </w:r>
      <w:r>
        <w:rPr>
          <w:rFonts w:ascii="仿宋" w:hAnsi="仿宋" w:eastAsia="仿宋" w:cs="仿宋"/>
          <w:spacing w:val="8"/>
          <w:sz w:val="31"/>
          <w:szCs w:val="31"/>
        </w:rPr>
        <w:t>用房水电费、办公用房取暖费、办公用房物业管理费、公务用</w:t>
      </w:r>
    </w:p>
    <w:p>
      <w:pPr>
        <w:spacing w:before="2" w:line="224" w:lineRule="auto"/>
        <w:ind w:left="12"/>
        <w:rPr>
          <w:rFonts w:ascii="仿宋" w:hAnsi="仿宋" w:eastAsia="仿宋" w:cs="仿宋"/>
          <w:sz w:val="30"/>
          <w:szCs w:val="30"/>
        </w:rPr>
      </w:pPr>
      <w:r>
        <w:rPr>
          <w:rFonts w:ascii="仿宋" w:hAnsi="仿宋" w:eastAsia="仿宋" w:cs="仿宋"/>
          <w:spacing w:val="-2"/>
          <w:sz w:val="31"/>
          <w:szCs w:val="31"/>
        </w:rPr>
        <w:t>车运行维护费以及其他费用。</w:t>
      </w:r>
    </w:p>
    <w:p>
      <w:pPr>
        <w:spacing w:before="259" w:line="228" w:lineRule="auto"/>
        <w:ind w:left="499"/>
        <w:rPr>
          <w:rFonts w:ascii="黑体" w:hAnsi="黑体" w:eastAsia="黑体" w:cs="黑体"/>
          <w:sz w:val="30"/>
          <w:szCs w:val="30"/>
        </w:rPr>
      </w:pPr>
      <w:r>
        <w:rPr>
          <w:rFonts w:ascii="黑体" w:hAnsi="黑体" w:eastAsia="黑体" w:cs="黑体"/>
          <w:spacing w:val="7"/>
          <w:sz w:val="30"/>
          <w:szCs w:val="30"/>
        </w:rPr>
        <w:t>第五部分</w:t>
      </w:r>
      <w:r>
        <w:rPr>
          <w:rFonts w:ascii="黑体" w:hAnsi="黑体" w:eastAsia="黑体" w:cs="黑体"/>
          <w:spacing w:val="29"/>
          <w:sz w:val="30"/>
          <w:szCs w:val="30"/>
        </w:rPr>
        <w:t xml:space="preserve">  </w:t>
      </w:r>
      <w:r>
        <w:rPr>
          <w:rFonts w:ascii="黑体" w:hAnsi="黑体" w:eastAsia="黑体" w:cs="黑体"/>
          <w:spacing w:val="7"/>
          <w:sz w:val="30"/>
          <w:szCs w:val="30"/>
        </w:rPr>
        <w:t>附件</w:t>
      </w:r>
    </w:p>
    <w:p>
      <w:pPr>
        <w:spacing w:line="228" w:lineRule="auto"/>
        <w:rPr>
          <w:rFonts w:ascii="仿宋" w:hAnsi="仿宋" w:eastAsia="仿宋" w:cs="仿宋"/>
          <w:sz w:val="30"/>
          <w:szCs w:val="30"/>
        </w:rPr>
      </w:pPr>
    </w:p>
    <w:p>
      <w:pPr>
        <w:spacing w:line="228" w:lineRule="auto"/>
        <w:rPr>
          <w:rFonts w:hint="eastAsia" w:ascii="仿宋" w:hAnsi="仿宋" w:eastAsia="仿宋" w:cs="仿宋"/>
          <w:sz w:val="30"/>
          <w:szCs w:val="30"/>
          <w:lang w:eastAsia="zh-CN"/>
        </w:rPr>
        <w:sectPr>
          <w:footerReference r:id="rId13" w:type="default"/>
          <w:pgSz w:w="11830" w:h="16780"/>
          <w:pgMar w:top="1426" w:right="1524" w:bottom="1555" w:left="1629" w:header="0" w:footer="1250" w:gutter="0"/>
          <w:cols w:space="720" w:num="1"/>
        </w:sectPr>
      </w:pPr>
      <w:r>
        <w:rPr>
          <w:rFonts w:hint="eastAsia" w:ascii="仿宋" w:hAnsi="仿宋" w:eastAsia="仿宋" w:cs="仿宋"/>
          <w:sz w:val="30"/>
          <w:szCs w:val="30"/>
          <w:lang w:eastAsia="zh-CN"/>
        </w:rPr>
        <w:object>
          <v:shape id="_x0000_i1025" o:spt="75" type="#_x0000_t75" style="height:66pt;width:72.75pt;" o:ole="t" filled="f" o:preferrelative="t" stroked="f" coordsize="21600,21600">
            <v:fill on="f" focussize="0,0"/>
            <v:stroke on="f"/>
            <v:imagedata r:id="rId19" o:title=""/>
            <o:lock v:ext="edit" aspectratio="t"/>
            <w10:wrap type="none"/>
            <w10:anchorlock/>
          </v:shape>
          <o:OLEObject Type="Embed" ProgID="Excel.Sheet.12" ShapeID="_x0000_i1025" DrawAspect="Icon" ObjectID="_1468075725" r:id="rId18">
            <o:LockedField>false</o:LockedField>
          </o:OLEObject>
        </w:object>
      </w:r>
      <w:r>
        <w:rPr>
          <w:rFonts w:hint="eastAsia" w:ascii="仿宋" w:hAnsi="仿宋" w:eastAsia="仿宋" w:cs="仿宋"/>
          <w:sz w:val="30"/>
          <w:szCs w:val="30"/>
          <w:lang w:eastAsia="zh-CN"/>
        </w:rPr>
        <w:object>
          <v:shape id="_x0000_i1026" o:spt="75" type="#_x0000_t75" style="height:66pt;width:72.75pt;" o:ole="t" filled="f" o:preferrelative="t" stroked="f" coordsize="21600,21600">
            <v:fill on="f" focussize="0,0"/>
            <v:stroke on="f"/>
            <v:imagedata r:id="rId21" o:title=""/>
            <o:lock v:ext="edit" aspectratio="t"/>
            <w10:wrap type="none"/>
            <w10:anchorlock/>
          </v:shape>
          <o:OLEObject Type="Embed" ProgID="Excel.Sheet.12" ShapeID="_x0000_i1026" DrawAspect="Icon" ObjectID="_1468075726" r:id="rId20">
            <o:LockedField>false</o:LockedField>
          </o:OLEObject>
        </w:object>
      </w:r>
    </w:p>
    <w:p>
      <w:pPr>
        <w:spacing w:line="227" w:lineRule="auto"/>
        <w:rPr>
          <w:rFonts w:ascii="仿宋" w:hAnsi="仿宋" w:eastAsia="仿宋" w:cs="仿宋"/>
          <w:sz w:val="31"/>
          <w:szCs w:val="31"/>
        </w:rPr>
        <w:sectPr>
          <w:footerReference r:id="rId14" w:type="default"/>
          <w:pgSz w:w="11840" w:h="16820"/>
          <w:pgMar w:top="1429" w:right="1444" w:bottom="1643" w:left="1645" w:header="0" w:footer="1328" w:gutter="0"/>
          <w:cols w:space="720" w:num="1"/>
        </w:sectPr>
      </w:pPr>
    </w:p>
    <w:p>
      <w:pPr>
        <w:pStyle w:val="2"/>
        <w:spacing w:line="308" w:lineRule="auto"/>
      </w:pPr>
    </w:p>
    <w:p>
      <w:pPr>
        <w:pStyle w:val="2"/>
        <w:spacing w:line="309" w:lineRule="auto"/>
      </w:pPr>
    </w:p>
    <w:p>
      <w:pPr>
        <w:pStyle w:val="2"/>
        <w:spacing w:line="352" w:lineRule="auto"/>
      </w:pPr>
    </w:p>
    <w:p/>
    <w:p>
      <w:pPr>
        <w:spacing w:before="97" w:line="363" w:lineRule="auto"/>
        <w:ind w:left="12" w:right="91" w:firstLine="637"/>
        <w:jc w:val="both"/>
        <w:rPr>
          <w:rFonts w:hint="eastAsia" w:ascii="仿宋" w:hAnsi="仿宋" w:eastAsia="仿宋" w:cs="仿宋"/>
          <w:spacing w:val="17"/>
          <w:sz w:val="30"/>
          <w:szCs w:val="30"/>
          <w:lang w:eastAsia="zh-CN"/>
        </w:rPr>
      </w:pPr>
    </w:p>
    <w:p>
      <w:pPr>
        <w:spacing w:before="97" w:line="363" w:lineRule="auto"/>
        <w:ind w:left="12" w:right="91" w:firstLine="637"/>
        <w:jc w:val="both"/>
        <w:rPr>
          <w:rFonts w:hint="eastAsia" w:ascii="仿宋" w:hAnsi="仿宋" w:eastAsia="仿宋" w:cs="仿宋"/>
          <w:spacing w:val="17"/>
          <w:sz w:val="30"/>
          <w:szCs w:val="30"/>
          <w:lang w:eastAsia="zh-CN"/>
        </w:rPr>
        <w:sectPr>
          <w:footerReference r:id="rId15" w:type="default"/>
          <w:pgSz w:w="11840" w:h="16820"/>
          <w:pgMar w:top="1429" w:right="1492" w:bottom="1623" w:left="1603" w:header="0" w:footer="1309" w:gutter="0"/>
          <w:cols w:space="720" w:num="1"/>
        </w:sectPr>
      </w:pPr>
    </w:p>
    <w:p>
      <w:pPr>
        <w:pStyle w:val="2"/>
        <w:spacing w:line="271" w:lineRule="auto"/>
      </w:pPr>
    </w:p>
    <w:p>
      <w:pPr>
        <w:pStyle w:val="2"/>
        <w:spacing w:line="271" w:lineRule="auto"/>
      </w:pPr>
    </w:p>
    <w:p>
      <w:pPr>
        <w:pStyle w:val="2"/>
        <w:spacing w:line="271" w:lineRule="auto"/>
      </w:pPr>
    </w:p>
    <w:sectPr>
      <w:footerReference r:id="rId16" w:type="default"/>
      <w:pgSz w:w="11840" w:h="16800"/>
      <w:pgMar w:top="1405" w:right="1136" w:bottom="400" w:left="120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1" w:lineRule="auto"/>
      <w:jc w:val="right"/>
      <w:rPr>
        <w:rFonts w:ascii="宋体" w:hAnsi="宋体" w:eastAsia="宋体" w:cs="宋体"/>
        <w:sz w:val="30"/>
        <w:szCs w:val="3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jc w:val="right"/>
      <w:rPr>
        <w:rFonts w:ascii="宋体" w:hAnsi="宋体" w:eastAsia="宋体" w:cs="宋体"/>
        <w:sz w:val="31"/>
        <w:szCs w:val="31"/>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jc w:val="right"/>
      <w:rPr>
        <w:rFonts w:ascii="宋体" w:hAnsi="宋体" w:eastAsia="宋体" w:cs="宋体"/>
        <w:sz w:val="30"/>
        <w:szCs w:val="3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0" w:lineRule="auto"/>
      <w:jc w:val="right"/>
      <w:rPr>
        <w:rFonts w:ascii="宋体" w:hAnsi="宋体" w:eastAsia="宋体" w:cs="宋体"/>
        <w:sz w:val="31"/>
        <w:szCs w:val="3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jc w:val="both"/>
      <w:rPr>
        <w:rFonts w:ascii="宋体" w:hAnsi="宋体" w:eastAsia="宋体" w:cs="宋体"/>
        <w:sz w:val="30"/>
        <w:szCs w:val="3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jc w:val="right"/>
      <w:rPr>
        <w:rFonts w:ascii="宋体" w:hAnsi="宋体" w:eastAsia="宋体" w:cs="宋体"/>
        <w:sz w:val="30"/>
        <w:szCs w:val="3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1" w:lineRule="auto"/>
      <w:jc w:val="right"/>
      <w:rPr>
        <w:rFonts w:ascii="宋体" w:hAnsi="宋体" w:eastAsia="宋体" w:cs="宋体"/>
        <w:sz w:val="30"/>
        <w:szCs w:val="3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jc w:val="right"/>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iN2RlNTdjMGU1NDExOTUzN2YxY2JlZjQ5NzJkNDQifQ=="/>
  </w:docVars>
  <w:rsids>
    <w:rsidRoot w:val="2DE31BC4"/>
    <w:rsid w:val="06FE4012"/>
    <w:rsid w:val="0E4A1F2E"/>
    <w:rsid w:val="19DA2643"/>
    <w:rsid w:val="1C1165A0"/>
    <w:rsid w:val="2DE31BC4"/>
    <w:rsid w:val="53435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Table Text"/>
    <w:basedOn w:val="1"/>
    <w:semiHidden/>
    <w:qFormat/>
    <w:uiPriority w:val="0"/>
    <w:rPr>
      <w:rFonts w:ascii="宋体" w:hAnsi="宋体" w:eastAsia="宋体" w:cs="宋体"/>
      <w:sz w:val="16"/>
      <w:szCs w:val="16"/>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image" Target="media/image2.e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1.emf"/><Relationship Id="rId18" Type="http://schemas.openxmlformats.org/officeDocument/2006/relationships/oleObject" Target="embeddings/oleObject1.bin"/><Relationship Id="rId17" Type="http://schemas.openxmlformats.org/officeDocument/2006/relationships/theme" Target="theme/theme1.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2023-12-05T07:46:00Z</dcterms:created>
  <dc:creator>心</dc:creator>
  <cp:lastModifiedBy>心</cp:lastModifiedBy>
  <dcterms:modified xsi:type="dcterms:W3CDTF">2023-12-07T02:52:40Z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9397884A001347828D443D8E60ACD2B9_11</vt:lpwstr>
  </property>
</Properties>
</file>