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rPr>
          <w:rFonts w:ascii="Arial"/>
          <w:sz w:val="21"/>
        </w:rPr>
      </w:pPr>
    </w:p>
    <w:p>
      <w:pPr>
        <w:spacing w:line="341" w:lineRule="auto"/>
        <w:rPr>
          <w:rFonts w:ascii="Arial"/>
          <w:sz w:val="21"/>
        </w:rPr>
      </w:pPr>
    </w:p>
    <w:p>
      <w:pPr>
        <w:spacing w:before="110" w:line="224" w:lineRule="auto"/>
        <w:ind w:firstLine="14"/>
        <w:rPr>
          <w:rFonts w:hint="eastAsia" w:ascii="黑体" w:hAnsi="黑体" w:eastAsia="黑体" w:cs="黑体"/>
          <w:b w:val="0"/>
          <w:bCs w:val="0"/>
          <w:spacing w:val="3"/>
          <w:sz w:val="34"/>
          <w:szCs w:val="34"/>
          <w:lang w:val="en-US" w:eastAsia="zh-CN"/>
          <w14:textOutline w14:w="6172" w14:cap="flat" w14:cmpd="sng">
            <w14:solidFill>
              <w14:srgbClr w14:val="000000"/>
            </w14:solidFill>
            <w14:prstDash w14:val="solid"/>
            <w14:miter w14:val="0"/>
          </w14:textOutline>
        </w:rPr>
      </w:pPr>
      <w:r>
        <w:rPr>
          <w:rFonts w:ascii="黑体" w:hAnsi="黑体" w:eastAsia="黑体" w:cs="黑体"/>
          <w:b w:val="0"/>
          <w:bCs w:val="0"/>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b w:val="0"/>
          <w:bCs w:val="0"/>
          <w:spacing w:val="3"/>
          <w:sz w:val="34"/>
          <w:szCs w:val="34"/>
          <w:lang w:val="en-US" w:eastAsia="zh-CN"/>
          <w14:textOutline w14:w="6172" w14:cap="flat" w14:cmpd="sng">
            <w14:solidFill>
              <w14:srgbClr w14:val="000000"/>
            </w14:solidFill>
            <w14:prstDash w14:val="solid"/>
            <w14:miter w14:val="0"/>
          </w14:textOutline>
        </w:rPr>
        <w:t>1</w:t>
      </w:r>
    </w:p>
    <w:p>
      <w:pPr>
        <w:spacing w:before="110" w:line="224" w:lineRule="auto"/>
        <w:ind w:firstLine="3812" w:firstLineChars="1102"/>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目     录</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第一部分浮梁县城市管理局概况</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一、部门主要职责</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二、机构设置及人员情况</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第二部分浮梁县城市管理局2023年部门预算表</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一、收支预算总表</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二、部门收入总表</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三、部门支出总表</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四、财政拨款收支总表</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五、一般公共预算支出表</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六、一般公共预算基本支出表</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七、一般公共预算“三公”经费支出表</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八、政府性基金预算支出表</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九、部门整体支出绩效目标表</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十、项目支出绩效目标表</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第三部分浮梁县城市管理局2023年部门预算情况说明</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一、2023年部门预算收支情况说明</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二、2023年“三公”经费预算情况说明</w:t>
      </w:r>
    </w:p>
    <w:p>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第四部分  名词解释</w:t>
      </w:r>
    </w:p>
    <w:p>
      <w:pPr>
        <w:spacing w:line="289" w:lineRule="auto"/>
        <w:jc w:val="center"/>
        <w:rPr>
          <w:rFonts w:hint="eastAsia" w:ascii="仿宋" w:hAnsi="仿宋" w:eastAsia="仿宋" w:cs="仿宋"/>
          <w:sz w:val="21"/>
        </w:rPr>
      </w:pPr>
    </w:p>
    <w:p>
      <w:pPr>
        <w:spacing w:line="290" w:lineRule="auto"/>
        <w:jc w:val="center"/>
        <w:rPr>
          <w:rFonts w:ascii="Arial"/>
          <w:sz w:val="21"/>
        </w:rPr>
      </w:pP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浮梁县城市管理局 2023年部门预算</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浮梁县城市管理局概况</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基本职能：（1）研究制定该区城镇市容环境管理及综合执法工作的中长期规划和年度计划；研究制定城市容貌管理标准和现代化管理手段；组织草拟我区城市环境卫生、市政设施、园林绿化，市容环境的管理办法。</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（2）负责牵头编制我区城市管理及综合执法工作经费的年度计划和中长期计划；会同有关部门对市容环境行政事业性收费工作进行监督管理。</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3）主管城市环境卫生工作；负责大、中型市容环境卫生设施建设项目的方案审查和实施的监督管理，参与城市新建、改扩建项目中的市容环卫配套设施方案的审核和监督管理；负责管理城市道路的冲洗洒水和生活垃圾、特种垃圾、建筑垃圾的收集、清运、处置；负责机动车清洗、环境卫生企业的行业管理。</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（4）负责对临时占用城市道路（含人行道）；对利用城市道路设置建筑物、构筑物（路名牌、人行道护栏、车行道隔离栏、安全岛等除外）的行为进行监督管理。</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（5）负责城区停车场（库）、菜市场的组织实施；负责临时占道机动车、非机动车停车场（点）的定点工作；负责政府投资建设的机动车停车场（点）的日常管理；负责三轮车日常管理。</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（6）负责城镇户外广告定点的监督管理；对利用园林绿化设施、市政府附属设施和利用建筑物等占用城市空间影响市容市貌的行为进行监督管理。</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（7）负责城区路灯和城市夜景灯饰的设置及维护管理；组织、协调、管理城市“光彩工程”。</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（8）参与城市管理工作目标的制定，受理市民有关城市市容环境管理的来信来访和群众投诉。</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（9）负责城市管理的科学研究和社会宣传教育工作。</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（10）指导、监督各乡镇城镇管理及行政执法工作。</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（11）行使市容环境卫生管理、城市绿化管理、市政管理方面法律、法规、规章规定的行政处罚权。</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（12）集中行使对乱建乱搭、环境污染、临时占用城市道路和城区河堤通道、无照商贩、无证饮食品店摊点等行政执法的组织、指挥、协调和行政处罚。</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纳入本套部门决算汇编范围的单位共3个，包括：浮梁县城市管理局、浮梁县城市建设管理监察大队、浮梁县市政服务中心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firstLine="640" w:firstLineChars="200"/>
        <w:textAlignment w:val="baseline"/>
        <w:rPr>
          <w:rFonts w:ascii="仿宋" w:hAnsi="仿宋" w:eastAsia="仿宋" w:cs="仿宋"/>
          <w:spacing w:val="-9"/>
          <w:sz w:val="32"/>
          <w:szCs w:val="32"/>
        </w:rPr>
      </w:pPr>
      <w:r>
        <w:rPr>
          <w:rFonts w:hint="eastAsia" w:ascii="仿宋_GB2312" w:hAnsi="Times New Roman" w:eastAsia="仿宋_GB2312" w:cs="Times New Roman"/>
          <w:snapToGrid/>
          <w:kern w:val="2"/>
          <w:sz w:val="32"/>
          <w:szCs w:val="32"/>
          <w:lang w:val="en-US" w:eastAsia="zh-CN" w:bidi="ar-SA"/>
        </w:rPr>
        <w:t>本部门2022年年末编制人数43人，其中行政编制5人，事业编制39人；年末其他人员数229人。</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浮梁县城市管理局2023年部门预算表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浮梁县城市管理局2023年部门预算情况说明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spacing w:val="13"/>
          <w:sz w:val="32"/>
          <w:szCs w:val="32"/>
          <w:lang w:eastAsia="zh-CN"/>
        </w:rPr>
        <w:t>2023</w:t>
      </w:r>
      <w:r>
        <w:rPr>
          <w:rFonts w:hint="eastAsia" w:ascii="楷体" w:hAnsi="楷体" w:eastAsia="楷体" w:cs="楷体"/>
          <w:spacing w:val="13"/>
          <w:sz w:val="32"/>
          <w:szCs w:val="32"/>
        </w:rPr>
        <w:t>年部门预算收支情况说明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pPr>
        <w:numPr>
          <w:numId w:val="0"/>
        </w:numPr>
        <w:ind w:firstLine="960" w:firstLineChars="300"/>
        <w:jc w:val="left"/>
        <w:rPr>
          <w:rFonts w:hint="eastAsia" w:ascii="仿宋_GB2312" w:hAnsi="Times New Roman" w:eastAsia="仿宋_GB2312" w:cs="Times New Roman"/>
          <w:snapToGrid/>
          <w:kern w:val="2"/>
          <w:sz w:val="32"/>
          <w:szCs w:val="32"/>
          <w:lang w:val="en-US" w:eastAsia="zh-CN" w:bidi="ar-SA"/>
        </w:rPr>
      </w:pPr>
      <w:r>
        <w:rPr>
          <w:rFonts w:hint="eastAsia" w:ascii="仿宋" w:hAnsi="仿宋" w:eastAsia="仿宋" w:cs="仿宋"/>
          <w:snapToGrid/>
          <w:kern w:val="2"/>
          <w:sz w:val="32"/>
          <w:szCs w:val="32"/>
          <w:lang w:val="en-US" w:eastAsia="zh-CN" w:bidi="ar-SA"/>
        </w:rPr>
        <w:t>浮梁县城市管理局2023年</w:t>
      </w:r>
      <w:r>
        <w:rPr>
          <w:rFonts w:hint="eastAsia" w:ascii="仿宋_GB2312" w:hAnsi="Times New Roman" w:eastAsia="仿宋_GB2312" w:cs="Times New Roman"/>
          <w:snapToGrid/>
          <w:kern w:val="2"/>
          <w:sz w:val="32"/>
          <w:szCs w:val="32"/>
          <w:lang w:val="en-US" w:eastAsia="zh-CN" w:bidi="ar-SA"/>
        </w:rPr>
        <w:t>部门收入预算总额7931.31万元，均为一般公共预算收入，较上年预算安排的增加6202.84万元，本年特定目标类项目新增项目金额为6205.6万元。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 w:hAnsi="仿宋" w:eastAsia="仿宋" w:cs="仿宋"/>
          <w:snapToGrid/>
          <w:kern w:val="2"/>
          <w:sz w:val="32"/>
          <w:szCs w:val="32"/>
          <w:lang w:val="en-US" w:eastAsia="zh-CN" w:bidi="ar-SA"/>
        </w:rPr>
        <w:t>浮梁县城市管理局2023年</w:t>
      </w:r>
      <w:r>
        <w:rPr>
          <w:rFonts w:hint="eastAsia" w:ascii="仿宋_GB2312" w:hAnsi="Times New Roman" w:eastAsia="仿宋_GB2312" w:cs="Times New Roman"/>
          <w:snapToGrid/>
          <w:kern w:val="2"/>
          <w:sz w:val="32"/>
          <w:szCs w:val="32"/>
          <w:lang w:val="en-US" w:eastAsia="zh-CN" w:bidi="ar-SA"/>
        </w:rPr>
        <w:t>部门支出预算总额7931.31万元，其中人员支出预算金额710.73万元，较上年预算安排增加241.38万元，其他运转类为855.6万元，较上年预算安排增加855.6万元，特定目标类6027万元，较上年预算安排增加5313.5万元。按支出功能科目总支出预算为7931.31万元，其中社会保障和就业支出99.28万元，较上年预算安排增加20.27万元；卫生健康支出17.57万元，较上年预算安排减少0.08万元；城乡社区支出7759.2万元，较上年预算安排增加6166.06万元；住房保障支出55.26万元，较上年预算安排增加16.59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 w:hAnsi="仿宋" w:eastAsia="仿宋" w:cs="仿宋"/>
          <w:snapToGrid/>
          <w:kern w:val="2"/>
          <w:sz w:val="32"/>
          <w:szCs w:val="32"/>
          <w:lang w:val="en-US" w:eastAsia="zh-CN" w:bidi="ar-SA"/>
        </w:rPr>
        <w:t>浮梁县城市管理局2023年</w:t>
      </w:r>
      <w:r>
        <w:rPr>
          <w:rFonts w:hint="eastAsia" w:ascii="仿宋_GB2312" w:hAnsi="Times New Roman" w:eastAsia="仿宋_GB2312" w:cs="Times New Roman"/>
          <w:snapToGrid/>
          <w:kern w:val="2"/>
          <w:sz w:val="32"/>
          <w:szCs w:val="32"/>
          <w:lang w:val="en-US" w:eastAsia="zh-CN" w:bidi="ar-SA"/>
        </w:rPr>
        <w:t>部门财政拨款支出预算数7931.31万元，较上年预算安排的增加6202.84万元。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(四)政府性基金情况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无。</w:t>
      </w:r>
    </w:p>
    <w:p>
      <w:pPr>
        <w:widowControl w:val="0"/>
        <w:numPr>
          <w:ilvl w:val="0"/>
          <w:numId w:val="1"/>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国有资本经营情况</w:t>
      </w:r>
    </w:p>
    <w:p>
      <w:pPr>
        <w:widowControl w:val="0"/>
        <w:numPr>
          <w:ilvl w:val="0"/>
          <w:numId w:val="0"/>
        </w:numPr>
        <w:kinsoku/>
        <w:autoSpaceDE/>
        <w:autoSpaceDN/>
        <w:adjustRightInd/>
        <w:snapToGrid/>
        <w:spacing w:line="240" w:lineRule="auto"/>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    无</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(六)机关运行经费等重要事项的说明</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2023年部门机关运行费预算7931.31万元，比2022年预增加 6202.84万元，增加358.86 %。本年新增两个专项。</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(七)政府采购情况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2023年部门所属各单位政府采购总额220万元，其中:政府采购货物预算220万元。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(八)国有资产占有使用情况</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2023年部门预算安排购置车辆 0辆，安排购置单位价值200万元以上大型设备具体为:0</w:t>
      </w:r>
    </w:p>
    <w:p>
      <w:pPr>
        <w:widowControl w:val="0"/>
        <w:numPr>
          <w:ilvl w:val="0"/>
          <w:numId w:val="2"/>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项目情况说明</w:t>
      </w:r>
    </w:p>
    <w:p>
      <w:pPr>
        <w:widowControl w:val="0"/>
        <w:numPr>
          <w:ilvl w:val="0"/>
          <w:numId w:val="0"/>
        </w:numPr>
        <w:kinsoku/>
        <w:autoSpaceDE/>
        <w:autoSpaceDN/>
        <w:adjustRightInd/>
        <w:snapToGrid/>
        <w:spacing w:line="240" w:lineRule="auto"/>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     见附表</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w:t>
      </w:r>
      <w:r>
        <w:rPr>
          <w:rFonts w:hint="eastAsia" w:ascii="楷体" w:hAnsi="楷体" w:eastAsia="楷体" w:cs="楷体"/>
          <w:spacing w:val="13"/>
          <w:sz w:val="32"/>
          <w:szCs w:val="32"/>
          <w:lang w:eastAsia="zh-CN"/>
        </w:rPr>
        <w:t>2023</w:t>
      </w:r>
      <w:r>
        <w:rPr>
          <w:rFonts w:hint="eastAsia" w:ascii="楷体" w:hAnsi="楷体" w:eastAsia="楷体" w:cs="楷体"/>
          <w:spacing w:val="13"/>
          <w:sz w:val="32"/>
          <w:szCs w:val="32"/>
        </w:rPr>
        <w:t>年"三公”经费预算情况说明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w:t>
      </w:r>
      <w:r>
        <w:rPr>
          <w:rFonts w:hint="eastAsia" w:ascii="仿宋_GB2312" w:hAnsi="Times New Roman" w:eastAsia="仿宋_GB2312" w:cs="Times New Roman"/>
          <w:snapToGrid/>
          <w:kern w:val="2"/>
          <w:sz w:val="32"/>
          <w:szCs w:val="32"/>
          <w:lang w:val="en-US" w:eastAsia="zh-CN"/>
        </w:rPr>
        <w:t>浮梁县城市管理局</w:t>
      </w:r>
      <w:r>
        <w:rPr>
          <w:rFonts w:hint="eastAsia" w:ascii="仿宋_GB2312" w:hAnsi="Times New Roman" w:eastAsia="仿宋_GB2312" w:cs="Times New Roman"/>
          <w:snapToGrid/>
          <w:kern w:val="2"/>
          <w:sz w:val="32"/>
          <w:szCs w:val="32"/>
        </w:rPr>
        <w:t>"三公"经费一般公共预算安排万元。其中:</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w:t>
      </w:r>
      <w:r>
        <w:rPr>
          <w:rFonts w:hint="eastAsia" w:ascii="仿宋_GB2312" w:hAnsi="Times New Roman" w:eastAsia="仿宋_GB2312" w:cs="Times New Roman"/>
          <w:snapToGrid/>
          <w:kern w:val="2"/>
          <w:sz w:val="32"/>
          <w:szCs w:val="32"/>
          <w:lang w:eastAsia="zh-CN"/>
        </w:rPr>
        <w:t>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万元，主要原因是</w:t>
      </w:r>
      <w:r>
        <w:rPr>
          <w:rFonts w:hint="eastAsia" w:ascii="仿宋_GB2312" w:hAnsi="Times New Roman" w:eastAsia="仿宋_GB2312" w:cs="Times New Roman"/>
          <w:snapToGrid/>
          <w:kern w:val="2"/>
          <w:sz w:val="32"/>
          <w:szCs w:val="32"/>
          <w:lang w:eastAsia="zh-CN"/>
        </w:rPr>
        <w:t>：本单位今年列入预算费用</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17</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17万元，</w:t>
      </w:r>
      <w:r>
        <w:rPr>
          <w:rFonts w:hint="eastAsia" w:ascii="仿宋_GB2312" w:hAnsi="Times New Roman" w:eastAsia="仿宋_GB2312" w:cs="Times New Roman"/>
          <w:snapToGrid/>
          <w:kern w:val="2"/>
          <w:sz w:val="32"/>
          <w:szCs w:val="32"/>
        </w:rPr>
        <w:t>主要原因</w:t>
      </w:r>
    </w:p>
    <w:p>
      <w:pPr>
        <w:widowControl w:val="0"/>
        <w:kinsoku/>
        <w:autoSpaceDE/>
        <w:autoSpaceDN/>
        <w:adjustRightInd/>
        <w:snapToGrid/>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是:</w:t>
      </w:r>
      <w:r>
        <w:rPr>
          <w:rFonts w:hint="eastAsia" w:ascii="仿宋_GB2312" w:hAnsi="Times New Roman" w:eastAsia="仿宋_GB2312" w:cs="Times New Roman"/>
          <w:snapToGrid/>
          <w:kern w:val="2"/>
          <w:sz w:val="32"/>
          <w:szCs w:val="32"/>
          <w:lang w:val="en-US" w:eastAsia="zh-CN"/>
        </w:rPr>
        <w:t>2022年年初预算漏报公务接待费。</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62.16</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pPr>
        <w:widowControl w:val="0"/>
        <w:kinsoku/>
        <w:autoSpaceDE/>
        <w:autoSpaceDN/>
        <w:adjustRightInd/>
        <w:snapToGrid/>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主要原因是:</w:t>
      </w:r>
      <w:r>
        <w:rPr>
          <w:rFonts w:hint="eastAsia" w:ascii="仿宋_GB2312" w:hAnsi="Times New Roman" w:eastAsia="仿宋_GB2312" w:cs="Times New Roman"/>
          <w:snapToGrid/>
          <w:kern w:val="2"/>
          <w:sz w:val="32"/>
          <w:szCs w:val="32"/>
          <w:lang w:val="en-US" w:eastAsia="zh-CN"/>
        </w:rPr>
        <w:t>本单位公务用车无增减</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hint="eastAsia" w:ascii="仿宋" w:hAnsi="仿宋" w:eastAsia="仿宋" w:cs="仿宋"/>
          <w:spacing w:val="-15"/>
          <w:w w:val="94"/>
          <w:sz w:val="32"/>
          <w:szCs w:val="32"/>
          <w:lang w:eastAsia="zh-CN"/>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b w:val="0"/>
          <w:bCs w:val="0"/>
          <w:spacing w:val="13"/>
          <w:sz w:val="32"/>
          <w:szCs w:val="32"/>
        </w:rPr>
        <w:t>、收入科</w:t>
      </w:r>
      <w:r>
        <w:rPr>
          <w:rFonts w:hint="eastAsia" w:ascii="楷体" w:hAnsi="楷体" w:eastAsia="楷体" w:cs="楷体"/>
          <w:spacing w:val="13"/>
          <w:sz w:val="32"/>
          <w:szCs w:val="32"/>
        </w:rPr>
        <w:t>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各部门结合实际进行解释。</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(一)财政拨款:指省级财政当年拨付的资金。</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(三)事业收入:指事业单位开展专业业务活动及辅助活动取得的收入。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(四)事业单位经营收入:指事业单位在专业业务活动及辅助活动之外开展非独立核算经营活动取得的收入。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(六)上级补助收入:反映事业单位从主管部门和上级单位取得的非财政补助收入。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(七)其他收入:指除财政拨款、事业收入、事业单位经营收入等以外的各项收入。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(八)使用非财政拨款结余:填列历年滚存的非限定用途的非统计财政拨款结余弥补2023年收支差额的数额。</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(九)上年结转和结余:填列2022年全部结转和结余的资金数，包括当年结转结余资金和历年滚存结转结余资金。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lang w:eastAsia="zh-CN"/>
        </w:rPr>
        <w:t>二、</w:t>
      </w:r>
      <w:r>
        <w:rPr>
          <w:rFonts w:hint="eastAsia" w:ascii="楷体" w:hAnsi="楷体" w:eastAsia="楷体" w:cs="楷体"/>
          <w:spacing w:val="13"/>
          <w:sz w:val="32"/>
          <w:szCs w:val="32"/>
        </w:rPr>
        <w:t>支出科目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对部门预算中涉及的支出功能分类科目(明细到项级)，结合部门实际，参照《2023年政府收支分类科目》的规范说明进行解释。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val="0"/>
          <w:bCs w:val="0"/>
          <w:spacing w:val="13"/>
          <w:sz w:val="32"/>
          <w:szCs w:val="32"/>
        </w:rPr>
      </w:pPr>
      <w:r>
        <w:rPr>
          <w:rFonts w:hint="eastAsia" w:ascii="楷体" w:hAnsi="楷体" w:eastAsia="楷体" w:cs="楷体"/>
          <w:b w:val="0"/>
          <w:bCs w:val="0"/>
          <w:spacing w:val="13"/>
          <w:sz w:val="32"/>
          <w:szCs w:val="32"/>
        </w:rPr>
        <w:t>三、部门涉及的专业名词</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无</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E908D"/>
    <w:multiLevelType w:val="singleLevel"/>
    <w:tmpl w:val="878E908D"/>
    <w:lvl w:ilvl="0" w:tentative="0">
      <w:start w:val="5"/>
      <w:numFmt w:val="chineseCounting"/>
      <w:lvlText w:val="(%1)"/>
      <w:lvlJc w:val="left"/>
      <w:pPr>
        <w:tabs>
          <w:tab w:val="left" w:pos="312"/>
        </w:tabs>
      </w:pPr>
      <w:rPr>
        <w:rFonts w:hint="eastAsia"/>
      </w:rPr>
    </w:lvl>
  </w:abstractNum>
  <w:abstractNum w:abstractNumId="1">
    <w:nsid w:val="96AAFE9F"/>
    <w:multiLevelType w:val="singleLevel"/>
    <w:tmpl w:val="96AAFE9F"/>
    <w:lvl w:ilvl="0" w:tentative="0">
      <w:start w:val="9"/>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FhMzc1NTNkMzliOWQwY2U3YThmNmVlZjE5OWNkNzYifQ=="/>
  </w:docVars>
  <w:rsids>
    <w:rsidRoot w:val="00000000"/>
    <w:rsid w:val="00305AF4"/>
    <w:rsid w:val="0298260D"/>
    <w:rsid w:val="0ABC406B"/>
    <w:rsid w:val="11CB18AF"/>
    <w:rsid w:val="12072620"/>
    <w:rsid w:val="12445622"/>
    <w:rsid w:val="149037FB"/>
    <w:rsid w:val="180A0D7A"/>
    <w:rsid w:val="1C057787"/>
    <w:rsid w:val="28B74E8B"/>
    <w:rsid w:val="325D7BAC"/>
    <w:rsid w:val="3C785469"/>
    <w:rsid w:val="474E6296"/>
    <w:rsid w:val="476D2917"/>
    <w:rsid w:val="4DC942F1"/>
    <w:rsid w:val="51B32A01"/>
    <w:rsid w:val="535A3AA7"/>
    <w:rsid w:val="55665097"/>
    <w:rsid w:val="55C5686B"/>
    <w:rsid w:val="57AE6D93"/>
    <w:rsid w:val="657607C4"/>
    <w:rsid w:val="66762E0C"/>
    <w:rsid w:val="67FD58E9"/>
    <w:rsid w:val="687A4A6F"/>
    <w:rsid w:val="69DA3A17"/>
    <w:rsid w:val="6BCE135A"/>
    <w:rsid w:val="6C0006DE"/>
    <w:rsid w:val="6D9E48AC"/>
    <w:rsid w:val="78CE0789"/>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2370</Words>
  <Characters>2490</Characters>
  <TotalTime>1</TotalTime>
  <ScaleCrop>false</ScaleCrop>
  <LinksUpToDate>false</LinksUpToDate>
  <CharactersWithSpaces>2515</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Administrator</cp:lastModifiedBy>
  <dcterms:modified xsi:type="dcterms:W3CDTF">2023-03-28T02:28:39Z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2052-11.1.0.13703</vt:lpwstr>
  </property>
  <property fmtid="{D5CDD505-2E9C-101B-9397-08002B2CF9AE}" pid="5" name="ICV">
    <vt:lpwstr>88DC4E5DA5774A45A9990BB4EE0325F1</vt:lpwstr>
  </property>
</Properties>
</file>