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DD00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lang w:val="en-US" w:eastAsia="zh-CN"/>
        </w:rPr>
        <w:t>勒功乡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</w:rPr>
        <w:t>人民政府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lang w:val="en-US" w:eastAsia="zh-CN"/>
        </w:rPr>
        <w:t>2025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</w:rPr>
        <w:t>年政府信息公开工作年度报告</w:t>
      </w:r>
    </w:p>
    <w:p w14:paraId="23ECF9C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2B755A8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bdr w:val="none" w:color="auto" w:sz="0" w:space="0"/>
          <w:shd w:val="clear" w:fill="FFFFFF"/>
        </w:rPr>
        <w:t>本年报依据《中华人民共和国政府信息公开条例》(以下简称《条例》)要求,由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勒功乡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bdr w:val="none" w:color="auto" w:sz="0" w:space="0"/>
          <w:shd w:val="clear" w:fill="FFFFFF"/>
        </w:rPr>
        <w:t>人民政府党政办公室编制。本年报中所列数据的统计期限自2025年1月1日起至2025年12月31日止。如有疑问,请与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勒功乡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bdr w:val="none" w:color="auto" w:sz="0" w:space="0"/>
          <w:shd w:val="clear" w:fill="FFFFFF"/>
        </w:rPr>
        <w:t>人民政府党政办公室联系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bdr w:val="none" w:color="auto" w:sz="0" w:space="0"/>
          <w:shd w:val="clear" w:fill="FFFFFF"/>
        </w:rPr>
        <w:t>电话:0798-27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35338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bdr w:val="none" w:color="auto" w:sz="0" w:space="0"/>
          <w:shd w:val="clear" w:fill="FFFFFF"/>
        </w:rPr>
        <w:t>。</w:t>
      </w:r>
    </w:p>
    <w:p w14:paraId="5F1AE19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both"/>
        <w:textAlignment w:val="auto"/>
        <w:rPr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黑体" w:hAnsi="宋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一、总体情况</w:t>
      </w:r>
    </w:p>
    <w:p w14:paraId="561C148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</w:rPr>
        <w:t>2025年，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  <w:lang w:eastAsia="zh-CN"/>
        </w:rPr>
        <w:t>勒功乡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</w:rPr>
        <w:t>党政办公室坚持以习近平新时代中国特色社会主义思想为指导，深入贯彻落实国家及省市县关于全面推进政务公开的决策部署，紧紧围绕乡党委、政府中心工作和群众关切，秉持“以公开为常态、不公开为例外”的原则，持续深化政务公开工作，着力提升政府工作的透明度、公信力和治理效能，为全乡经济社会高质量发展营造了良好的政务环境</w:t>
      </w:r>
    </w:p>
    <w:p w14:paraId="7CEDEE7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both"/>
        <w:textAlignment w:val="auto"/>
        <w:rPr>
          <w:rStyle w:val="5"/>
          <w:rFonts w:hint="eastAsia" w:ascii="黑体" w:hAnsi="宋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黑体" w:hAnsi="宋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（一）依申请公开</w:t>
      </w:r>
    </w:p>
    <w:p w14:paraId="7C6E982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</w:rPr>
        <w:t>2025年，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  <w:lang w:eastAsia="zh-CN"/>
        </w:rPr>
        <w:t>勒功乡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</w:rPr>
        <w:t>共收到依申请公开0件。</w:t>
      </w:r>
    </w:p>
    <w:p w14:paraId="1AFA5F0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both"/>
        <w:textAlignment w:val="auto"/>
        <w:rPr>
          <w:rStyle w:val="5"/>
          <w:rFonts w:hint="eastAsia" w:ascii="黑体" w:hAnsi="宋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黑体" w:hAnsi="宋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（二）政府信息管理</w:t>
      </w:r>
    </w:p>
    <w:p w14:paraId="491F185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</w:rPr>
        <w:t>明确落实专职人员具体负责政务信息公开内容更新、维护、协调等日常工作。一是加强内容审核，使政务公开文本的基础信息更准确有效，做好数据统计等基础工作，确保政务公开信息可读性强、内容务实。二是推进常态化公开，强化制度刚性，做好统筹汇总，以公开促落实、强规范、补短板、优服务。三是重点加强对涉及公众切身利益、需要公众广泛知晓的民生领域、重点领域和政策解读等方面的政务公开，严格按照有关要求公布年度工作、财政预算、重大项目建设等情况。</w:t>
      </w:r>
    </w:p>
    <w:p w14:paraId="655398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both"/>
        <w:textAlignment w:val="auto"/>
        <w:rPr>
          <w:rStyle w:val="5"/>
          <w:rFonts w:hint="eastAsia" w:ascii="黑体" w:hAnsi="宋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黑体" w:hAnsi="宋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（三）政府信息公开平台建设</w:t>
      </w:r>
    </w:p>
    <w:p w14:paraId="2F6405C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</w:rPr>
        <w:t>依法依规使用政务公开平台，全面、及时、准确公开，以公开促政策落地见效。同时，积极利用“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  <w:lang w:eastAsia="zh-CN"/>
        </w:rPr>
        <w:t>勒功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  <w:lang w:val="en-US" w:eastAsia="zh-CN"/>
        </w:rPr>
        <w:t>发布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</w:rPr>
        <w:t>”微信公众号，以图文、视频等多种形式发布政务服务、乡镇动态等咨询信息，扩大政务公开渠道，促进公开方式多样化。规范建设并统一管理乡、村两级实体政务公开栏，确保重要信息及时张贴公示。在乡便民服务中心设立政务公开查阅专区和政策咨询窗口，配备专职导办员，为群众提供“一对一”的指导服务。</w:t>
      </w:r>
    </w:p>
    <w:p w14:paraId="2D36CFE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both"/>
        <w:textAlignment w:val="auto"/>
        <w:rPr>
          <w:rStyle w:val="5"/>
          <w:rFonts w:hint="eastAsia" w:ascii="黑体" w:hAnsi="宋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黑体" w:hAnsi="宋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（四）监督保障</w:t>
      </w:r>
    </w:p>
    <w:p w14:paraId="490C973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</w:rPr>
        <w:t>一是健全考核制度。将政务公开工作纳入年度目标管理考核，并建立“问题台账-整改落实-销号管理-回头看”的闭环整改机制，针对上级测评和自查发现的问题，确保立行立改、举一反三。二是重视公开反馈。通过电话回访、调查问卷、下村走访等形式开展社会评议，未有因信息公开不到位需要进行责任追究的情况，满意度达100%。</w:t>
      </w:r>
    </w:p>
    <w:p w14:paraId="6A50B0E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both"/>
        <w:textAlignment w:val="auto"/>
        <w:rPr>
          <w:rStyle w:val="5"/>
          <w:rFonts w:hint="eastAsia" w:ascii="黑体" w:hAnsi="宋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黑体" w:hAnsi="宋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二、主动公开政府信息情况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62"/>
        <w:gridCol w:w="2094"/>
        <w:gridCol w:w="2094"/>
        <w:gridCol w:w="2106"/>
      </w:tblGrid>
      <w:tr w14:paraId="39C090F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3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85AF8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第二十条第</w:t>
            </w:r>
            <w:r>
              <w:rPr>
                <w:rFonts w:ascii="Calibri" w:hAnsi="Calibri" w:cs="Calibri"/>
                <w:sz w:val="24"/>
                <w:szCs w:val="24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一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项</w:t>
            </w:r>
          </w:p>
        </w:tc>
      </w:tr>
      <w:tr w14:paraId="44CBB74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40CE5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FA9C4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本年制发件数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9A6DB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本年废止件数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61D01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现行有效件数</w:t>
            </w:r>
          </w:p>
        </w:tc>
      </w:tr>
      <w:tr w14:paraId="238866A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9BB7D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BBF7C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3FB8E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5D5F7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67E6C1A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A808E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95CAD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C58CD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D6550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5FCA61C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35" w:type="dxa"/>
            <w:gridSpan w:val="4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987EF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第二十条第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五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项</w:t>
            </w:r>
          </w:p>
        </w:tc>
      </w:tr>
      <w:tr w14:paraId="77CC4D1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F076C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15897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本年处理决定数量</w:t>
            </w:r>
          </w:p>
        </w:tc>
      </w:tr>
      <w:tr w14:paraId="4A14156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40441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A3050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6CC8E01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35" w:type="dxa"/>
            <w:gridSpan w:val="4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96E4F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第二十条第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六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项</w:t>
            </w:r>
          </w:p>
        </w:tc>
      </w:tr>
      <w:tr w14:paraId="0FC9B74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06C80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20A45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本年处理决定数量</w:t>
            </w:r>
          </w:p>
        </w:tc>
      </w:tr>
      <w:tr w14:paraId="469BD4A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85938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CC64E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1EB253F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29908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34989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42BA959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35" w:type="dxa"/>
            <w:gridSpan w:val="4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FC268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第二十条第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八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项</w:t>
            </w:r>
          </w:p>
        </w:tc>
      </w:tr>
      <w:tr w14:paraId="70124E1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D82E5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DC62A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本年收费金额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单位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: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万元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)</w:t>
            </w:r>
          </w:p>
        </w:tc>
      </w:tr>
      <w:tr w14:paraId="0D318A4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8A8EE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1B6A8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 w14:paraId="50946F9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both"/>
        <w:textAlignment w:val="auto"/>
        <w:rPr>
          <w:rStyle w:val="5"/>
          <w:rFonts w:hint="eastAsia" w:ascii="黑体" w:hAnsi="宋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黑体" w:hAnsi="宋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三、收到和处理政府信息公开申请情况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830"/>
        <w:gridCol w:w="2557"/>
        <w:gridCol w:w="619"/>
        <w:gridCol w:w="619"/>
        <w:gridCol w:w="619"/>
        <w:gridCol w:w="619"/>
        <w:gridCol w:w="619"/>
        <w:gridCol w:w="620"/>
        <w:gridCol w:w="620"/>
      </w:tblGrid>
      <w:tr w14:paraId="4036566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5145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DD5B0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本列数据的勾稽关系为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: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第一项加第二项之和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等于第三项加第四项之和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)</w:t>
            </w:r>
          </w:p>
        </w:tc>
        <w:tc>
          <w:tcPr>
            <w:tcW w:w="4995" w:type="dxa"/>
            <w:gridSpan w:val="7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B913D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申请人情况</w:t>
            </w:r>
          </w:p>
        </w:tc>
      </w:tr>
      <w:tr w14:paraId="05F3D62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5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DBD4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E9AD3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58F3E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法人或其他组织</w:t>
            </w:r>
          </w:p>
        </w:tc>
        <w:tc>
          <w:tcPr>
            <w:tcW w:w="72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EEDCE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总计</w:t>
            </w:r>
          </w:p>
        </w:tc>
      </w:tr>
      <w:tr w14:paraId="4A5F0E4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5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1264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0ECA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03F72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商业企业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1D4DD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科研机构</w:t>
            </w:r>
          </w:p>
        </w:tc>
        <w:tc>
          <w:tcPr>
            <w:tcW w:w="72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55186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社会公益组织</w:t>
            </w:r>
          </w:p>
        </w:tc>
        <w:tc>
          <w:tcPr>
            <w:tcW w:w="72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D6E2E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法律服务机构</w:t>
            </w:r>
          </w:p>
        </w:tc>
        <w:tc>
          <w:tcPr>
            <w:tcW w:w="72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9A1AE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其他</w:t>
            </w:r>
          </w:p>
        </w:tc>
        <w:tc>
          <w:tcPr>
            <w:tcW w:w="72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7656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7B9071B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5" w:type="dxa"/>
            <w:gridSpan w:val="3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2FD3F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39B1E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8C328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0685C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94205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57364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8119A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BDEBC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61D1795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5" w:type="dxa"/>
            <w:gridSpan w:val="3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D1BD2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05ACB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B992D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6117C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206E7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A4755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66820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5A231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3A3CE48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2D1A6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9F5E6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一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予以公开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B4402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724ABD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126FD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1D1D3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CBD80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E5455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6F7CA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6719B59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06FB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8F78E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二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部分公开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区分处理的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只计这一情形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不计其他情形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59CD7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0FAA1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A181E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83EAE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398BC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D37D7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9F5F6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29B3C20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D53F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878B3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不予公开</w:t>
            </w:r>
          </w:p>
        </w:tc>
        <w:tc>
          <w:tcPr>
            <w:tcW w:w="3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D6B20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属于国家秘密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CB605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BF1E0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067BA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43573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371B9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1D1F4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0972A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2FC72BA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358E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05BE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48E59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其他法律行政法规禁止公开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B0891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B1C29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982C5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8E2E5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7138D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4F4C1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A327C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70D413A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3ADB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E3A9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DFC63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危及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三安全一稳定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”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13C0A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D4216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955DF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115C4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670D7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C4D81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A4174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5B74EEA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17C0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02CC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74145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保护第三方合法权益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99CB2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43B10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E3730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CE526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3AF6F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9CAEA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1C41B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290DA7D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68FC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3A54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3C059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属于三类内部事务信息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09CFA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C60D2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ADE87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45B51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DCC7E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123BA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40EAB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34AF810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6802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6A03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7A2A9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6.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属于四类过程性信息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46B23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6275C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D38C1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95BA2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20EC7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2A02F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D2D28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0C17CB2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92AA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991F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F3232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7.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属于行政执法案卷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D9027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1C2D1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ED057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6AEA2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F99E6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84C60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71483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7D0A2E4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2EEB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8F8F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D6F40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8.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属于行政查询事项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DA00E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9C742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084E4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CB1A2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BBF5B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1A232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147A8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49ACC0E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F3CB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4B4B7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四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无法提供</w:t>
            </w:r>
          </w:p>
        </w:tc>
        <w:tc>
          <w:tcPr>
            <w:tcW w:w="3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61F65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本机关不掌握相关政府信息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CDF0F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82836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475F7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FEEA6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E7CD8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E68BE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63252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4C5FC24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35A1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FD57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CEE8B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没有现成信息需要另行制作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FAEB1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38D8B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E819B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DF09F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63FD6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FD379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8957A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501DD2A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727E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F287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C99F8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补正后申请内容仍不明确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0492F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5E9BE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CF4C6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FAA37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96F99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7F94D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88284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7AC27A7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AAE6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86258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五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不予处理</w:t>
            </w:r>
          </w:p>
        </w:tc>
        <w:tc>
          <w:tcPr>
            <w:tcW w:w="3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1B4B1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信访举报投诉类申请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3DEC1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E1E0A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59969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5B333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1E23B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00C0C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B61D4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0AF83BB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EB49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8399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3BCAC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重复申请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CAEE3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25DDF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46BCD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A0FD5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844EA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09904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8A2D8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67F9652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7A6A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5284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8F003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要求提供公开出版物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BDA16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3E2E5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A33F4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6E552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F752E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FA174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7FC0E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50B2BA6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00B4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931E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42755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无正当理由大量反复申请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0CD3F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B2B15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52B03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1AF23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5B30B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484E3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4962F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5098473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ABFB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4701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6A560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要求行政机关确认或重新出具已获取信息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AFA8E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98716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D0B14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FC3C6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3B195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3E762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E1034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24F0ED4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CCA0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7EE16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六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其他处理</w:t>
            </w:r>
          </w:p>
        </w:tc>
        <w:tc>
          <w:tcPr>
            <w:tcW w:w="3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F7D81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申请人无正当理由逾期不补正、行政机关不再处理其政府信息公开申请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962D2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91A64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57BEA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356A6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6ACFD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CF9BB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E838D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496A643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39D5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E592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6F83B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申请人逾期未按收费通知要求缴纳费用、行政机关不再处理其政府信息公开申请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BD0C2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3FF12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207C7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45BE0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1F1C3C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27D74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D42CB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7FE737E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72E9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2319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9F675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其他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298D9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E6DB3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7E67B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F3E3C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64079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A0CA8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545C6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61DA79D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1437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20578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七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总计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2262A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65840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A4B75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22CD9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ED347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D4475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65092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1EBD537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5" w:type="dxa"/>
            <w:gridSpan w:val="3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4A80E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四、结转下年度继续办理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00625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756E1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D2A90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ED56A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28CAB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7E130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17BA1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 w14:paraId="10DE36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both"/>
        <w:textAlignment w:val="auto"/>
        <w:rPr>
          <w:rStyle w:val="5"/>
          <w:rFonts w:hint="eastAsia" w:ascii="黑体" w:hAnsi="宋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黑体" w:hAnsi="宋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四、政府信息公开行政复议、行政诉讼情况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842"/>
      </w:tblGrid>
      <w:tr w14:paraId="485A286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1F654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行政复议</w:t>
            </w:r>
          </w:p>
        </w:tc>
        <w:tc>
          <w:tcPr>
            <w:tcW w:w="6435" w:type="dxa"/>
            <w:gridSpan w:val="10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E4F20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行政诉讼</w:t>
            </w:r>
          </w:p>
        </w:tc>
      </w:tr>
      <w:tr w14:paraId="5219564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F1176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结果维持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5B388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结果纠正</w:t>
            </w:r>
          </w:p>
        </w:tc>
        <w:tc>
          <w:tcPr>
            <w:tcW w:w="645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A66AC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其他结果</w:t>
            </w:r>
          </w:p>
        </w:tc>
        <w:tc>
          <w:tcPr>
            <w:tcW w:w="645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C314E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尚未审结</w:t>
            </w:r>
          </w:p>
        </w:tc>
        <w:tc>
          <w:tcPr>
            <w:tcW w:w="645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10067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总计</w:t>
            </w:r>
          </w:p>
        </w:tc>
        <w:tc>
          <w:tcPr>
            <w:tcW w:w="3210" w:type="dxa"/>
            <w:gridSpan w:val="5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A35C6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未经复议直接起诉</w:t>
            </w:r>
          </w:p>
        </w:tc>
        <w:tc>
          <w:tcPr>
            <w:tcW w:w="3210" w:type="dxa"/>
            <w:gridSpan w:val="5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0B498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复议后起诉</w:t>
            </w:r>
          </w:p>
        </w:tc>
      </w:tr>
      <w:tr w14:paraId="5FB68AD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D73D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5F90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B02F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0D41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9DF5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B4BFC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结果维持</w:t>
            </w:r>
          </w:p>
        </w:tc>
        <w:tc>
          <w:tcPr>
            <w:tcW w:w="6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1DBF8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结果纠正</w:t>
            </w:r>
          </w:p>
        </w:tc>
        <w:tc>
          <w:tcPr>
            <w:tcW w:w="64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724A2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其他结果</w:t>
            </w:r>
          </w:p>
        </w:tc>
        <w:tc>
          <w:tcPr>
            <w:tcW w:w="64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F1771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尚未审结</w:t>
            </w:r>
          </w:p>
        </w:tc>
        <w:tc>
          <w:tcPr>
            <w:tcW w:w="64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CB666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总计</w:t>
            </w:r>
          </w:p>
        </w:tc>
        <w:tc>
          <w:tcPr>
            <w:tcW w:w="64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C1C17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结果维持</w:t>
            </w:r>
          </w:p>
        </w:tc>
        <w:tc>
          <w:tcPr>
            <w:tcW w:w="64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7FD31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结果纠正</w:t>
            </w:r>
          </w:p>
        </w:tc>
        <w:tc>
          <w:tcPr>
            <w:tcW w:w="64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7F9F9C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其他结果</w:t>
            </w:r>
          </w:p>
        </w:tc>
        <w:tc>
          <w:tcPr>
            <w:tcW w:w="64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F6A11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尚未审结</w:t>
            </w:r>
          </w:p>
        </w:tc>
        <w:tc>
          <w:tcPr>
            <w:tcW w:w="64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963F4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总计</w:t>
            </w:r>
          </w:p>
        </w:tc>
      </w:tr>
      <w:tr w14:paraId="62A2B60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A272B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0F63C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52713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0AD89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944BC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79F01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DF05D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0A26B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48478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EB10C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6968E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4A540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DE6A5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34022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711644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 w14:paraId="01FFA4C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both"/>
        <w:textAlignment w:val="auto"/>
        <w:rPr>
          <w:rStyle w:val="5"/>
          <w:rFonts w:hint="eastAsia" w:ascii="黑体" w:hAnsi="宋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黑体" w:hAnsi="宋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五、存在的主要问题及改进情况</w:t>
      </w:r>
    </w:p>
    <w:p w14:paraId="7480D68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</w:rPr>
        <w:t>2025年，我乡政府信息公开工作取得了新的进展，但同时也存在一些问题。公开内容的深度和精准性有待提升，部分领域的信息公开仍侧重于结果公示和流程告知，对政策制定的背景依据、决策过程、执行细则等深层次内容的解读还不够深入、生动，与群众“听得懂、用得上”的期盼尚有差距。</w:t>
      </w:r>
    </w:p>
    <w:p w14:paraId="7F1B0F1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</w:rPr>
        <w:t>2026年，全乡将继续深入推进信息公开工作，聚焦“精准深化”，提升公开质量。围绕乡村振兴、民生保障、惠企政策等核心领域，以“清单化”方式梳理并深化公开内容。不仅公开“是什么”，更着力解读“为什么”、“怎么办”，探索采用短视频、案例解析、现场宣讲等更接地气的方式，推出系列精品解读产品，提升政策的到达率和转化率。</w:t>
      </w:r>
    </w:p>
    <w:p w14:paraId="094DD5A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both"/>
        <w:textAlignment w:val="auto"/>
        <w:rPr>
          <w:rStyle w:val="5"/>
          <w:rFonts w:hint="eastAsia" w:ascii="黑体" w:hAnsi="宋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黑体" w:hAnsi="宋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六、其他需要报告的事项</w:t>
      </w:r>
    </w:p>
    <w:p w14:paraId="754C862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</w:rPr>
        <w:t>2025年度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  <w:lang w:eastAsia="zh-CN"/>
        </w:rPr>
        <w:t>勒功乡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</w:rPr>
        <w:t>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505050"/>
          <w:spacing w:val="0"/>
          <w:sz w:val="32"/>
          <w:szCs w:val="32"/>
          <w:shd w:val="clear" w:fill="FFFFFF"/>
        </w:rPr>
        <w:t>民政府无收费信息处理费情况。</w:t>
      </w:r>
    </w:p>
    <w:p w14:paraId="3EE9A0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E0C11"/>
    <w:rsid w:val="4D6B7C12"/>
    <w:rsid w:val="7F7E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2025-12-30T01:52:00Z</dcterms:created>
  <dc:creator>GGN</dc:creator>
  <cp:lastModifiedBy>GGN</cp:lastModifiedBy>
  <dcterms:modified xsi:type="dcterms:W3CDTF">2025-12-30T02:07:11Z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5DFF5348F9834101BC1C5933FDD392D5_11</vt:lpwstr>
  </property>
  <property fmtid="{D5CDD505-2E9C-101B-9397-08002B2CF9AE}" pid="4" name="KSOTemplateDocerSaveRecord">
    <vt:lpwstr>eyJoZGlkIjoiZWZmMjdlNzk1ZmNlZWRkNjE5MDc1NDVjZTUxNGE5NzUiLCJ1c2VySWQiOiI0MzEyODAwMzIifQ==</vt:lpwstr>
  </property>
</Properties>
</file>