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8B851">
      <w:pPr>
        <w:spacing w:line="240" w:lineRule="atLeast"/>
        <w:rPr>
          <w:rFonts w:hint="eastAsia" w:ascii="仿宋_GB2312" w:hAnsi="宋体" w:eastAsia="仿宋_GB2312"/>
          <w:sz w:val="30"/>
          <w:szCs w:val="30"/>
        </w:rPr>
      </w:pPr>
      <w:r>
        <w:rPr>
          <w:rFonts w:hint="eastAsia" w:ascii="仿宋_GB2312" w:hAnsi="宋体" w:eastAsia="仿宋_GB2312"/>
          <w:sz w:val="30"/>
          <w:szCs w:val="30"/>
        </w:rPr>
        <w:t>大会材料之十</w:t>
      </w:r>
    </w:p>
    <w:p w14:paraId="5C4CD285">
      <w:pPr>
        <w:spacing w:line="240" w:lineRule="atLeast"/>
        <w:rPr>
          <w:rFonts w:hint="eastAsia" w:ascii="仿宋_GB2312" w:hAnsi="宋体" w:eastAsia="仿宋_GB2312"/>
          <w:sz w:val="30"/>
          <w:szCs w:val="30"/>
        </w:rPr>
      </w:pPr>
    </w:p>
    <w:p w14:paraId="20E04A2D">
      <w:pPr>
        <w:spacing w:line="240" w:lineRule="atLeast"/>
        <w:ind w:left="-178" w:leftChars="-85"/>
        <w:jc w:val="center"/>
        <w:rPr>
          <w:rFonts w:hint="default" w:ascii="宋体" w:hAnsi="宋体" w:eastAsia="宋体" w:cs="Times New Roman"/>
          <w:b/>
          <w:sz w:val="44"/>
          <w:szCs w:val="44"/>
          <w:lang w:val="en-US" w:eastAsia="zh-CN"/>
        </w:rPr>
      </w:pPr>
      <w:r>
        <w:rPr>
          <w:rFonts w:hint="eastAsia" w:ascii="宋体" w:hAnsi="宋体" w:eastAsia="宋体" w:cs="Times New Roman"/>
          <w:b/>
          <w:sz w:val="44"/>
          <w:szCs w:val="44"/>
          <w:lang w:val="en-US" w:eastAsia="zh-CN"/>
        </w:rPr>
        <w:t>关于勒功乡</w:t>
      </w:r>
      <w:r>
        <w:rPr>
          <w:rFonts w:hint="default" w:ascii="宋体" w:hAnsi="宋体" w:eastAsia="宋体" w:cs="Times New Roman"/>
          <w:b/>
          <w:sz w:val="44"/>
          <w:szCs w:val="44"/>
          <w:lang w:val="en-US" w:eastAsia="zh-CN"/>
        </w:rPr>
        <w:t>202</w:t>
      </w:r>
      <w:r>
        <w:rPr>
          <w:rFonts w:hint="eastAsia" w:ascii="宋体" w:hAnsi="宋体" w:eastAsia="宋体" w:cs="Times New Roman"/>
          <w:b/>
          <w:sz w:val="44"/>
          <w:szCs w:val="44"/>
          <w:lang w:val="en-US" w:eastAsia="zh-CN"/>
        </w:rPr>
        <w:t>5</w:t>
      </w:r>
      <w:r>
        <w:rPr>
          <w:rFonts w:hint="default" w:ascii="宋体" w:hAnsi="宋体" w:eastAsia="宋体" w:cs="Times New Roman"/>
          <w:b/>
          <w:sz w:val="44"/>
          <w:szCs w:val="44"/>
          <w:lang w:val="en-US" w:eastAsia="zh-CN"/>
        </w:rPr>
        <w:t>年财政预算执行情况与 202</w:t>
      </w:r>
      <w:r>
        <w:rPr>
          <w:rFonts w:hint="eastAsia" w:ascii="宋体" w:hAnsi="宋体" w:eastAsia="宋体" w:cs="Times New Roman"/>
          <w:b/>
          <w:sz w:val="44"/>
          <w:szCs w:val="44"/>
          <w:lang w:val="en-US" w:eastAsia="zh-CN"/>
        </w:rPr>
        <w:t>6</w:t>
      </w:r>
      <w:r>
        <w:rPr>
          <w:rFonts w:hint="default" w:ascii="宋体" w:hAnsi="宋体" w:eastAsia="宋体" w:cs="Times New Roman"/>
          <w:b/>
          <w:sz w:val="44"/>
          <w:szCs w:val="44"/>
          <w:lang w:val="en-US" w:eastAsia="zh-CN"/>
        </w:rPr>
        <w:t>年财政预算草案的报告</w:t>
      </w:r>
    </w:p>
    <w:p w14:paraId="2D8BB33A">
      <w:pPr>
        <w:keepNext w:val="0"/>
        <w:keepLines w:val="0"/>
        <w:pageBreakBefore w:val="0"/>
        <w:tabs>
          <w:tab w:val="left" w:pos="945"/>
        </w:tabs>
        <w:kinsoku/>
        <w:wordWrap/>
        <w:overflowPunct/>
        <w:topLinePunct w:val="0"/>
        <w:autoSpaceDE/>
        <w:autoSpaceDN/>
        <w:bidi w:val="0"/>
        <w:adjustRightInd/>
        <w:snapToGrid/>
        <w:spacing w:line="600" w:lineRule="exact"/>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各位代表：</w:t>
      </w:r>
    </w:p>
    <w:p w14:paraId="571025D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受乡人民政府委托，现向大会报告</w:t>
      </w:r>
      <w:r>
        <w:rPr>
          <w:rFonts w:hint="default" w:ascii="仿宋_GB2312" w:hAnsi="宋体" w:eastAsia="仿宋_GB2312" w:cs="Times New Roman"/>
          <w:color w:val="auto"/>
          <w:kern w:val="2"/>
          <w:sz w:val="32"/>
          <w:szCs w:val="32"/>
          <w:lang w:val="en-US" w:eastAsia="zh-CN" w:bidi="ar-SA"/>
        </w:rPr>
        <w:t>2025年</w:t>
      </w:r>
      <w:r>
        <w:rPr>
          <w:rFonts w:hint="eastAsia" w:ascii="仿宋_GB2312" w:hAnsi="宋体" w:eastAsia="仿宋_GB2312" w:cs="Times New Roman"/>
          <w:color w:val="auto"/>
          <w:kern w:val="2"/>
          <w:sz w:val="32"/>
          <w:szCs w:val="32"/>
          <w:lang w:val="en-US" w:eastAsia="zh-CN" w:bidi="ar-SA"/>
        </w:rPr>
        <w:t>财政预算执行情况</w:t>
      </w:r>
      <w:r>
        <w:rPr>
          <w:rFonts w:hint="default" w:ascii="仿宋_GB2312" w:hAnsi="宋体" w:eastAsia="仿宋_GB2312" w:cs="Times New Roman"/>
          <w:color w:val="auto"/>
          <w:kern w:val="2"/>
          <w:sz w:val="32"/>
          <w:szCs w:val="32"/>
          <w:lang w:val="en-US" w:eastAsia="zh-CN" w:bidi="ar-SA"/>
        </w:rPr>
        <w:t>与2026年</w:t>
      </w:r>
      <w:r>
        <w:rPr>
          <w:rFonts w:hint="eastAsia" w:ascii="仿宋_GB2312" w:hAnsi="宋体" w:eastAsia="仿宋_GB2312" w:cs="Times New Roman"/>
          <w:color w:val="auto"/>
          <w:kern w:val="2"/>
          <w:sz w:val="32"/>
          <w:szCs w:val="32"/>
          <w:lang w:val="en-US" w:eastAsia="zh-CN" w:bidi="ar-SA"/>
        </w:rPr>
        <w:t>财政</w:t>
      </w:r>
      <w:r>
        <w:rPr>
          <w:rFonts w:hint="default" w:ascii="仿宋_GB2312" w:hAnsi="宋体" w:eastAsia="仿宋_GB2312" w:cs="Times New Roman"/>
          <w:color w:val="auto"/>
          <w:kern w:val="2"/>
          <w:sz w:val="32"/>
          <w:szCs w:val="32"/>
          <w:lang w:val="en-US" w:eastAsia="zh-CN" w:bidi="ar-SA"/>
        </w:rPr>
        <w:t>预算草案，请予审议，</w:t>
      </w:r>
      <w:r>
        <w:rPr>
          <w:rFonts w:hint="eastAsia" w:ascii="仿宋_GB2312" w:hAnsi="宋体" w:eastAsia="仿宋_GB2312" w:cs="Times New Roman"/>
          <w:color w:val="auto"/>
          <w:kern w:val="2"/>
          <w:sz w:val="32"/>
          <w:szCs w:val="32"/>
          <w:lang w:val="en-US" w:eastAsia="zh-CN" w:bidi="ar-SA"/>
        </w:rPr>
        <w:t>并请列席会议的同志提出意见。</w:t>
      </w:r>
    </w:p>
    <w:p w14:paraId="69DA494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一、20</w:t>
      </w:r>
      <w:r>
        <w:rPr>
          <w:rFonts w:hint="eastAsia" w:ascii="黑体" w:hAnsi="黑体" w:eastAsia="黑体" w:cs="黑体"/>
          <w:b w:val="0"/>
          <w:bCs/>
          <w:color w:val="auto"/>
          <w:sz w:val="32"/>
          <w:szCs w:val="32"/>
          <w:lang w:val="en-US" w:eastAsia="zh-CN"/>
        </w:rPr>
        <w:t>25</w:t>
      </w:r>
      <w:r>
        <w:rPr>
          <w:rFonts w:hint="eastAsia" w:ascii="黑体" w:hAnsi="黑体" w:eastAsia="黑体" w:cs="黑体"/>
          <w:b w:val="0"/>
          <w:bCs/>
          <w:color w:val="auto"/>
          <w:sz w:val="32"/>
          <w:szCs w:val="32"/>
        </w:rPr>
        <w:t>年财政预算执行情况</w:t>
      </w:r>
    </w:p>
    <w:p w14:paraId="7913C22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2025年，在乡党委、政府的正确领导下，在乡人大的依法监督和大力支持下，全乡财政工作深入贯彻党的二十大和二十届历次全会精神以及习近平总书记考察江西重要讲话精神，全面贯彻新发展理念，紧紧围绕勒功乡经济社会发展大局，坚持稳中求进工作总基调，牢固树立过紧日子思想，持续优化财政支出结构，以零基预算改革为抓手，锚定“保基本民生、保工资、保运转”核心底线，积极应对经济下行压力，财政收支实现平衡，较好地完成了目标任务。</w:t>
      </w:r>
    </w:p>
    <w:p w14:paraId="5C1569E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62" w:lineRule="atLeast"/>
        <w:ind w:left="0" w:right="0" w:firstLine="648"/>
        <w:jc w:val="both"/>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（一）预算执行情况</w:t>
      </w:r>
    </w:p>
    <w:p w14:paraId="12FA9F6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562" w:lineRule="atLeast"/>
        <w:ind w:left="0" w:right="0" w:firstLine="648"/>
        <w:jc w:val="both"/>
        <w:rPr>
          <w:rFonts w:hint="eastAsia" w:ascii="仿宋_GB2312" w:hAnsi="Times New Roman" w:eastAsia="仿宋_GB2312" w:cs="Times New Roman"/>
          <w:color w:val="auto"/>
          <w:kern w:val="2"/>
          <w:sz w:val="32"/>
          <w:szCs w:val="32"/>
          <w:lang w:val="en-US" w:eastAsia="zh-CN" w:bidi="ar-SA"/>
        </w:rPr>
      </w:pPr>
      <w:r>
        <w:rPr>
          <w:rFonts w:hint="default" w:ascii="仿宋_GB2312" w:hAnsi="Times New Roman" w:eastAsia="仿宋_GB2312" w:cs="Times New Roman"/>
          <w:color w:val="auto"/>
          <w:kern w:val="2"/>
          <w:sz w:val="32"/>
          <w:szCs w:val="32"/>
          <w:lang w:val="en-US" w:eastAsia="zh-CN" w:bidi="ar-SA"/>
        </w:rPr>
        <w:t>1.</w:t>
      </w:r>
      <w:r>
        <w:rPr>
          <w:rFonts w:hint="eastAsia" w:ascii="仿宋_GB2312" w:hAnsi="Times New Roman" w:eastAsia="仿宋_GB2312" w:cs="Times New Roman"/>
          <w:color w:val="auto"/>
          <w:kern w:val="2"/>
          <w:sz w:val="32"/>
          <w:szCs w:val="32"/>
          <w:lang w:val="en-US" w:eastAsia="zh-CN" w:bidi="ar-SA"/>
        </w:rPr>
        <w:t>一般公共预算执行情况</w:t>
      </w:r>
    </w:p>
    <w:p w14:paraId="0DF7F1F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default" w:ascii="仿宋_GB2312" w:hAnsi="宋体" w:eastAsia="仿宋_GB2312" w:cs="Times New Roman"/>
          <w:color w:val="auto"/>
          <w:kern w:val="2"/>
          <w:sz w:val="32"/>
          <w:szCs w:val="32"/>
          <w:lang w:val="en-US" w:eastAsia="zh-CN" w:bidi="ar-SA"/>
        </w:rPr>
      </w:pPr>
      <w:r>
        <w:rPr>
          <w:rFonts w:hint="default" w:ascii="仿宋_GB2312" w:hAnsi="宋体" w:eastAsia="仿宋_GB2312" w:cs="Times New Roman"/>
          <w:color w:val="auto"/>
          <w:kern w:val="2"/>
          <w:sz w:val="32"/>
          <w:szCs w:val="32"/>
          <w:lang w:val="en-US" w:eastAsia="zh-CN" w:bidi="ar-SA"/>
        </w:rPr>
        <w:t>2025</w:t>
      </w:r>
      <w:r>
        <w:rPr>
          <w:rFonts w:hint="eastAsia" w:ascii="仿宋_GB2312" w:hAnsi="宋体" w:eastAsia="仿宋_GB2312" w:cs="Times New Roman"/>
          <w:color w:val="auto"/>
          <w:kern w:val="2"/>
          <w:sz w:val="32"/>
          <w:szCs w:val="32"/>
          <w:lang w:val="en-US" w:eastAsia="zh-CN" w:bidi="ar-SA"/>
        </w:rPr>
        <w:t>年</w:t>
      </w:r>
      <w:r>
        <w:rPr>
          <w:rFonts w:hint="default" w:ascii="仿宋_GB2312" w:hAnsi="宋体" w:eastAsia="仿宋_GB2312" w:cs="Times New Roman"/>
          <w:color w:val="auto"/>
          <w:kern w:val="2"/>
          <w:sz w:val="32"/>
          <w:szCs w:val="32"/>
          <w:lang w:val="en-US" w:eastAsia="zh-CN" w:bidi="ar-SA"/>
        </w:rPr>
        <w:t>全</w:t>
      </w:r>
      <w:r>
        <w:rPr>
          <w:rFonts w:hint="eastAsia" w:ascii="仿宋_GB2312" w:hAnsi="宋体" w:eastAsia="仿宋_GB2312" w:cs="Times New Roman"/>
          <w:color w:val="auto"/>
          <w:kern w:val="2"/>
          <w:sz w:val="32"/>
          <w:szCs w:val="32"/>
          <w:lang w:val="en-US" w:eastAsia="zh-CN" w:bidi="ar-SA"/>
        </w:rPr>
        <w:t>乡</w:t>
      </w:r>
      <w:r>
        <w:rPr>
          <w:rFonts w:hint="default" w:ascii="仿宋_GB2312" w:hAnsi="宋体" w:eastAsia="仿宋_GB2312" w:cs="Times New Roman"/>
          <w:color w:val="auto"/>
          <w:kern w:val="2"/>
          <w:sz w:val="32"/>
          <w:szCs w:val="32"/>
          <w:lang w:val="en-US" w:eastAsia="zh-CN" w:bidi="ar-SA"/>
        </w:rPr>
        <w:t>一般公共预算收入完成</w:t>
      </w:r>
      <w:r>
        <w:rPr>
          <w:rFonts w:hint="eastAsia" w:ascii="仿宋_GB2312" w:hAnsi="宋体" w:eastAsia="仿宋_GB2312" w:cs="Times New Roman"/>
          <w:color w:val="auto"/>
          <w:kern w:val="2"/>
          <w:sz w:val="32"/>
          <w:szCs w:val="32"/>
          <w:lang w:val="en-US" w:eastAsia="zh-CN" w:bidi="ar-SA"/>
        </w:rPr>
        <w:t>302.3万</w:t>
      </w:r>
      <w:r>
        <w:rPr>
          <w:rFonts w:hint="default" w:ascii="仿宋_GB2312" w:hAnsi="宋体" w:eastAsia="仿宋_GB2312" w:cs="Times New Roman"/>
          <w:color w:val="auto"/>
          <w:kern w:val="2"/>
          <w:sz w:val="32"/>
          <w:szCs w:val="32"/>
          <w:lang w:val="en-US" w:eastAsia="zh-CN" w:bidi="ar-SA"/>
        </w:rPr>
        <w:t>元。</w:t>
      </w:r>
    </w:p>
    <w:p w14:paraId="64061B7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全乡一般公共预算支出为2441.1万元，主要执行情况是：一般公共服务支出727万元，国防支出5万元，公共安全支出9万元，科学技术支出19.3万元，文化旅游体育与传媒支出7.7万元，社会保障和就业支出199万元，卫生和健康支出18.2万元，节能环保支出130.2万元，城乡社区事务支出103万元，农林水支出1066.1万元，资源勘探工业信息等支出51.7万元，住房保障支出93.3万元，灾害防治及应急管理支出8.3万元，其他支出3.3万元。</w:t>
      </w:r>
    </w:p>
    <w:p w14:paraId="23236E7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r>
        <w:rPr>
          <w:rFonts w:hint="default" w:ascii="仿宋_GB2312" w:hAnsi="宋体" w:eastAsia="仿宋_GB2312" w:cs="Times New Roman"/>
          <w:color w:val="auto"/>
          <w:kern w:val="2"/>
          <w:sz w:val="32"/>
          <w:szCs w:val="32"/>
          <w:lang w:val="en-US" w:eastAsia="zh-CN" w:bidi="ar-SA"/>
        </w:rPr>
        <w:t>全</w:t>
      </w:r>
      <w:r>
        <w:rPr>
          <w:rFonts w:hint="eastAsia" w:ascii="仿宋_GB2312" w:hAnsi="宋体" w:eastAsia="仿宋_GB2312" w:cs="Times New Roman"/>
          <w:color w:val="auto"/>
          <w:kern w:val="2"/>
          <w:sz w:val="32"/>
          <w:szCs w:val="32"/>
          <w:lang w:val="en-US" w:eastAsia="zh-CN" w:bidi="ar-SA"/>
        </w:rPr>
        <w:t>乡</w:t>
      </w:r>
      <w:r>
        <w:rPr>
          <w:rFonts w:hint="default" w:ascii="仿宋_GB2312" w:hAnsi="宋体" w:eastAsia="仿宋_GB2312" w:cs="Times New Roman"/>
          <w:color w:val="auto"/>
          <w:kern w:val="2"/>
          <w:sz w:val="32"/>
          <w:szCs w:val="32"/>
          <w:lang w:val="en-US" w:eastAsia="zh-CN" w:bidi="ar-SA"/>
        </w:rPr>
        <w:t>一般公共预算收入加上体制性转移支付、财力性转移支付、专项转移支付、上年结余等，合计</w:t>
      </w:r>
      <w:r>
        <w:rPr>
          <w:rFonts w:hint="eastAsia" w:ascii="仿宋_GB2312" w:hAnsi="宋体" w:eastAsia="仿宋_GB2312" w:cs="Times New Roman"/>
          <w:color w:val="auto"/>
          <w:kern w:val="2"/>
          <w:sz w:val="32"/>
          <w:szCs w:val="32"/>
          <w:lang w:val="en-US" w:eastAsia="zh-CN" w:bidi="ar-SA"/>
        </w:rPr>
        <w:t>2994万</w:t>
      </w:r>
      <w:r>
        <w:rPr>
          <w:rFonts w:hint="default" w:ascii="仿宋_GB2312" w:hAnsi="宋体" w:eastAsia="仿宋_GB2312" w:cs="Times New Roman"/>
          <w:color w:val="auto"/>
          <w:kern w:val="2"/>
          <w:sz w:val="32"/>
          <w:szCs w:val="32"/>
          <w:lang w:val="en-US" w:eastAsia="zh-CN" w:bidi="ar-SA"/>
        </w:rPr>
        <w:t>元</w:t>
      </w:r>
      <w:r>
        <w:rPr>
          <w:rFonts w:hint="eastAsia" w:ascii="仿宋_GB2312" w:hAnsi="宋体" w:eastAsia="仿宋_GB2312" w:cs="Times New Roman"/>
          <w:color w:val="auto"/>
          <w:kern w:val="2"/>
          <w:sz w:val="32"/>
          <w:szCs w:val="32"/>
          <w:lang w:val="en-US" w:eastAsia="zh-CN" w:bidi="ar-SA"/>
        </w:rPr>
        <w:t>。</w:t>
      </w:r>
      <w:r>
        <w:rPr>
          <w:rFonts w:hint="default" w:ascii="仿宋_GB2312" w:hAnsi="宋体" w:eastAsia="仿宋_GB2312" w:cs="Times New Roman"/>
          <w:color w:val="auto"/>
          <w:kern w:val="2"/>
          <w:sz w:val="32"/>
          <w:szCs w:val="32"/>
          <w:lang w:val="en-US" w:eastAsia="zh-CN" w:bidi="ar-SA"/>
        </w:rPr>
        <w:t>一般公共预算支出加上解支出、结转下年支出、补充预算稳定调节基金等</w:t>
      </w:r>
      <w:r>
        <w:rPr>
          <w:rFonts w:hint="eastAsia" w:ascii="仿宋_GB2312" w:hAnsi="宋体" w:eastAsia="仿宋_GB2312" w:cs="Times New Roman"/>
          <w:color w:val="auto"/>
          <w:kern w:val="2"/>
          <w:sz w:val="32"/>
          <w:szCs w:val="32"/>
          <w:lang w:val="en-US" w:eastAsia="zh-CN" w:bidi="ar-SA"/>
        </w:rPr>
        <w:t>，</w:t>
      </w:r>
      <w:r>
        <w:rPr>
          <w:rFonts w:hint="default" w:ascii="仿宋_GB2312" w:hAnsi="宋体" w:eastAsia="仿宋_GB2312" w:cs="Times New Roman"/>
          <w:color w:val="auto"/>
          <w:kern w:val="2"/>
          <w:sz w:val="32"/>
          <w:szCs w:val="32"/>
          <w:lang w:val="en-US" w:eastAsia="zh-CN" w:bidi="ar-SA"/>
        </w:rPr>
        <w:t>合计</w:t>
      </w:r>
      <w:r>
        <w:rPr>
          <w:rFonts w:hint="eastAsia" w:ascii="仿宋_GB2312" w:hAnsi="宋体" w:eastAsia="仿宋_GB2312" w:cs="Times New Roman"/>
          <w:color w:val="auto"/>
          <w:kern w:val="2"/>
          <w:sz w:val="32"/>
          <w:szCs w:val="32"/>
          <w:lang w:val="en-US" w:eastAsia="zh-CN" w:bidi="ar-SA"/>
        </w:rPr>
        <w:t>2994万</w:t>
      </w:r>
      <w:r>
        <w:rPr>
          <w:rFonts w:hint="default" w:ascii="仿宋_GB2312" w:hAnsi="宋体" w:eastAsia="仿宋_GB2312" w:cs="Times New Roman"/>
          <w:color w:val="auto"/>
          <w:kern w:val="2"/>
          <w:sz w:val="32"/>
          <w:szCs w:val="32"/>
          <w:lang w:val="en-US" w:eastAsia="zh-CN" w:bidi="ar-SA"/>
        </w:rPr>
        <w:t>元，全年一般公共预算收支平衡。</w:t>
      </w:r>
    </w:p>
    <w:p w14:paraId="74050C3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2.政府性基金预算执行情况</w:t>
      </w:r>
    </w:p>
    <w:p w14:paraId="4F12922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2025年</w:t>
      </w:r>
      <w:r>
        <w:rPr>
          <w:rFonts w:hint="default" w:ascii="仿宋_GB2312" w:hAnsi="宋体" w:eastAsia="仿宋_GB2312" w:cs="Times New Roman"/>
          <w:color w:val="auto"/>
          <w:kern w:val="2"/>
          <w:sz w:val="32"/>
          <w:szCs w:val="32"/>
          <w:lang w:val="en-US" w:eastAsia="zh-CN" w:bidi="ar-SA"/>
        </w:rPr>
        <w:t>全</w:t>
      </w:r>
      <w:r>
        <w:rPr>
          <w:rFonts w:hint="eastAsia" w:ascii="仿宋_GB2312" w:hAnsi="宋体" w:eastAsia="仿宋_GB2312" w:cs="Times New Roman"/>
          <w:color w:val="auto"/>
          <w:kern w:val="2"/>
          <w:sz w:val="32"/>
          <w:szCs w:val="32"/>
          <w:lang w:val="en-US" w:eastAsia="zh-CN" w:bidi="ar-SA"/>
        </w:rPr>
        <w:t>乡政府性基金</w:t>
      </w:r>
      <w:r>
        <w:rPr>
          <w:rFonts w:hint="default" w:ascii="仿宋_GB2312" w:hAnsi="宋体" w:eastAsia="仿宋_GB2312" w:cs="Times New Roman"/>
          <w:color w:val="auto"/>
          <w:kern w:val="2"/>
          <w:sz w:val="32"/>
          <w:szCs w:val="32"/>
          <w:lang w:val="en-US" w:eastAsia="zh-CN" w:bidi="ar-SA"/>
        </w:rPr>
        <w:t>预算</w:t>
      </w:r>
      <w:r>
        <w:rPr>
          <w:rFonts w:hint="eastAsia" w:ascii="仿宋_GB2312" w:hAnsi="宋体" w:eastAsia="仿宋_GB2312" w:cs="Times New Roman"/>
          <w:color w:val="auto"/>
          <w:kern w:val="2"/>
          <w:sz w:val="32"/>
          <w:szCs w:val="32"/>
          <w:lang w:val="en-US" w:eastAsia="zh-CN" w:bidi="ar-SA"/>
        </w:rPr>
        <w:t>上级补助298.8万</w:t>
      </w:r>
      <w:r>
        <w:rPr>
          <w:rFonts w:hint="default" w:ascii="仿宋_GB2312" w:hAnsi="宋体" w:eastAsia="仿宋_GB2312" w:cs="Times New Roman"/>
          <w:color w:val="auto"/>
          <w:kern w:val="2"/>
          <w:sz w:val="32"/>
          <w:szCs w:val="32"/>
          <w:lang w:val="en-US" w:eastAsia="zh-CN" w:bidi="ar-SA"/>
        </w:rPr>
        <w:t>元</w:t>
      </w:r>
      <w:r>
        <w:rPr>
          <w:rFonts w:hint="eastAsia" w:ascii="仿宋_GB2312" w:hAnsi="宋体" w:eastAsia="仿宋_GB2312" w:cs="Times New Roman"/>
          <w:color w:val="auto"/>
          <w:kern w:val="2"/>
          <w:sz w:val="32"/>
          <w:szCs w:val="32"/>
          <w:lang w:val="en-US" w:eastAsia="zh-CN" w:bidi="ar-SA"/>
        </w:rPr>
        <w:t>，上年结余收入179.1万元，合计477.9万元。</w:t>
      </w:r>
    </w:p>
    <w:p w14:paraId="4EC7C64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全乡政府性基金</w:t>
      </w:r>
      <w:r>
        <w:rPr>
          <w:rFonts w:hint="default" w:ascii="仿宋_GB2312" w:hAnsi="宋体" w:eastAsia="仿宋_GB2312" w:cs="Times New Roman"/>
          <w:color w:val="auto"/>
          <w:kern w:val="2"/>
          <w:sz w:val="32"/>
          <w:szCs w:val="32"/>
          <w:lang w:val="en-US" w:eastAsia="zh-CN" w:bidi="ar-SA"/>
        </w:rPr>
        <w:t>预算</w:t>
      </w:r>
      <w:r>
        <w:rPr>
          <w:rFonts w:hint="eastAsia" w:ascii="仿宋_GB2312" w:hAnsi="宋体" w:eastAsia="仿宋_GB2312" w:cs="Times New Roman"/>
          <w:color w:val="auto"/>
          <w:kern w:val="2"/>
          <w:sz w:val="32"/>
          <w:szCs w:val="32"/>
          <w:lang w:val="en-US" w:eastAsia="zh-CN" w:bidi="ar-SA"/>
        </w:rPr>
        <w:t>支出为477.9万元，主要执行情况是：国有土地使用权出让相关支出123.2万元，车辆通行费相关支出37.9万元，彩票公益金安排的支出213.6万元，其他各项政府性基金相关支出103.2万元。</w:t>
      </w:r>
    </w:p>
    <w:p w14:paraId="3A0CA02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黑体" w:hAnsi="黑体" w:eastAsia="黑体" w:cs="黑体"/>
          <w:b w:val="0"/>
          <w:bCs/>
          <w:color w:val="auto"/>
          <w:sz w:val="32"/>
          <w:szCs w:val="32"/>
        </w:rPr>
        <w:t>二、20</w:t>
      </w:r>
      <w:r>
        <w:rPr>
          <w:rFonts w:hint="eastAsia" w:ascii="黑体" w:hAnsi="黑体" w:eastAsia="黑体" w:cs="黑体"/>
          <w:b w:val="0"/>
          <w:bCs/>
          <w:color w:val="auto"/>
          <w:sz w:val="32"/>
          <w:szCs w:val="32"/>
          <w:lang w:val="en-US" w:eastAsia="zh-CN"/>
        </w:rPr>
        <w:t>25</w:t>
      </w:r>
      <w:r>
        <w:rPr>
          <w:rFonts w:hint="eastAsia" w:ascii="黑体" w:hAnsi="黑体" w:eastAsia="黑体" w:cs="黑体"/>
          <w:b w:val="0"/>
          <w:bCs/>
          <w:color w:val="auto"/>
          <w:sz w:val="32"/>
          <w:szCs w:val="32"/>
        </w:rPr>
        <w:t>年主要财政工作</w:t>
      </w:r>
    </w:p>
    <w:p w14:paraId="513090D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2025年，勒功乡财政工作在乡党委、政府的坚强领导下，积极服务全乡发展大局，</w:t>
      </w:r>
      <w:r>
        <w:rPr>
          <w:rFonts w:hint="default" w:ascii="仿宋_GB2312" w:hAnsi="宋体" w:eastAsia="仿宋_GB2312" w:cs="Times New Roman"/>
          <w:color w:val="auto"/>
          <w:kern w:val="2"/>
          <w:sz w:val="32"/>
          <w:szCs w:val="32"/>
          <w:lang w:val="en-US" w:eastAsia="zh-CN" w:bidi="ar-SA"/>
        </w:rPr>
        <w:t>着力发挥财政职能</w:t>
      </w:r>
      <w:r>
        <w:rPr>
          <w:rFonts w:hint="eastAsia" w:ascii="仿宋_GB2312" w:hAnsi="宋体" w:eastAsia="仿宋_GB2312" w:cs="Times New Roman"/>
          <w:color w:val="auto"/>
          <w:kern w:val="2"/>
          <w:sz w:val="32"/>
          <w:szCs w:val="32"/>
          <w:lang w:val="en-US" w:eastAsia="zh-CN" w:bidi="ar-SA"/>
        </w:rPr>
        <w:t>，切实保证正常运转和保障民生支出，较好地完成了全年各项财政工作，主要有以下几方面工作：</w:t>
      </w:r>
    </w:p>
    <w:p w14:paraId="3982EE0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p>
    <w:p w14:paraId="1CFDBA4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p>
    <w:p w14:paraId="31333E03">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挖掘增量潜力，统筹各项收入</w:t>
      </w:r>
    </w:p>
    <w:p w14:paraId="5A4CC00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坚持把依法征收、应收尽收作为组织税收收入的根本原则，持续加强税收征管，着力盘活存量税源，增强财政保障能力。严格执行“收支两条线”管理制度，加强对非税收入项目、标准和资金入库情况的监督，防止坐收坐支和随意减免，确保非税收入征收规范、使用安全。</w:t>
      </w:r>
    </w:p>
    <w:p w14:paraId="0CE0DD9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bCs/>
          <w:color w:val="auto"/>
          <w:sz w:val="32"/>
          <w:szCs w:val="32"/>
          <w:lang w:val="en-US" w:eastAsia="zh-CN"/>
        </w:rPr>
      </w:pPr>
      <w:r>
        <w:rPr>
          <w:rFonts w:hint="eastAsia" w:ascii="楷体" w:hAnsi="楷体" w:eastAsia="楷体" w:cs="楷体"/>
          <w:b w:val="0"/>
          <w:bCs w:val="0"/>
          <w:color w:val="auto"/>
          <w:sz w:val="32"/>
          <w:szCs w:val="32"/>
          <w:lang w:val="en-US" w:eastAsia="zh-CN"/>
        </w:rPr>
        <w:t>（二）科学编制预算，优化资金结构</w:t>
      </w:r>
    </w:p>
    <w:p w14:paraId="6A39706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坚持“保基本、兜底线、促发展”原则，结合勒功乡实际，加强财政科学管理，合理编制预算，细化分类项目，牢固树立过紧日子的思想，严格控制“三公经费”支出，有效降低行政运行成本，大力压减非刚性非重点支出，确保资金投向关键领域和薄弱环节。</w:t>
      </w:r>
    </w:p>
    <w:p w14:paraId="506492E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default" w:ascii="楷体" w:hAnsi="楷体" w:eastAsia="楷体" w:cs="楷体"/>
          <w:b w:val="0"/>
          <w:bCs w:val="0"/>
          <w:color w:val="auto"/>
          <w:kern w:val="2"/>
          <w:sz w:val="32"/>
          <w:szCs w:val="32"/>
          <w:lang w:val="en-US" w:eastAsia="zh-CN" w:bidi="ar-SA"/>
        </w:rPr>
      </w:pPr>
      <w:r>
        <w:rPr>
          <w:rFonts w:hint="eastAsia" w:ascii="楷体" w:hAnsi="楷体" w:eastAsia="楷体" w:cs="楷体"/>
          <w:b w:val="0"/>
          <w:bCs w:val="0"/>
          <w:color w:val="auto"/>
          <w:kern w:val="2"/>
          <w:sz w:val="32"/>
          <w:szCs w:val="32"/>
          <w:lang w:val="en-US" w:eastAsia="zh-CN" w:bidi="ar-SA"/>
        </w:rPr>
        <w:t>（三）健全各项制度，完善财务管理</w:t>
      </w:r>
    </w:p>
    <w:p w14:paraId="30B8D15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根据上级文件精神制定《勒功乡差旅费管理办法（试行）》、《勒功乡会议、活动和培训计划编报和审批制度（试行）》、《关于进一步规范全乡财务报销的通知》、</w:t>
      </w:r>
      <w:r>
        <w:rPr>
          <w:rFonts w:hint="eastAsia" w:ascii="仿宋_GB2312" w:eastAsia="仿宋_GB2312"/>
          <w:color w:val="auto"/>
          <w:sz w:val="32"/>
          <w:szCs w:val="32"/>
          <w:lang w:val="en-US" w:eastAsia="zh-CN"/>
        </w:rPr>
        <w:t>《勒功乡行政事业单位国有资产配置管理暂行办法》</w:t>
      </w:r>
      <w:r>
        <w:rPr>
          <w:rFonts w:hint="eastAsia" w:ascii="仿宋_GB2312" w:hAnsi="宋体" w:eastAsia="仿宋_GB2312" w:cs="Times New Roman"/>
          <w:color w:val="auto"/>
          <w:kern w:val="2"/>
          <w:sz w:val="32"/>
          <w:szCs w:val="32"/>
          <w:lang w:val="en-US" w:eastAsia="zh-CN" w:bidi="ar-SA"/>
        </w:rPr>
        <w:t>、《勒功乡行政事业单位国有资产使用管理暂行办法》、《勒功乡行政事业单位国有资产处置管理暂行办法》等文件，进一步健全和完善财务管理和审批制度。</w:t>
      </w:r>
    </w:p>
    <w:p w14:paraId="5437FD8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（四）实施绩效管理，筑牢监管屏障</w:t>
      </w:r>
    </w:p>
    <w:p w14:paraId="6721FE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建立“预算编制有目标、执行过程有监控、完成结果有评价”的全过程绩效管理体系。</w:t>
      </w:r>
      <w:r>
        <w:rPr>
          <w:rFonts w:hint="default" w:ascii="仿宋_GB2312" w:hAnsi="宋体" w:eastAsia="仿宋_GB2312" w:cs="Times New Roman"/>
          <w:color w:val="auto"/>
          <w:kern w:val="2"/>
          <w:sz w:val="32"/>
          <w:szCs w:val="32"/>
          <w:lang w:val="en-US" w:eastAsia="zh-CN" w:bidi="ar-SA"/>
        </w:rPr>
        <w:t>202</w:t>
      </w:r>
      <w:r>
        <w:rPr>
          <w:rFonts w:hint="eastAsia" w:ascii="仿宋_GB2312" w:hAnsi="宋体" w:eastAsia="仿宋_GB2312" w:cs="Times New Roman"/>
          <w:color w:val="auto"/>
          <w:kern w:val="2"/>
          <w:sz w:val="32"/>
          <w:szCs w:val="32"/>
          <w:lang w:val="en-US" w:eastAsia="zh-CN" w:bidi="ar-SA"/>
        </w:rPr>
        <w:t>5</w:t>
      </w:r>
      <w:r>
        <w:rPr>
          <w:rFonts w:hint="default" w:ascii="仿宋_GB2312" w:hAnsi="宋体" w:eastAsia="仿宋_GB2312" w:cs="Times New Roman"/>
          <w:color w:val="auto"/>
          <w:kern w:val="2"/>
          <w:sz w:val="32"/>
          <w:szCs w:val="32"/>
          <w:lang w:val="en-US" w:eastAsia="zh-CN" w:bidi="ar-SA"/>
        </w:rPr>
        <w:t>年积极开展</w:t>
      </w:r>
      <w:r>
        <w:rPr>
          <w:rFonts w:hint="eastAsia" w:ascii="仿宋_GB2312" w:hAnsi="宋体" w:eastAsia="仿宋_GB2312" w:cs="Times New Roman"/>
          <w:color w:val="auto"/>
          <w:kern w:val="2"/>
          <w:sz w:val="32"/>
          <w:szCs w:val="32"/>
          <w:lang w:val="en-US" w:eastAsia="zh-CN" w:bidi="ar-SA"/>
        </w:rPr>
        <w:t>197项财政绩效评价</w:t>
      </w:r>
      <w:r>
        <w:rPr>
          <w:rFonts w:hint="default" w:ascii="仿宋_GB2312" w:hAnsi="宋体" w:eastAsia="仿宋_GB2312" w:cs="Times New Roman"/>
          <w:color w:val="auto"/>
          <w:kern w:val="2"/>
          <w:sz w:val="32"/>
          <w:szCs w:val="32"/>
          <w:lang w:val="en-US" w:eastAsia="zh-CN" w:bidi="ar-SA"/>
        </w:rPr>
        <w:t>，</w:t>
      </w:r>
      <w:r>
        <w:rPr>
          <w:rFonts w:hint="eastAsia" w:ascii="仿宋_GB2312" w:hAnsi="宋体" w:eastAsia="仿宋_GB2312" w:cs="Times New Roman"/>
          <w:color w:val="auto"/>
          <w:kern w:val="2"/>
          <w:sz w:val="32"/>
          <w:szCs w:val="32"/>
          <w:lang w:val="en-US" w:eastAsia="zh-CN" w:bidi="ar-SA"/>
        </w:rPr>
        <w:t>涉及</w:t>
      </w:r>
      <w:r>
        <w:rPr>
          <w:rFonts w:hint="default" w:ascii="仿宋_GB2312" w:hAnsi="宋体" w:eastAsia="仿宋_GB2312" w:cs="Times New Roman"/>
          <w:color w:val="auto"/>
          <w:kern w:val="2"/>
          <w:sz w:val="32"/>
          <w:szCs w:val="32"/>
          <w:lang w:val="en-US" w:eastAsia="zh-CN" w:bidi="ar-SA"/>
        </w:rPr>
        <w:t>金额</w:t>
      </w:r>
      <w:r>
        <w:rPr>
          <w:rFonts w:hint="eastAsia" w:ascii="仿宋_GB2312" w:hAnsi="宋体" w:eastAsia="仿宋_GB2312" w:cs="Times New Roman"/>
          <w:color w:val="auto"/>
          <w:kern w:val="2"/>
          <w:sz w:val="32"/>
          <w:szCs w:val="32"/>
          <w:lang w:val="en-US" w:eastAsia="zh-CN" w:bidi="ar-SA"/>
        </w:rPr>
        <w:t>2881万</w:t>
      </w:r>
      <w:r>
        <w:rPr>
          <w:rFonts w:hint="default" w:ascii="仿宋_GB2312" w:hAnsi="宋体" w:eastAsia="仿宋_GB2312" w:cs="Times New Roman"/>
          <w:color w:val="auto"/>
          <w:kern w:val="2"/>
          <w:sz w:val="32"/>
          <w:szCs w:val="32"/>
          <w:lang w:val="en-US" w:eastAsia="zh-CN" w:bidi="ar-SA"/>
        </w:rPr>
        <w:t>元</w:t>
      </w:r>
      <w:r>
        <w:rPr>
          <w:rFonts w:hint="eastAsia" w:ascii="仿宋_GB2312" w:hAnsi="宋体" w:eastAsia="仿宋_GB2312" w:cs="Times New Roman"/>
          <w:color w:val="auto"/>
          <w:kern w:val="2"/>
          <w:sz w:val="32"/>
          <w:szCs w:val="32"/>
          <w:lang w:val="en-US" w:eastAsia="zh-CN" w:bidi="ar-SA"/>
        </w:rPr>
        <w:t>，运用一体化平台实时规范支付、资金沉淀等问题，及时督促整改，强化绩效结果应用，有效提升了财政资金使用效能。</w:t>
      </w:r>
    </w:p>
    <w:p w14:paraId="20983D4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（五）增进民生福祉，推动项目落地</w:t>
      </w:r>
    </w:p>
    <w:p w14:paraId="41043A2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default" w:ascii="仿宋_GB2312" w:eastAsia="仿宋_GB2312"/>
          <w:color w:val="auto"/>
          <w:sz w:val="32"/>
          <w:szCs w:val="32"/>
          <w:lang w:val="en-US" w:eastAsia="zh-CN"/>
        </w:rPr>
      </w:pPr>
      <w:r>
        <w:rPr>
          <w:rFonts w:hint="eastAsia" w:ascii="仿宋_GB2312" w:hAnsi="宋体" w:eastAsia="仿宋_GB2312" w:cs="Times New Roman"/>
          <w:color w:val="auto"/>
          <w:kern w:val="2"/>
          <w:sz w:val="32"/>
          <w:szCs w:val="32"/>
          <w:lang w:val="en-US" w:eastAsia="zh-CN" w:bidi="ar-SA"/>
        </w:rPr>
        <w:t>2025年争取财政奖补农村综合公益事业项目4个77万元；革命老区专项转移支付项目1个57万元，推动勒功乡烈士陵园停车场建设、九龙山社区居民活动场地建设、杨家坂村洪坑坞公墓道路新建、石溪村一组机耕道硬化、白茅村罗家组大坞口至弯头和罗家自然村道路拓宽硬化等项目落地，切实改善勒功乡民生环境，增强群众获得感、幸福感。</w:t>
      </w:r>
    </w:p>
    <w:p w14:paraId="1164CA3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default" w:ascii="仿宋_GB2312" w:hAnsi="宋体" w:eastAsia="仿宋_GB2312" w:cs="Times New Roman"/>
          <w:color w:val="auto"/>
          <w:kern w:val="2"/>
          <w:sz w:val="32"/>
          <w:szCs w:val="32"/>
          <w:lang w:val="en-US" w:eastAsia="zh-CN" w:bidi="ar-SA"/>
        </w:rPr>
      </w:pPr>
      <w:r>
        <w:rPr>
          <w:rFonts w:hint="default" w:ascii="仿宋_GB2312" w:hAnsi="宋体" w:eastAsia="仿宋_GB2312" w:cs="Times New Roman"/>
          <w:color w:val="auto"/>
          <w:kern w:val="2"/>
          <w:sz w:val="32"/>
          <w:szCs w:val="32"/>
          <w:lang w:val="en-US" w:eastAsia="zh-CN" w:bidi="ar-SA"/>
        </w:rPr>
        <w:t>各位代表，2025年</w:t>
      </w:r>
      <w:r>
        <w:rPr>
          <w:rFonts w:hint="eastAsia" w:ascii="仿宋_GB2312" w:hAnsi="宋体" w:eastAsia="仿宋_GB2312" w:cs="Times New Roman"/>
          <w:color w:val="auto"/>
          <w:kern w:val="2"/>
          <w:sz w:val="32"/>
          <w:szCs w:val="32"/>
          <w:lang w:val="en-US" w:eastAsia="zh-CN" w:bidi="ar-SA"/>
        </w:rPr>
        <w:t>乡</w:t>
      </w:r>
      <w:r>
        <w:rPr>
          <w:rFonts w:hint="default" w:ascii="仿宋_GB2312" w:hAnsi="宋体" w:eastAsia="仿宋_GB2312" w:cs="Times New Roman"/>
          <w:color w:val="auto"/>
          <w:kern w:val="2"/>
          <w:sz w:val="32"/>
          <w:szCs w:val="32"/>
          <w:lang w:val="en-US" w:eastAsia="zh-CN" w:bidi="ar-SA"/>
        </w:rPr>
        <w:t>财政较好地保障各项支出落实到位，实现了全年财政收支平衡，财政改革发展工作也取得了新的进展。这主要得益于</w:t>
      </w:r>
      <w:r>
        <w:rPr>
          <w:rFonts w:hint="eastAsia" w:ascii="仿宋_GB2312" w:hAnsi="宋体" w:eastAsia="仿宋_GB2312" w:cs="Times New Roman"/>
          <w:color w:val="auto"/>
          <w:kern w:val="2"/>
          <w:sz w:val="32"/>
          <w:szCs w:val="32"/>
          <w:lang w:val="en-US" w:eastAsia="zh-CN" w:bidi="ar-SA"/>
        </w:rPr>
        <w:t>乡</w:t>
      </w:r>
      <w:r>
        <w:rPr>
          <w:rFonts w:hint="default" w:ascii="仿宋_GB2312" w:hAnsi="宋体" w:eastAsia="仿宋_GB2312" w:cs="Times New Roman"/>
          <w:color w:val="auto"/>
          <w:kern w:val="2"/>
          <w:sz w:val="32"/>
          <w:szCs w:val="32"/>
          <w:lang w:val="en-US" w:eastAsia="zh-CN" w:bidi="ar-SA"/>
        </w:rPr>
        <w:t>党委、政府的正确领导，得益于</w:t>
      </w:r>
      <w:r>
        <w:rPr>
          <w:rFonts w:hint="eastAsia" w:ascii="仿宋_GB2312" w:hAnsi="宋体" w:eastAsia="仿宋_GB2312" w:cs="Times New Roman"/>
          <w:color w:val="auto"/>
          <w:kern w:val="2"/>
          <w:sz w:val="32"/>
          <w:szCs w:val="32"/>
          <w:lang w:val="en-US" w:eastAsia="zh-CN" w:bidi="ar-SA"/>
        </w:rPr>
        <w:t>乡</w:t>
      </w:r>
      <w:r>
        <w:rPr>
          <w:rFonts w:hint="default" w:ascii="仿宋_GB2312" w:hAnsi="宋体" w:eastAsia="仿宋_GB2312" w:cs="Times New Roman"/>
          <w:color w:val="auto"/>
          <w:kern w:val="2"/>
          <w:sz w:val="32"/>
          <w:szCs w:val="32"/>
          <w:lang w:val="en-US" w:eastAsia="zh-CN" w:bidi="ar-SA"/>
        </w:rPr>
        <w:t>人大的支持与监督，得益于社会各界的关心与支持，更凝聚着</w:t>
      </w:r>
      <w:r>
        <w:rPr>
          <w:rFonts w:hint="eastAsia" w:ascii="仿宋_GB2312" w:hAnsi="宋体" w:eastAsia="仿宋_GB2312" w:cs="Times New Roman"/>
          <w:color w:val="auto"/>
          <w:kern w:val="2"/>
          <w:sz w:val="32"/>
          <w:szCs w:val="32"/>
          <w:lang w:val="en-US" w:eastAsia="zh-CN" w:bidi="ar-SA"/>
        </w:rPr>
        <w:t>全乡干部群众</w:t>
      </w:r>
      <w:r>
        <w:rPr>
          <w:rFonts w:hint="default" w:ascii="仿宋_GB2312" w:hAnsi="宋体" w:eastAsia="仿宋_GB2312" w:cs="Times New Roman"/>
          <w:color w:val="auto"/>
          <w:kern w:val="2"/>
          <w:sz w:val="32"/>
          <w:szCs w:val="32"/>
          <w:lang w:val="en-US" w:eastAsia="zh-CN" w:bidi="ar-SA"/>
        </w:rPr>
        <w:t>的辛勤与努力。然而，财政运行还存在一些突出的困难和挑战，财政收入增长乏力、结构不优，民生保障提标扩面，基础设施建设、人居环境整治</w:t>
      </w:r>
      <w:r>
        <w:rPr>
          <w:rFonts w:hint="eastAsia" w:ascii="仿宋_GB2312" w:hAnsi="宋体" w:eastAsia="仿宋_GB2312" w:cs="Times New Roman"/>
          <w:color w:val="auto"/>
          <w:kern w:val="2"/>
          <w:sz w:val="32"/>
          <w:szCs w:val="32"/>
          <w:lang w:val="en-US" w:eastAsia="zh-CN" w:bidi="ar-SA"/>
        </w:rPr>
        <w:t>、乡村</w:t>
      </w:r>
      <w:r>
        <w:rPr>
          <w:rFonts w:hint="default" w:ascii="仿宋_GB2312" w:hAnsi="宋体" w:eastAsia="仿宋_GB2312" w:cs="Times New Roman"/>
          <w:color w:val="auto"/>
          <w:kern w:val="2"/>
          <w:sz w:val="32"/>
          <w:szCs w:val="32"/>
          <w:lang w:val="en-US" w:eastAsia="zh-CN" w:bidi="ar-SA"/>
        </w:rPr>
        <w:t>振兴、农业水利等重点支出增长较快。对此，我们将认真听取各位人大代表、基层干部群众的意见建议，积极采取措施，努力加以解决。</w:t>
      </w:r>
    </w:p>
    <w:p w14:paraId="300499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jc w:val="both"/>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三、2026年财政预算草案</w:t>
      </w:r>
    </w:p>
    <w:p w14:paraId="6A2F3D6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default"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2026年是实施“十五五”规划开局之年，科学编制年度预算、做好各项财政工作意义重大。编制2026年预算的指导思想是：以习近平新时代中国特色社会主义思想为指导，深入贯彻党的二十大和二十届历次全会精神，深化落实习近平总书记考察江西重要讲话精神，紧紧围绕乡党委、政府中心工作各项决策部署，将单位实有资金等账户纳入预算统管，</w:t>
      </w:r>
      <w:r>
        <w:rPr>
          <w:rFonts w:hint="default" w:ascii="仿宋_GB2312" w:hAnsi="宋体" w:eastAsia="仿宋_GB2312" w:cs="Times New Roman"/>
          <w:color w:val="auto"/>
          <w:kern w:val="2"/>
          <w:sz w:val="32"/>
          <w:szCs w:val="32"/>
          <w:lang w:val="en-US" w:eastAsia="zh-CN" w:bidi="ar-SA"/>
        </w:rPr>
        <w:t>优先</w:t>
      </w:r>
      <w:r>
        <w:rPr>
          <w:rFonts w:hint="eastAsia" w:ascii="仿宋_GB2312" w:hAnsi="宋体" w:eastAsia="仿宋_GB2312" w:cs="Times New Roman"/>
          <w:color w:val="auto"/>
          <w:kern w:val="2"/>
          <w:sz w:val="32"/>
          <w:szCs w:val="32"/>
          <w:lang w:val="en-US" w:eastAsia="zh-CN" w:bidi="ar-SA"/>
        </w:rPr>
        <w:t>保障“</w:t>
      </w:r>
      <w:r>
        <w:rPr>
          <w:rFonts w:hint="default" w:ascii="仿宋_GB2312" w:hAnsi="宋体" w:eastAsia="仿宋_GB2312" w:cs="Times New Roman"/>
          <w:color w:val="auto"/>
          <w:kern w:val="2"/>
          <w:sz w:val="32"/>
          <w:szCs w:val="32"/>
          <w:lang w:val="en-US" w:eastAsia="zh-CN" w:bidi="ar-SA"/>
        </w:rPr>
        <w:t>三保”</w:t>
      </w:r>
      <w:r>
        <w:rPr>
          <w:rFonts w:hint="eastAsia" w:ascii="仿宋_GB2312" w:hAnsi="宋体" w:eastAsia="仿宋_GB2312" w:cs="Times New Roman"/>
          <w:color w:val="auto"/>
          <w:kern w:val="2"/>
          <w:sz w:val="32"/>
          <w:szCs w:val="32"/>
          <w:lang w:val="en-US" w:eastAsia="zh-CN" w:bidi="ar-SA"/>
        </w:rPr>
        <w:t>等</w:t>
      </w:r>
      <w:r>
        <w:rPr>
          <w:rFonts w:hint="default" w:ascii="仿宋_GB2312" w:hAnsi="宋体" w:eastAsia="仿宋_GB2312" w:cs="Times New Roman"/>
          <w:color w:val="auto"/>
          <w:kern w:val="2"/>
          <w:sz w:val="32"/>
          <w:szCs w:val="32"/>
          <w:lang w:val="en-US" w:eastAsia="zh-CN" w:bidi="ar-SA"/>
        </w:rPr>
        <w:t>刚性必需支出</w:t>
      </w:r>
      <w:r>
        <w:rPr>
          <w:rFonts w:hint="eastAsia" w:ascii="仿宋_GB2312" w:hAnsi="宋体" w:eastAsia="仿宋_GB2312" w:cs="Times New Roman"/>
          <w:color w:val="auto"/>
          <w:kern w:val="2"/>
          <w:sz w:val="32"/>
          <w:szCs w:val="32"/>
          <w:lang w:val="en-US" w:eastAsia="zh-CN" w:bidi="ar-SA"/>
        </w:rPr>
        <w:t>，</w:t>
      </w:r>
      <w:r>
        <w:rPr>
          <w:rFonts w:hint="default" w:ascii="仿宋_GB2312" w:hAnsi="宋体" w:eastAsia="仿宋_GB2312" w:cs="Times New Roman"/>
          <w:color w:val="auto"/>
          <w:kern w:val="2"/>
          <w:sz w:val="32"/>
          <w:szCs w:val="32"/>
          <w:lang w:val="en-US" w:eastAsia="zh-CN" w:bidi="ar-SA"/>
        </w:rPr>
        <w:t>其余支出按照轻重缓急在可用财力范围内</w:t>
      </w:r>
      <w:r>
        <w:rPr>
          <w:rFonts w:hint="eastAsia" w:ascii="仿宋_GB2312" w:hAnsi="宋体" w:eastAsia="仿宋_GB2312" w:cs="Times New Roman"/>
          <w:color w:val="auto"/>
          <w:kern w:val="2"/>
          <w:sz w:val="32"/>
          <w:szCs w:val="32"/>
          <w:lang w:val="en-US" w:eastAsia="zh-CN" w:bidi="ar-SA"/>
        </w:rPr>
        <w:t>依次有序</w:t>
      </w:r>
      <w:r>
        <w:rPr>
          <w:rFonts w:hint="default" w:ascii="仿宋_GB2312" w:hAnsi="宋体" w:eastAsia="仿宋_GB2312" w:cs="Times New Roman"/>
          <w:color w:val="auto"/>
          <w:kern w:val="2"/>
          <w:sz w:val="32"/>
          <w:szCs w:val="32"/>
          <w:lang w:val="en-US" w:eastAsia="zh-CN" w:bidi="ar-SA"/>
        </w:rPr>
        <w:t>拨付</w:t>
      </w:r>
      <w:r>
        <w:rPr>
          <w:rFonts w:hint="eastAsia" w:ascii="仿宋_GB2312" w:hAnsi="宋体" w:eastAsia="仿宋_GB2312" w:cs="Times New Roman"/>
          <w:color w:val="auto"/>
          <w:kern w:val="2"/>
          <w:sz w:val="32"/>
          <w:szCs w:val="32"/>
          <w:lang w:val="en-US" w:eastAsia="zh-CN" w:bidi="ar-SA"/>
        </w:rPr>
        <w:t>。</w:t>
      </w:r>
    </w:p>
    <w:p w14:paraId="3A24C4C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default"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2026年，我乡预计公共财政预算收入695.1万元，一般性转移支付、体制补助897.3万元，上解50万元。测算全乡财力1542.4万元，今年预算安排如下：人员公用经费819万元，对村民委员会和村党支部补助120万元，正常运转200万元，其他运转支出263.4万元，政府预留140万元。</w:t>
      </w:r>
    </w:p>
    <w:p w14:paraId="1672B89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四、202</w:t>
      </w:r>
      <w:r>
        <w:rPr>
          <w:rFonts w:hint="eastAsia" w:ascii="黑体" w:hAnsi="黑体" w:eastAsia="黑体" w:cs="黑体"/>
          <w:b w:val="0"/>
          <w:bCs/>
          <w:color w:val="auto"/>
          <w:sz w:val="32"/>
          <w:szCs w:val="32"/>
          <w:lang w:val="en-US" w:eastAsia="zh-CN"/>
        </w:rPr>
        <w:t>6</w:t>
      </w:r>
      <w:r>
        <w:rPr>
          <w:rFonts w:hint="eastAsia" w:ascii="黑体" w:hAnsi="黑体" w:eastAsia="黑体" w:cs="黑体"/>
          <w:b w:val="0"/>
          <w:bCs/>
          <w:color w:val="auto"/>
          <w:sz w:val="32"/>
          <w:szCs w:val="32"/>
        </w:rPr>
        <w:t>年财政工作打算</w:t>
      </w:r>
    </w:p>
    <w:p w14:paraId="7EE888F9">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落实过紧日子要求</w:t>
      </w:r>
    </w:p>
    <w:p w14:paraId="44A7F4D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将习惯过紧日子作为预算安排的基本原则，集中财力守牢“三保”底线，进一步优化支出结构，坚持民生保障做“加法”，对“一般性支出”经费做“减法”，大力压缩一般性支出和非急需、非刚性支出，把资金用在发展紧要处、民生急需上，确保经济平稳发展和社会大局稳定。</w:t>
      </w:r>
    </w:p>
    <w:p w14:paraId="51F85544">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default" w:ascii="楷体" w:hAnsi="楷体" w:eastAsia="楷体" w:cs="楷体"/>
          <w:b w:val="0"/>
          <w:bCs w:val="0"/>
          <w:color w:val="auto"/>
          <w:sz w:val="32"/>
          <w:szCs w:val="32"/>
          <w:lang w:val="en-US" w:eastAsia="zh-CN"/>
        </w:rPr>
        <w:t>贯彻零基预算理念</w:t>
      </w:r>
    </w:p>
    <w:p w14:paraId="11EBB1E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r>
        <w:rPr>
          <w:rFonts w:hint="default" w:ascii="仿宋_GB2312" w:hAnsi="宋体" w:eastAsia="仿宋_GB2312" w:cs="Times New Roman"/>
          <w:color w:val="auto"/>
          <w:kern w:val="2"/>
          <w:sz w:val="32"/>
          <w:szCs w:val="32"/>
          <w:lang w:val="en-US" w:eastAsia="zh-CN" w:bidi="ar-SA"/>
        </w:rPr>
        <w:t>深入实施零基预算，提升预算编制科学化精细化水平。按照实际需要和优先顺序编制预算</w:t>
      </w:r>
      <w:r>
        <w:rPr>
          <w:rFonts w:hint="eastAsia" w:ascii="仿宋_GB2312" w:hAnsi="宋体" w:eastAsia="仿宋_GB2312" w:cs="Times New Roman"/>
          <w:color w:val="auto"/>
          <w:kern w:val="2"/>
          <w:sz w:val="32"/>
          <w:szCs w:val="32"/>
          <w:lang w:val="en-US" w:eastAsia="zh-CN" w:bidi="ar-SA"/>
        </w:rPr>
        <w:t>，</w:t>
      </w:r>
      <w:r>
        <w:rPr>
          <w:rFonts w:hint="default" w:ascii="仿宋_GB2312" w:hAnsi="宋体" w:eastAsia="仿宋_GB2312" w:cs="Times New Roman"/>
          <w:color w:val="auto"/>
          <w:kern w:val="2"/>
          <w:sz w:val="32"/>
          <w:szCs w:val="32"/>
          <w:lang w:val="en-US" w:eastAsia="zh-CN" w:bidi="ar-SA"/>
        </w:rPr>
        <w:t>将零基预算理念贯穿预算管理的全生命周期。强化事前绩效评估、事中绩效监控、事后绩效评价机制，加强结果运用</w:t>
      </w:r>
      <w:r>
        <w:rPr>
          <w:rFonts w:hint="eastAsia" w:ascii="仿宋_GB2312" w:hAnsi="宋体" w:eastAsia="仿宋_GB2312" w:cs="Times New Roman"/>
          <w:color w:val="auto"/>
          <w:kern w:val="2"/>
          <w:sz w:val="32"/>
          <w:szCs w:val="32"/>
          <w:lang w:val="en-US" w:eastAsia="zh-CN" w:bidi="ar-SA"/>
        </w:rPr>
        <w:t>，</w:t>
      </w:r>
      <w:r>
        <w:rPr>
          <w:rFonts w:hint="default" w:ascii="仿宋_GB2312" w:hAnsi="宋体" w:eastAsia="仿宋_GB2312" w:cs="Times New Roman"/>
          <w:color w:val="auto"/>
          <w:kern w:val="2"/>
          <w:sz w:val="32"/>
          <w:szCs w:val="32"/>
          <w:lang w:val="en-US" w:eastAsia="zh-CN" w:bidi="ar-SA"/>
        </w:rPr>
        <w:t>健全支出</w:t>
      </w:r>
      <w:r>
        <w:rPr>
          <w:rFonts w:hint="eastAsia" w:ascii="仿宋_GB2312" w:hAnsi="宋体" w:eastAsia="仿宋_GB2312" w:cs="Times New Roman"/>
          <w:color w:val="auto"/>
          <w:kern w:val="2"/>
          <w:sz w:val="32"/>
          <w:szCs w:val="32"/>
          <w:lang w:val="en-US" w:eastAsia="zh-CN" w:bidi="ar-SA"/>
        </w:rPr>
        <w:t>项目</w:t>
      </w:r>
      <w:r>
        <w:rPr>
          <w:rFonts w:hint="default" w:ascii="仿宋_GB2312" w:hAnsi="宋体" w:eastAsia="仿宋_GB2312" w:cs="Times New Roman"/>
          <w:color w:val="auto"/>
          <w:kern w:val="2"/>
          <w:sz w:val="32"/>
          <w:szCs w:val="32"/>
          <w:lang w:val="en-US" w:eastAsia="zh-CN" w:bidi="ar-SA"/>
        </w:rPr>
        <w:t>动态调整机制，及时</w:t>
      </w:r>
      <w:r>
        <w:rPr>
          <w:rFonts w:hint="eastAsia" w:ascii="仿宋_GB2312" w:hAnsi="宋体" w:eastAsia="仿宋_GB2312" w:cs="Times New Roman"/>
          <w:color w:val="auto"/>
          <w:kern w:val="2"/>
          <w:sz w:val="32"/>
          <w:szCs w:val="32"/>
          <w:lang w:val="en-US" w:eastAsia="zh-CN" w:bidi="ar-SA"/>
        </w:rPr>
        <w:t>终止</w:t>
      </w:r>
      <w:r>
        <w:rPr>
          <w:rFonts w:hint="default" w:ascii="仿宋_GB2312" w:hAnsi="宋体" w:eastAsia="仿宋_GB2312" w:cs="Times New Roman"/>
          <w:color w:val="auto"/>
          <w:kern w:val="2"/>
          <w:sz w:val="32"/>
          <w:szCs w:val="32"/>
          <w:lang w:val="en-US" w:eastAsia="zh-CN" w:bidi="ar-SA"/>
        </w:rPr>
        <w:t>低效无效</w:t>
      </w:r>
      <w:r>
        <w:rPr>
          <w:rFonts w:hint="eastAsia" w:ascii="仿宋_GB2312" w:hAnsi="宋体" w:eastAsia="仿宋_GB2312" w:cs="Times New Roman"/>
          <w:color w:val="auto"/>
          <w:kern w:val="2"/>
          <w:sz w:val="32"/>
          <w:szCs w:val="32"/>
          <w:lang w:val="en-US" w:eastAsia="zh-CN" w:bidi="ar-SA"/>
        </w:rPr>
        <w:t>项目。</w:t>
      </w:r>
    </w:p>
    <w:p w14:paraId="6A04B38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（三）优化财政资金分配</w:t>
      </w:r>
    </w:p>
    <w:p w14:paraId="5D1DD1D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r>
        <w:rPr>
          <w:rFonts w:hint="default" w:ascii="仿宋_GB2312" w:hAnsi="宋体" w:eastAsia="仿宋_GB2312" w:cs="Times New Roman"/>
          <w:color w:val="auto"/>
          <w:kern w:val="2"/>
          <w:sz w:val="32"/>
          <w:szCs w:val="32"/>
          <w:lang w:val="en-US" w:eastAsia="zh-CN" w:bidi="ar-SA"/>
        </w:rPr>
        <w:t>坚持支出强度与支出精准度并重，加大财政资金统筹力度，统筹好</w:t>
      </w:r>
      <w:r>
        <w:rPr>
          <w:rFonts w:hint="eastAsia" w:ascii="仿宋_GB2312" w:hAnsi="宋体" w:eastAsia="仿宋_GB2312" w:cs="Times New Roman"/>
          <w:color w:val="auto"/>
          <w:kern w:val="2"/>
          <w:sz w:val="32"/>
          <w:szCs w:val="32"/>
          <w:lang w:val="en-US" w:eastAsia="zh-CN" w:bidi="ar-SA"/>
        </w:rPr>
        <w:t>乡</w:t>
      </w:r>
      <w:r>
        <w:rPr>
          <w:rFonts w:hint="default" w:ascii="仿宋_GB2312" w:hAnsi="宋体" w:eastAsia="仿宋_GB2312" w:cs="Times New Roman"/>
          <w:color w:val="auto"/>
          <w:kern w:val="2"/>
          <w:sz w:val="32"/>
          <w:szCs w:val="32"/>
          <w:lang w:val="en-US" w:eastAsia="zh-CN" w:bidi="ar-SA"/>
        </w:rPr>
        <w:t>级预算、上级转移支付和</w:t>
      </w:r>
      <w:r>
        <w:rPr>
          <w:rFonts w:hint="eastAsia" w:ascii="仿宋_GB2312" w:hAnsi="宋体" w:eastAsia="仿宋_GB2312" w:cs="Times New Roman"/>
          <w:color w:val="auto"/>
          <w:kern w:val="2"/>
          <w:sz w:val="32"/>
          <w:szCs w:val="32"/>
          <w:lang w:val="en-US" w:eastAsia="zh-CN" w:bidi="ar-SA"/>
        </w:rPr>
        <w:t>政府性基金</w:t>
      </w:r>
      <w:r>
        <w:rPr>
          <w:rFonts w:hint="default" w:ascii="仿宋_GB2312" w:hAnsi="宋体" w:eastAsia="仿宋_GB2312" w:cs="Times New Roman"/>
          <w:color w:val="auto"/>
          <w:kern w:val="2"/>
          <w:sz w:val="32"/>
          <w:szCs w:val="32"/>
          <w:lang w:val="en-US" w:eastAsia="zh-CN" w:bidi="ar-SA"/>
        </w:rPr>
        <w:t>等各类资金，</w:t>
      </w:r>
      <w:r>
        <w:rPr>
          <w:rFonts w:hint="eastAsia" w:ascii="仿宋_GB2312" w:hAnsi="宋体" w:eastAsia="仿宋_GB2312" w:cs="Times New Roman"/>
          <w:color w:val="auto"/>
          <w:kern w:val="2"/>
          <w:sz w:val="32"/>
          <w:szCs w:val="32"/>
          <w:lang w:val="en-US" w:eastAsia="zh-CN" w:bidi="ar-SA"/>
        </w:rPr>
        <w:t>优化</w:t>
      </w:r>
      <w:r>
        <w:rPr>
          <w:rFonts w:hint="default" w:ascii="仿宋_GB2312" w:hAnsi="宋体" w:eastAsia="仿宋_GB2312" w:cs="Times New Roman"/>
          <w:color w:val="auto"/>
          <w:kern w:val="2"/>
          <w:sz w:val="32"/>
          <w:szCs w:val="32"/>
          <w:lang w:val="en-US" w:eastAsia="zh-CN" w:bidi="ar-SA"/>
        </w:rPr>
        <w:t>财政拨款收入、非财政拨款收入和结转结余资金</w:t>
      </w:r>
      <w:r>
        <w:rPr>
          <w:rFonts w:hint="eastAsia" w:ascii="仿宋_GB2312" w:hAnsi="宋体" w:eastAsia="仿宋_GB2312" w:cs="Times New Roman"/>
          <w:color w:val="auto"/>
          <w:kern w:val="2"/>
          <w:sz w:val="32"/>
          <w:szCs w:val="32"/>
          <w:lang w:val="en-US" w:eastAsia="zh-CN" w:bidi="ar-SA"/>
        </w:rPr>
        <w:t>分配</w:t>
      </w:r>
      <w:r>
        <w:rPr>
          <w:rFonts w:hint="default" w:ascii="仿宋_GB2312" w:hAnsi="宋体" w:eastAsia="仿宋_GB2312" w:cs="Times New Roman"/>
          <w:color w:val="auto"/>
          <w:kern w:val="2"/>
          <w:sz w:val="32"/>
          <w:szCs w:val="32"/>
          <w:lang w:val="en-US" w:eastAsia="zh-CN" w:bidi="ar-SA"/>
        </w:rPr>
        <w:t>，多渠道筹措资金保障重大项目及刚性支出增长需求。</w:t>
      </w:r>
    </w:p>
    <w:p w14:paraId="662CF8B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（四）</w:t>
      </w:r>
      <w:r>
        <w:rPr>
          <w:rFonts w:hint="default" w:ascii="楷体" w:hAnsi="楷体" w:eastAsia="楷体" w:cs="楷体"/>
          <w:b w:val="0"/>
          <w:bCs w:val="0"/>
          <w:color w:val="auto"/>
          <w:sz w:val="32"/>
          <w:szCs w:val="32"/>
          <w:lang w:val="en-US" w:eastAsia="zh-CN"/>
        </w:rPr>
        <w:t>深化预算绩效管理</w:t>
      </w:r>
    </w:p>
    <w:p w14:paraId="4CC3464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default"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完善预算绩效管理机制，</w:t>
      </w:r>
      <w:r>
        <w:rPr>
          <w:rFonts w:hint="default" w:ascii="仿宋_GB2312" w:hAnsi="宋体" w:eastAsia="仿宋_GB2312" w:cs="Times New Roman"/>
          <w:color w:val="auto"/>
          <w:kern w:val="2"/>
          <w:sz w:val="32"/>
          <w:szCs w:val="32"/>
          <w:lang w:val="en-US" w:eastAsia="zh-CN" w:bidi="ar-SA"/>
        </w:rPr>
        <w:t>逐步扩大重点绩效评价范围，加强绩效评价结果应用，以预算绩效为导向</w:t>
      </w:r>
      <w:r>
        <w:rPr>
          <w:rFonts w:hint="eastAsia" w:ascii="仿宋_GB2312" w:hAnsi="宋体" w:eastAsia="仿宋_GB2312" w:cs="Times New Roman"/>
          <w:color w:val="auto"/>
          <w:kern w:val="2"/>
          <w:sz w:val="32"/>
          <w:szCs w:val="32"/>
          <w:lang w:val="en-US" w:eastAsia="zh-CN" w:bidi="ar-SA"/>
        </w:rPr>
        <w:t>，</w:t>
      </w:r>
      <w:r>
        <w:rPr>
          <w:rFonts w:hint="default" w:ascii="仿宋_GB2312" w:hAnsi="宋体" w:eastAsia="仿宋_GB2312" w:cs="Times New Roman"/>
          <w:color w:val="auto"/>
          <w:kern w:val="2"/>
          <w:sz w:val="32"/>
          <w:szCs w:val="32"/>
          <w:lang w:val="en-US" w:eastAsia="zh-CN" w:bidi="ar-SA"/>
        </w:rPr>
        <w:t>推动预算绩效管理提质增效，促进预算单位从“重分配轻管理”向“重绩效讲绩效”转变。着力提高财政资源配置效率和使用效益，确保有限资金用在</w:t>
      </w:r>
      <w:r>
        <w:rPr>
          <w:rFonts w:hint="eastAsia" w:ascii="仿宋_GB2312" w:hAnsi="宋体" w:eastAsia="仿宋_GB2312" w:cs="Times New Roman"/>
          <w:color w:val="auto"/>
          <w:kern w:val="2"/>
          <w:sz w:val="32"/>
          <w:szCs w:val="32"/>
          <w:lang w:val="en-US" w:eastAsia="zh-CN" w:bidi="ar-SA"/>
        </w:rPr>
        <w:t>“</w:t>
      </w:r>
      <w:r>
        <w:rPr>
          <w:rFonts w:hint="default" w:ascii="仿宋_GB2312" w:hAnsi="宋体" w:eastAsia="仿宋_GB2312" w:cs="Times New Roman"/>
          <w:color w:val="auto"/>
          <w:kern w:val="2"/>
          <w:sz w:val="32"/>
          <w:szCs w:val="32"/>
          <w:lang w:val="en-US" w:eastAsia="zh-CN" w:bidi="ar-SA"/>
        </w:rPr>
        <w:t>刀刃</w:t>
      </w:r>
      <w:r>
        <w:rPr>
          <w:rFonts w:hint="eastAsia" w:ascii="仿宋_GB2312" w:hAnsi="宋体" w:eastAsia="仿宋_GB2312" w:cs="Times New Roman"/>
          <w:color w:val="auto"/>
          <w:kern w:val="2"/>
          <w:sz w:val="32"/>
          <w:szCs w:val="32"/>
          <w:lang w:val="en-US" w:eastAsia="zh-CN" w:bidi="ar-SA"/>
        </w:rPr>
        <w:t>”</w:t>
      </w:r>
      <w:r>
        <w:rPr>
          <w:rFonts w:hint="default" w:ascii="仿宋_GB2312" w:hAnsi="宋体" w:eastAsia="仿宋_GB2312" w:cs="Times New Roman"/>
          <w:color w:val="auto"/>
          <w:kern w:val="2"/>
          <w:sz w:val="32"/>
          <w:szCs w:val="32"/>
          <w:lang w:val="en-US" w:eastAsia="zh-CN" w:bidi="ar-SA"/>
        </w:rPr>
        <w:t>上。</w:t>
      </w:r>
    </w:p>
    <w:p w14:paraId="2F05C5A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default" w:ascii="仿宋_GB2312" w:hAnsi="宋体" w:eastAsia="仿宋_GB2312" w:cs="Times New Roman"/>
          <w:color w:val="auto"/>
          <w:kern w:val="2"/>
          <w:sz w:val="32"/>
          <w:szCs w:val="32"/>
          <w:lang w:val="en-US" w:eastAsia="zh-CN" w:bidi="ar-SA"/>
        </w:rPr>
      </w:pPr>
      <w:r>
        <w:rPr>
          <w:rFonts w:hint="default" w:ascii="仿宋_GB2312" w:hAnsi="宋体" w:eastAsia="仿宋_GB2312" w:cs="Times New Roman"/>
          <w:color w:val="auto"/>
          <w:kern w:val="2"/>
          <w:sz w:val="32"/>
          <w:szCs w:val="32"/>
          <w:lang w:val="en-US" w:eastAsia="zh-CN" w:bidi="ar-SA"/>
        </w:rPr>
        <w:t>各位代表，做好当前和今后一个时期的财政工作，任务艰巨，责任重大。我们将更加紧密地团结在以习近平同志为核心的党中央周围，以习近平新时代中国特色社会主义思想为指导，全面落实</w:t>
      </w:r>
      <w:r>
        <w:rPr>
          <w:rFonts w:hint="eastAsia" w:ascii="仿宋_GB2312" w:hAnsi="宋体" w:eastAsia="仿宋_GB2312" w:cs="Times New Roman"/>
          <w:color w:val="auto"/>
          <w:kern w:val="2"/>
          <w:sz w:val="32"/>
          <w:szCs w:val="32"/>
          <w:lang w:val="en-US" w:eastAsia="zh-CN" w:bidi="ar-SA"/>
        </w:rPr>
        <w:t>乡党</w:t>
      </w:r>
      <w:r>
        <w:rPr>
          <w:rFonts w:hint="default" w:ascii="仿宋_GB2312" w:hAnsi="宋体" w:eastAsia="仿宋_GB2312" w:cs="Times New Roman"/>
          <w:color w:val="auto"/>
          <w:kern w:val="2"/>
          <w:sz w:val="32"/>
          <w:szCs w:val="32"/>
          <w:lang w:val="en-US" w:eastAsia="zh-CN" w:bidi="ar-SA"/>
        </w:rPr>
        <w:t>委、政府各项决策部署，坚定信心、锐意进取，扎实做好各项工作，努力完成全年各项目标任务，为谱写好中国式现代化</w:t>
      </w:r>
      <w:r>
        <w:rPr>
          <w:rFonts w:hint="eastAsia" w:ascii="仿宋_GB2312" w:hAnsi="宋体" w:eastAsia="仿宋_GB2312" w:cs="Times New Roman"/>
          <w:color w:val="auto"/>
          <w:kern w:val="2"/>
          <w:sz w:val="32"/>
          <w:szCs w:val="32"/>
          <w:lang w:val="en-US" w:eastAsia="zh-CN" w:bidi="ar-SA"/>
        </w:rPr>
        <w:t>勒功新</w:t>
      </w:r>
      <w:r>
        <w:rPr>
          <w:rFonts w:hint="default" w:ascii="仿宋_GB2312" w:hAnsi="宋体" w:eastAsia="仿宋_GB2312" w:cs="Times New Roman"/>
          <w:color w:val="auto"/>
          <w:kern w:val="2"/>
          <w:sz w:val="32"/>
          <w:szCs w:val="32"/>
          <w:lang w:val="en-US" w:eastAsia="zh-CN" w:bidi="ar-SA"/>
        </w:rPr>
        <w:t>篇章作出更大贡献！</w:t>
      </w:r>
    </w:p>
    <w:p w14:paraId="3D9D128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default" w:ascii="仿宋_GB2312" w:hAnsi="宋体" w:eastAsia="仿宋_GB2312" w:cs="Times New Roman"/>
          <w:color w:val="auto"/>
          <w:kern w:val="2"/>
          <w:sz w:val="32"/>
          <w:szCs w:val="32"/>
          <w:lang w:val="en-US" w:eastAsia="zh-CN" w:bidi="ar-SA"/>
        </w:rPr>
      </w:pPr>
      <w:bookmarkStart w:id="0" w:name="_GoBack"/>
      <w:bookmarkEnd w:id="0"/>
    </w:p>
    <w:p w14:paraId="7160DA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default" w:ascii="仿宋_GB2312" w:hAnsi="宋体" w:eastAsia="仿宋_GB2312" w:cs="Times New Roman"/>
          <w:color w:val="auto"/>
          <w:kern w:val="2"/>
          <w:sz w:val="32"/>
          <w:szCs w:val="32"/>
          <w:lang w:val="en-US" w:eastAsia="zh-CN" w:bidi="ar-SA"/>
        </w:rPr>
      </w:pPr>
      <w:r>
        <w:rPr>
          <w:rFonts w:hint="default" w:ascii="仿宋_GB2312" w:hAnsi="宋体" w:eastAsia="仿宋_GB2312" w:cs="Times New Roman"/>
          <w:color w:val="auto"/>
          <w:kern w:val="2"/>
          <w:sz w:val="32"/>
          <w:szCs w:val="32"/>
          <w:lang w:val="en-US" w:eastAsia="zh-CN" w:bidi="ar-SA"/>
        </w:rPr>
        <w:t>以上报告，请予审查。</w:t>
      </w:r>
    </w:p>
    <w:p w14:paraId="482B37C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p>
    <w:p w14:paraId="07AD17D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both"/>
        <w:textAlignment w:val="auto"/>
        <w:rPr>
          <w:rFonts w:hint="eastAsia" w:ascii="仿宋_GB2312" w:hAnsi="宋体" w:eastAsia="仿宋_GB2312" w:cs="Times New Roman"/>
          <w:color w:val="auto"/>
          <w:kern w:val="2"/>
          <w:sz w:val="32"/>
          <w:szCs w:val="32"/>
          <w:lang w:val="en-US" w:eastAsia="zh-CN" w:bidi="ar-SA"/>
        </w:rPr>
      </w:pPr>
    </w:p>
    <w:p w14:paraId="078060F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auto"/>
          <w:sz w:val="32"/>
          <w:szCs w:val="32"/>
          <w:lang w:val="en-US" w:eastAsia="zh-CN"/>
        </w:rPr>
      </w:pPr>
    </w:p>
    <w:p w14:paraId="03689F8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B3CD36"/>
    <w:multiLevelType w:val="singleLevel"/>
    <w:tmpl w:val="A1B3CD36"/>
    <w:lvl w:ilvl="0" w:tentative="0">
      <w:start w:val="1"/>
      <w:numFmt w:val="chineseCounting"/>
      <w:suff w:val="nothing"/>
      <w:lvlText w:val="（%1）"/>
      <w:lvlJc w:val="left"/>
      <w:rPr>
        <w:rFonts w:hint="eastAsia"/>
      </w:rPr>
    </w:lvl>
  </w:abstractNum>
  <w:abstractNum w:abstractNumId="1">
    <w:nsid w:val="2A8785AF"/>
    <w:multiLevelType w:val="singleLevel"/>
    <w:tmpl w:val="2A8785A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F56A18"/>
    <w:rsid w:val="02123F76"/>
    <w:rsid w:val="021B0702"/>
    <w:rsid w:val="029A778E"/>
    <w:rsid w:val="02DA018C"/>
    <w:rsid w:val="038500F8"/>
    <w:rsid w:val="03C525EF"/>
    <w:rsid w:val="048B3E34"/>
    <w:rsid w:val="054E09BE"/>
    <w:rsid w:val="05EB0929"/>
    <w:rsid w:val="06691F53"/>
    <w:rsid w:val="08D54BF1"/>
    <w:rsid w:val="0A002BCE"/>
    <w:rsid w:val="0A022F54"/>
    <w:rsid w:val="0AAC240E"/>
    <w:rsid w:val="0C281F69"/>
    <w:rsid w:val="0EA93835"/>
    <w:rsid w:val="0EF860D0"/>
    <w:rsid w:val="0F74096A"/>
    <w:rsid w:val="0FD541B5"/>
    <w:rsid w:val="122B630F"/>
    <w:rsid w:val="13C5640E"/>
    <w:rsid w:val="14563F45"/>
    <w:rsid w:val="146462F6"/>
    <w:rsid w:val="15747FCD"/>
    <w:rsid w:val="15EF3AF7"/>
    <w:rsid w:val="170A508C"/>
    <w:rsid w:val="18273B81"/>
    <w:rsid w:val="1B1F4E7E"/>
    <w:rsid w:val="1B9F38C9"/>
    <w:rsid w:val="1C69483F"/>
    <w:rsid w:val="1E896DCD"/>
    <w:rsid w:val="21CC174D"/>
    <w:rsid w:val="221922E6"/>
    <w:rsid w:val="22806203"/>
    <w:rsid w:val="22FC2DD0"/>
    <w:rsid w:val="23A14683"/>
    <w:rsid w:val="2513739E"/>
    <w:rsid w:val="25827B71"/>
    <w:rsid w:val="265C0D35"/>
    <w:rsid w:val="27840543"/>
    <w:rsid w:val="27C46B92"/>
    <w:rsid w:val="28454171"/>
    <w:rsid w:val="286D547B"/>
    <w:rsid w:val="286E4D4F"/>
    <w:rsid w:val="2973261D"/>
    <w:rsid w:val="2A115C11"/>
    <w:rsid w:val="2ACB035B"/>
    <w:rsid w:val="2BBB0A8F"/>
    <w:rsid w:val="2C132208"/>
    <w:rsid w:val="2EC333FA"/>
    <w:rsid w:val="2EE43FBD"/>
    <w:rsid w:val="303B19BB"/>
    <w:rsid w:val="322070BA"/>
    <w:rsid w:val="33B914A9"/>
    <w:rsid w:val="371F5B92"/>
    <w:rsid w:val="378B44E3"/>
    <w:rsid w:val="386F66A6"/>
    <w:rsid w:val="3BA951BE"/>
    <w:rsid w:val="3D8518FF"/>
    <w:rsid w:val="3EAD7F28"/>
    <w:rsid w:val="3EE020AB"/>
    <w:rsid w:val="3FFD3412"/>
    <w:rsid w:val="414C746C"/>
    <w:rsid w:val="41E15215"/>
    <w:rsid w:val="41E579D9"/>
    <w:rsid w:val="43CC70A2"/>
    <w:rsid w:val="44C7499E"/>
    <w:rsid w:val="457E09AE"/>
    <w:rsid w:val="459567DA"/>
    <w:rsid w:val="472D60AA"/>
    <w:rsid w:val="483328BE"/>
    <w:rsid w:val="48360F8E"/>
    <w:rsid w:val="48627FD5"/>
    <w:rsid w:val="49006836"/>
    <w:rsid w:val="49D808F8"/>
    <w:rsid w:val="4A45370A"/>
    <w:rsid w:val="4A761B16"/>
    <w:rsid w:val="4AB663B6"/>
    <w:rsid w:val="4D553999"/>
    <w:rsid w:val="503E30D6"/>
    <w:rsid w:val="505F4DFA"/>
    <w:rsid w:val="53E90D41"/>
    <w:rsid w:val="54BC281B"/>
    <w:rsid w:val="54FE4BE1"/>
    <w:rsid w:val="560C1580"/>
    <w:rsid w:val="56EE7C13"/>
    <w:rsid w:val="59753EB4"/>
    <w:rsid w:val="59876999"/>
    <w:rsid w:val="59DF6954"/>
    <w:rsid w:val="5A1030D6"/>
    <w:rsid w:val="5BFE196B"/>
    <w:rsid w:val="5D1A27D4"/>
    <w:rsid w:val="5E167440"/>
    <w:rsid w:val="61477910"/>
    <w:rsid w:val="64063AB3"/>
    <w:rsid w:val="64BB5F6B"/>
    <w:rsid w:val="65D04378"/>
    <w:rsid w:val="65FD4B10"/>
    <w:rsid w:val="665054B9"/>
    <w:rsid w:val="66CA7019"/>
    <w:rsid w:val="694C1F68"/>
    <w:rsid w:val="6AA40D85"/>
    <w:rsid w:val="6B197600"/>
    <w:rsid w:val="6B386362"/>
    <w:rsid w:val="6D877A12"/>
    <w:rsid w:val="70294DB1"/>
    <w:rsid w:val="708F4611"/>
    <w:rsid w:val="71484441"/>
    <w:rsid w:val="71D54D25"/>
    <w:rsid w:val="71F56A18"/>
    <w:rsid w:val="7243196D"/>
    <w:rsid w:val="77130569"/>
    <w:rsid w:val="77544308"/>
    <w:rsid w:val="7AD1051F"/>
    <w:rsid w:val="7D1D196F"/>
    <w:rsid w:val="7D8429CB"/>
    <w:rsid w:val="7E657B2D"/>
    <w:rsid w:val="7EAF5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afterLines="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32f055ba-43d9-40ed-aa14-56af20e75cdd</errorID>
      <errorWord>。</errorWord>
      <group>L1_AI</group>
      <groupName>深度校对</groupName>
      <ability>L2_AI_Punc</ability>
      <abilityName>标点纠错</abilityName>
      <candidateList>
        <item>；</item>
      </candidateList>
      <explain/>
      <paraID>23236E7D</paraID>
      <start>49</start>
      <end>50</end>
      <status>unmodified</status>
      <modifiedWord/>
      <trackRevisions>false</trackRevisions>
    </reviewItem>
    <reviewItem>
      <errorID>240d8e98-b1d0-4a28-9967-93c2780949ba</errorID>
      <errorWord>和</errorWord>
      <group>L1_AI</group>
      <groupName>深度校对</groupName>
      <ability>L2_AI_Word</ability>
      <abilityName>字词纠错</abilityName>
      <candidateList>
        <item>、</item>
      </candidateList>
      <explain/>
      <paraID>513090D5</paraID>
      <start>55</start>
      <end>56</end>
      <status>unmodified</status>
      <modifiedWord/>
      <trackRevisions>false</trackRevisions>
    </reviewItem>
    <reviewItem>
      <errorID>65b36d46-b8fe-4ee7-9ab5-4d4d30346193</errorID>
      <errorWord>方面工作</errorWord>
      <group>L1_AI</group>
      <groupName>深度校对</groupName>
      <ability>L2_AI_Grammar</ability>
      <abilityName>语法纠错</abilityName>
      <candidateList>
        <item>方面</item>
      </candidateList>
      <explain/>
      <paraID>513090D5</paraID>
      <start>84</start>
      <end>88</end>
      <status>unmodified</status>
      <modifiedWord/>
      <trackRevisions>false</trackRevisions>
    </reviewItem>
    <reviewItem>
      <errorID>b325df6a-b3c0-454d-80c3-c1d7569bb881</errorID>
      <errorWord>77</errorWord>
      <group>L1_AI</group>
      <groupName>深度校对</groupName>
      <ability>L2_AI_Grammar</ability>
      <abilityName>语法纠错</abilityName>
      <candidateList>
        <item>，共计77</item>
      </candidateList>
      <explain/>
      <paraID>33218991</paraID>
      <start>23</start>
      <end>25</end>
      <status>unmodified</status>
      <modifiedWord/>
      <trackRevisions>false</trackRevisions>
    </reviewItem>
    <reviewItem>
      <errorID>6f6c29cb-d91a-48aa-9561-3d0cdb3acf33</errorID>
      <errorWord>57</errorWord>
      <group>L1_AI</group>
      <groupName>深度校对</groupName>
      <ability>L2_AI_Grammar</ability>
      <abilityName>语法纠错</abilityName>
      <candidateList>
        <item>，共计57</item>
      </candidateList>
      <explain/>
      <paraID>33218991</paraID>
      <start>42</start>
      <end>44</end>
      <status>unmodified</status>
      <modifiedWord/>
      <trackRevisions>false</trackRevisions>
    </reviewItem>
    <reviewItem>
      <errorID>1ed24f7c-9bfc-41ed-955d-a837789a185a</errorID>
      <errorWord>民生</errorWord>
      <group>L1_AI</group>
      <groupName>深度校对</groupName>
      <ability>L2_AI_Word</ability>
      <abilityName>字词纠错</abilityName>
      <candidateList>
        <item>而民生</item>
      </candidateList>
      <explain/>
      <paraID>1164CA37</paraID>
      <start>153</start>
      <end>155</end>
      <status>unmodified</status>
      <modifiedWord/>
      <trackRevisions>false</trackRevisions>
    </reviewItem>
    <reviewItem>
      <errorID>b84ec14d-89bb-4158-8729-7c75f0c4de39</errorID>
      <errorWord>勒功</errorWord>
      <group>L1_AI</group>
      <groupName>深度校对</groupName>
      <ability>L2_AI_Word</ability>
      <abilityName>字词纠错</abilityName>
      <candidateList>
        <item>立功</item>
      </candidateList>
      <explain/>
      <paraID>2F05C5A2</paraID>
      <start>157</start>
      <end>159</end>
      <status>unmodified</status>
      <modifiedWord/>
      <trackRevisions>false</trackRevisions>
    </reviewItem>
  </reviewItems>
  <config/>
</contractReview>
</file>

<file path=customXml/itemProps1.xml><?xml version="1.0" encoding="utf-8"?>
<ds:datastoreItem xmlns:ds="http://schemas.openxmlformats.org/officeDocument/2006/customXml" ds:itemID="{ec65be1a-f54c-4d54-ab1e-ed49a5136bcd}">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2826</Words>
  <Characters>2994</Characters>
  <Lines>0</Lines>
  <Paragraphs>0</Paragraphs>
  <TotalTime>4</TotalTime>
  <ScaleCrop>false</ScaleCrop>
  <LinksUpToDate>false</LinksUpToDate>
  <CharactersWithSpaces>2995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2026-03-08T10:49:00Z</dcterms:created>
  <dc:creator>静涛</dc:creator>
  <cp:lastModifiedBy>qianer倩儿</cp:lastModifiedBy>
  <cp:lastPrinted>2026-03-12T08:21:00Z</cp:lastPrinted>
  <dcterms:modified xsi:type="dcterms:W3CDTF">2026-03-13T05:47:52Z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700A472B91A540E8BC32E5A4AC2664C9_13</vt:lpwstr>
  </property>
  <property fmtid="{D5CDD505-2E9C-101B-9397-08002B2CF9AE}" pid="4" name="KSOTemplateDocerSaveRecord">
    <vt:lpwstr>eyJoZGlkIjoiOGUwYzQ0MTAwMzVmZTcxOWE3ZTY2OWU2MDhjZDc3NmEiLCJ1c2VySWQiOiIzOTc0OTE4ODEifQ==</vt:lpwstr>
  </property>
</Properties>
</file>