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82B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left"/>
        <w:rPr>
          <w:rFonts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</w:pPr>
    </w:p>
    <w:p w14:paraId="6A957C18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eastAsia="zh-CN"/>
        </w:rPr>
        <w:t>蛟潭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镇2024年财政预算执行情况和</w:t>
      </w:r>
    </w:p>
    <w:p w14:paraId="06107928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2025年财政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eastAsia="zh-CN"/>
        </w:rPr>
        <w:t>草案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的报告</w:t>
      </w:r>
    </w:p>
    <w:p w14:paraId="6A316D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452" w:afterAutospacing="0" w:line="525" w:lineRule="atLeast"/>
        <w:ind w:left="0" w:right="0" w:firstLine="1889" w:firstLineChars="607"/>
        <w:jc w:val="both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</w:pP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蛟潭镇经济发展办主任</w:t>
      </w: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 xml:space="preserve">   鲍根平</w:t>
      </w:r>
    </w:p>
    <w:p w14:paraId="3EDFA972">
      <w:pPr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各位代表：</w:t>
      </w:r>
    </w:p>
    <w:p w14:paraId="39030DA6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受镇人民政府委托，向大会报告2024年全镇财政预算执行情况和2025年镇财政预算草案，请予审议；并请其他列席会议的同志提出宝贵意见。</w:t>
      </w:r>
    </w:p>
    <w:p w14:paraId="32E96B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ascii="黑体" w:hAnsi="宋体" w:eastAsia="黑体" w:cs="黑体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</w:pPr>
    </w:p>
    <w:p w14:paraId="3E79AE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Fonts w:ascii="黑体" w:hAnsi="宋体" w:eastAsia="黑体" w:cs="黑体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一、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2024</w:t>
      </w:r>
      <w:r>
        <w:rPr>
          <w:rFonts w:hint="eastAsia" w:ascii="黑体" w:hAnsi="宋体" w:eastAsia="黑体" w:cs="黑体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年地方财政预算执行情况</w:t>
      </w:r>
    </w:p>
    <w:p w14:paraId="3489E64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2024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年是中华人民共和国成立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75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周年，是实现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十四五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规划目标任务的关键一年。面对复杂多变的经济形势和艰巨繁重的改革发展稳定任务，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蛟潭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镇坚定信心、承压前行，推动积极的财政政策加力提效，坚决防范化解财政运行风险，全力保障重点领域支出，财政改革发展各项工作扎实推进，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精心谋划我镇经济发展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，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财政运行总体平稳有序。</w:t>
      </w:r>
    </w:p>
    <w:p w14:paraId="262A101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Fonts w:ascii="楷体_gb2312" w:hAnsi="楷体_gb2312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（一）</w:t>
      </w:r>
      <w:r>
        <w:rPr>
          <w:rStyle w:val="6"/>
          <w:rFonts w:ascii="楷体_gb2312" w:hAnsi="Times New Roman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财政收入完成情况</w:t>
      </w:r>
    </w:p>
    <w:p w14:paraId="37320A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</w:pP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2024年，全镇完成财政总收入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900.09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万元，同比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下降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41.91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%。其中，一般公共预算收入完成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364.39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万元，同比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下降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53.72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%。</w:t>
      </w:r>
    </w:p>
    <w:p w14:paraId="750158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（二）</w:t>
      </w:r>
      <w:r>
        <w:rPr>
          <w:rStyle w:val="6"/>
          <w:rFonts w:hint="default" w:ascii="楷体_gb2312" w:hAnsi="Times New Roman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财政支出完成情况</w:t>
      </w:r>
    </w:p>
    <w:p w14:paraId="0A6508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</w:rPr>
        <w:t>2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024年财政总支出完成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5440.42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万元，其中一般公共预算支出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4531.85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万元，上解支出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922.04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万元，基金支出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908.57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。</w:t>
      </w:r>
    </w:p>
    <w:p w14:paraId="65F57573">
      <w:pPr>
        <w:spacing w:line="600" w:lineRule="exact"/>
        <w:ind w:firstLine="600" w:firstLineChars="200"/>
        <w:jc w:val="left"/>
        <w:textAlignment w:val="baseline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1.</w:t>
      </w:r>
      <w:r>
        <w:rPr>
          <w:rFonts w:hint="eastAsia" w:ascii="仿宋_GB2312" w:hAnsi="仿宋_GB2312" w:eastAsia="仿宋_GB2312" w:cs="仿宋_GB2312"/>
          <w:sz w:val="30"/>
          <w:szCs w:val="30"/>
        </w:rPr>
        <w:t>一般公共预算支出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4531.85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</w:t>
      </w:r>
    </w:p>
    <w:p w14:paraId="78FDB26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</w:pP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一般公共预算支出按支出功能分类如下：一般公共服务支出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1000.46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国防支出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支出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8.88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公共安全支出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5.46万元，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文化旅游体育与传媒支出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13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万元，社会保障和就业支出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342.61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万元，卫生健康支出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45.95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万元，节能环保支出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157.64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万元，城乡社区支出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173.04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万元，农林水支出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2686.07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万元，住房保障支出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78.5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万元，灾害防治及应急管理支出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12.24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，其他支出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8万元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。</w:t>
      </w:r>
    </w:p>
    <w:p w14:paraId="2EB14B39">
      <w:pPr>
        <w:spacing w:line="600" w:lineRule="exact"/>
        <w:ind w:firstLine="600" w:firstLineChars="200"/>
        <w:jc w:val="left"/>
        <w:textAlignment w:val="baseline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</w:rPr>
        <w:t>年全镇一般公共预算收入加上级补助收入、预算稳定调节基金及上年结余等，总收入合计为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6183.24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</w:t>
      </w:r>
      <w:r>
        <w:rPr>
          <w:rFonts w:ascii="仿宋_GB2312" w:hAnsi="仿宋_GB2312" w:eastAsia="仿宋_GB2312" w:cs="仿宋_GB2312"/>
          <w:sz w:val="30"/>
          <w:szCs w:val="30"/>
        </w:rPr>
        <w:t>;</w:t>
      </w:r>
      <w:r>
        <w:rPr>
          <w:rFonts w:hint="eastAsia" w:ascii="仿宋_GB2312" w:hAnsi="仿宋_GB2312" w:eastAsia="仿宋_GB2312" w:cs="仿宋_GB2312"/>
          <w:sz w:val="30"/>
          <w:szCs w:val="30"/>
        </w:rPr>
        <w:t>一般公共预算支出加上解支出、结转下年支出等，总支出合计为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6183.24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万元，全年预算平衡。</w:t>
      </w:r>
    </w:p>
    <w:p w14:paraId="7155EB8F">
      <w:pPr>
        <w:spacing w:line="600" w:lineRule="exact"/>
        <w:ind w:firstLine="600" w:firstLineChars="200"/>
        <w:jc w:val="left"/>
        <w:textAlignment w:val="baseline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2.</w:t>
      </w:r>
      <w:r>
        <w:rPr>
          <w:rFonts w:hint="eastAsia" w:ascii="仿宋_GB2312" w:hAnsi="仿宋_GB2312" w:eastAsia="仿宋_GB2312" w:cs="仿宋_GB2312"/>
          <w:sz w:val="30"/>
          <w:szCs w:val="30"/>
        </w:rPr>
        <w:t>政府性基金预算执行情况</w:t>
      </w:r>
    </w:p>
    <w:p w14:paraId="4088CE6F">
      <w:pPr>
        <w:pStyle w:val="3"/>
        <w:widowControl/>
        <w:spacing w:beforeAutospacing="0" w:after="300" w:afterAutospacing="0"/>
        <w:ind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</w:rPr>
        <w:t>年全镇政府性基金上级补助收入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1248.73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上年结余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132.05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万元；全镇政府性基金支出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908.57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万元，结转下年支出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472.21</w:t>
      </w:r>
      <w:r>
        <w:rPr>
          <w:rFonts w:hint="eastAsia" w:ascii="仿宋_GB2312" w:hAnsi="仿宋_GB2312" w:eastAsia="仿宋_GB2312" w:cs="仿宋_GB2312"/>
          <w:sz w:val="30"/>
          <w:szCs w:val="30"/>
        </w:rPr>
        <w:t>万，收支平衡。</w:t>
      </w:r>
    </w:p>
    <w:p w14:paraId="0DD4EEAB">
      <w:pPr>
        <w:pStyle w:val="2"/>
      </w:pPr>
    </w:p>
    <w:p w14:paraId="220131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</w:pPr>
    </w:p>
    <w:p w14:paraId="2A42C0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</w:rPr>
        <w:t>二、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</w:rPr>
        <w:t>2024</w:t>
      </w: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</w:rPr>
        <w:t>年财政工作情况</w:t>
      </w:r>
    </w:p>
    <w:p w14:paraId="6B157D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0" w:beforeAutospacing="0" w:after="21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一年来，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蛟潭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镇坚持以习近平新时代中国特色社会主义思想为指导，深入贯彻党的二十大和二十届二中、三中全会精神，坚持稳中求进工作总基调，抓住积极的财政政策，大力挖掘本地区财源，全力稳经济、增动能、惠民生、防风险，大力优化支出结构，积极发挥财政职能，全镇经济运行保持稳中有进的良好态势，有力推动经济恢复和社会大局稳定。</w:t>
      </w:r>
    </w:p>
    <w:p w14:paraId="0CE1C4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Style w:val="6"/>
          <w:rFonts w:hint="default" w:ascii="楷体_gb2312" w:hAnsi="Times New Roman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（一）组织领导有力，财政运行稳中有进</w:t>
      </w:r>
      <w:r>
        <w:rPr>
          <w:rStyle w:val="6"/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坚持把财源建设作为财政工作的重中之重，通过落实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财税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政策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、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强化税收征管等措施，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保障财税税源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。积极争取上级转移支付等支持，持续优化财政支出结构，加大对重点领域和关键环节的投入力度，民生支出、乡村振兴、基础设施建设等重点支出得到有效保障。</w:t>
      </w:r>
    </w:p>
    <w:p w14:paraId="64C7DF3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Style w:val="6"/>
          <w:rFonts w:hint="default" w:ascii="楷体_gb2312" w:hAnsi="Times New Roman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（二）预算管理有方，节流提效成果显著</w:t>
      </w:r>
      <w:r>
        <w:rPr>
          <w:rStyle w:val="6"/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。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蛟潭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镇牢固树立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过紧日子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思想，强化预算约束，提高财政资金使用效益。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一是压减非刚性非重点支出。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聚焦加强政府投资项目管理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，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牢固树立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有多少钱办多少事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理念，强化政府投资预算约束。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二是严控一般性支出。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大力贯彻落实党政机关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过紧日子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的要求，一般性支出、非必要支出、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三公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经费进一步压缩，支出做到了只减不增，确保财政资金用在刀刃上。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三是加强预算资源统筹和硬化预算约束。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按照轻重缓急排序，将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三保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支出预算置于预算安排第一位，调整优化支出结构，坚持先有预算后有支出，强化财经纪律约束。</w:t>
      </w:r>
    </w:p>
    <w:p w14:paraId="1A02AC70">
      <w:pPr>
        <w:snapToGrid w:val="0"/>
        <w:spacing w:line="560" w:lineRule="exact"/>
        <w:ind w:firstLine="622" w:firstLineChars="200"/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</w:pPr>
      <w:r>
        <w:rPr>
          <w:rStyle w:val="6"/>
          <w:rFonts w:hint="default" w:ascii="楷体_gb2312" w:hAnsi="Times New Roman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（三）重点支出有序，民生资金保障到位</w:t>
      </w:r>
      <w:r>
        <w:rPr>
          <w:rStyle w:val="6"/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围绕巩固拓展脱贫攻坚成果同乡村振兴有效衔接目标，加大民生投入，扎实做好重点民生工程、困难群众基本生活保障等工作，让广大群众得到更多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看得见、摸得着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的实惠，努力解决群众最关心、最直接、最现实的问题。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一是持续推进</w:t>
      </w:r>
      <w:bookmarkStart w:id="0" w:name="OLE_LINK5"/>
      <w:bookmarkStart w:id="1" w:name="OLE_LINK6"/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“四融一共”和美乡村建设</w:t>
      </w:r>
      <w:bookmarkEnd w:id="0"/>
      <w:bookmarkEnd w:id="1"/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以及乡村振兴项目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，保障了农村环境整治，农村饮水安全工程，农田水利设施建设等各项事业的发展；二是支持农村公益事业发展，积极争取上级部门专项资金用于农村公益事业建设；</w:t>
      </w:r>
      <w:bookmarkStart w:id="2" w:name="OLE_LINK7"/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三是争取革命老区转移支付项目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两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个，资金1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00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万元，用于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蛟潭中心路口至蛟潭老街街道道路改造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、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蛟潭老街太阳能路灯安装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工程</w:t>
      </w:r>
      <w:bookmarkEnd w:id="2"/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。</w:t>
      </w:r>
      <w:bookmarkStart w:id="3" w:name="OLE_LINK8"/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四是实施好村级公益事业“一事一议”财政奖补项目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16个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，核定财政奖补资金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152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万元</w:t>
      </w:r>
      <w:bookmarkEnd w:id="3"/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。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五是落实中央专项彩票公益金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项目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4个，落实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 xml:space="preserve">资金 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val="en-US" w:eastAsia="zh-CN"/>
        </w:rPr>
        <w:t>287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 xml:space="preserve"> 万元，</w:t>
      </w:r>
    </w:p>
    <w:p w14:paraId="0204CE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</w:pPr>
    </w:p>
    <w:p w14:paraId="2BB7CE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Style w:val="6"/>
          <w:rFonts w:hint="default" w:ascii="楷体_gb2312" w:hAnsi="Times New Roman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（四）制度改革有效，治理水平稳步提升</w:t>
      </w:r>
      <w:r>
        <w:rPr>
          <w:rStyle w:val="6"/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进一步深化预算管理一体化改革，不断提高业务管理及系统应用成效，建立规范透明、标准科学、约束有力的预算制度。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一是优化预算编制管理。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按照实施全面规范、公开透明的预算制度的总体要求，优化支出结构，提升预算管理的科学性、规范性和有效性，清晰反映预算安排的经常性支出、资本性支出等情况。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二是完善财政监管机制。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加强预算执行动态监控，落实落细单位内部控制制度，通过制度完善、支出预警、预决算公开等措施进一步规范财政资金管理。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三是深化政府采购信息化管理改革。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持续推进政府采购年初预算，严格控制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无预算不得采购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，实现目录内采购均通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过</w:t>
      </w:r>
      <w:bookmarkStart w:id="4" w:name="_GoBack"/>
      <w:bookmarkEnd w:id="4"/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电子卖场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平台采购。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四是全面推进预决算公开工作。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全面提升预决算公开质量。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五是全面实施预算绩效管理。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建立健全绩效指标体系和评价机制，将绩效管理贯穿预算编制、执行、监督全过程，实现了预算与绩效深度融合，财政资金使用效益明显提高。</w:t>
      </w:r>
    </w:p>
    <w:p w14:paraId="2A7589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各位代表，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2024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年我们积极面对财政增收压力，凝聚全镇干群智慧、攻坚克难保增收，圆满完成了全年财政收支目标任务。但我们也清醒地认识到，财政运行面临诸多困难和问题：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一是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财源结构单一，产业发展不均衡、不充分的状况没有根本改变，财政增收缺乏有力的支撑点；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二是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财政刚性支出增大，收支矛盾突出，财政支出结构有待进一步改善，财政保障能力依然不强；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三是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项目资金缺口较大，财政资金安排有限，化解缺口资金难度加大。</w:t>
      </w:r>
    </w:p>
    <w:p w14:paraId="759D5F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三、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2025</w:t>
      </w:r>
      <w:r>
        <w:rPr>
          <w:rFonts w:hint="eastAsia" w:ascii="黑体" w:hAnsi="宋体" w:eastAsia="黑体" w:cs="黑体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年地方财政预算（草案）</w:t>
      </w:r>
    </w:p>
    <w:p w14:paraId="38D2DD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0" w:beforeAutospacing="0" w:after="210" w:afterAutospacing="0" w:line="540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2025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年是实施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十四五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规划的收官之年，也是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十五五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规划的谋篇布局之年，具有承前启后的重要意义，做好预算编制工作意义重大。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2025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年我镇财政工作和财政收支预算编制的总体要求是：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深入贯彻党的二十大和二十届二中、三中全会精神，全面落实中央和省、市关于预算管理的决策部署，紧紧围绕镇党委、政府中心工作，深化预算管理制度改革，优化财政资源配置，强化预算执行管理，提高财政资金使用效益，为全镇经济社会高质量发展提供有力保障。</w:t>
      </w:r>
    </w:p>
    <w:p w14:paraId="054DCF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围绕上述工作思路及全镇经济社会发展预期目标，在充分考虑影响财政收支各种因素的基础上，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2025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年全镇预算及支出安排建议如下：</w:t>
      </w:r>
    </w:p>
    <w:p w14:paraId="0F1B83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Style w:val="6"/>
          <w:rFonts w:hint="default" w:ascii="楷体_gb2312" w:hAnsi="Times New Roman" w:eastAsia="楷体_gb2312" w:cs="楷体_gb2312"/>
          <w:b/>
          <w:bCs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</w:rPr>
        <w:t>（一）财政收入预算安排情况</w:t>
      </w:r>
    </w:p>
    <w:p w14:paraId="3640BB9B">
      <w:pPr>
        <w:spacing w:line="600" w:lineRule="exact"/>
        <w:ind w:firstLine="600" w:firstLineChars="200"/>
        <w:jc w:val="left"/>
        <w:textAlignment w:val="baseline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0"/>
          <w:szCs w:val="30"/>
        </w:rPr>
        <w:t>年全镇财政总收入预算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2700.74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万元，比</w:t>
      </w:r>
      <w:r>
        <w:rPr>
          <w:rFonts w:ascii="仿宋_GB2312" w:hAnsi="仿宋_GB2312" w:eastAsia="仿宋_GB2312" w:cs="仿宋_GB2312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</w:rPr>
        <w:t>年预算数减少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19.2</w:t>
      </w:r>
      <w:r>
        <w:rPr>
          <w:rFonts w:ascii="仿宋_GB2312" w:hAnsi="仿宋_GB2312" w:eastAsia="仿宋_GB2312" w:cs="仿宋_GB2312"/>
          <w:sz w:val="30"/>
          <w:szCs w:val="30"/>
        </w:rPr>
        <w:t>%</w:t>
      </w:r>
      <w:r>
        <w:rPr>
          <w:rFonts w:hint="eastAsia" w:ascii="仿宋_GB2312" w:hAnsi="仿宋_GB2312" w:eastAsia="仿宋_GB2312" w:cs="仿宋_GB2312"/>
          <w:sz w:val="30"/>
          <w:szCs w:val="30"/>
        </w:rPr>
        <w:t>；一般公共预算收入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1127.3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万元，比</w:t>
      </w:r>
      <w:r>
        <w:rPr>
          <w:rFonts w:ascii="仿宋_GB2312" w:hAnsi="仿宋_GB2312" w:eastAsia="仿宋_GB2312" w:cs="仿宋_GB2312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</w:rPr>
        <w:t>年预算数减少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19.2</w:t>
      </w:r>
      <w:r>
        <w:rPr>
          <w:rFonts w:ascii="仿宋_GB2312" w:hAnsi="仿宋_GB2312" w:eastAsia="仿宋_GB2312" w:cs="仿宋_GB2312"/>
          <w:sz w:val="30"/>
          <w:szCs w:val="30"/>
        </w:rPr>
        <w:t>%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 w14:paraId="0B71E548">
      <w:pPr>
        <w:spacing w:line="600" w:lineRule="exact"/>
        <w:ind w:firstLine="600" w:firstLineChars="200"/>
        <w:jc w:val="left"/>
        <w:textAlignment w:val="baseline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0"/>
          <w:szCs w:val="30"/>
        </w:rPr>
        <w:t>年一般公共预算收入，加上上级固定及提前下达结算补助收入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905.8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万元及预算稳定调节基金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万元，减去上解支出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76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万元，预算财力预计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1987.1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万元。</w:t>
      </w:r>
    </w:p>
    <w:p w14:paraId="14CE11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Style w:val="6"/>
          <w:rFonts w:hint="default" w:ascii="楷体_gb2312" w:hAnsi="Times New Roman" w:eastAsia="楷体_gb2312" w:cs="楷体_gb2312"/>
          <w:b/>
          <w:bCs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</w:rPr>
        <w:t>（二）财政支出预算安排情况</w:t>
      </w:r>
    </w:p>
    <w:p w14:paraId="703540B5">
      <w:pPr>
        <w:spacing w:line="600" w:lineRule="exact"/>
        <w:ind w:firstLine="600" w:firstLineChars="200"/>
        <w:jc w:val="left"/>
        <w:textAlignment w:val="baseline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0"/>
          <w:szCs w:val="30"/>
        </w:rPr>
        <w:t>年一般公共财政预算支出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1987.1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万元。具体安排是：</w:t>
      </w:r>
    </w:p>
    <w:p w14:paraId="7CEF2787">
      <w:pPr>
        <w:spacing w:line="600" w:lineRule="exact"/>
        <w:ind w:firstLine="600" w:firstLineChars="200"/>
        <w:jc w:val="left"/>
        <w:textAlignment w:val="baseline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一般公共服务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765.8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万元，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教育支出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5万元，卫生健康支出18.4，</w:t>
      </w:r>
      <w:r>
        <w:rPr>
          <w:rFonts w:hint="eastAsia" w:ascii="仿宋_GB2312" w:hAnsi="仿宋_GB2312" w:eastAsia="仿宋_GB2312" w:cs="仿宋_GB2312"/>
          <w:sz w:val="30"/>
          <w:szCs w:val="30"/>
        </w:rPr>
        <w:t>社会保障和就业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136.8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万元，农林水事务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498.7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万元，住房保障支出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57.4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万元，年初预留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505</w:t>
      </w:r>
      <w:r>
        <w:rPr>
          <w:rFonts w:hint="eastAsia" w:ascii="仿宋_GB2312" w:hAnsi="仿宋_GB2312" w:eastAsia="仿宋_GB2312" w:cs="仿宋_GB2312"/>
          <w:sz w:val="30"/>
          <w:szCs w:val="30"/>
        </w:rPr>
        <w:t>万。</w:t>
      </w:r>
    </w:p>
    <w:p w14:paraId="6F071E51">
      <w:pPr>
        <w:spacing w:line="600" w:lineRule="exact"/>
        <w:ind w:firstLine="600" w:firstLineChars="200"/>
        <w:jc w:val="left"/>
        <w:textAlignment w:val="baseline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根据上述安排，我镇财政收入总量小，对上级转移支付的依存度大，收入增长压力不断加大，财政必保支出较多，机关事业单位人员增资，养老保险缴费等刚性支出需求增大，收支矛盾仍然突出，历史遗留问题过多，民生支出增大，加上基础设施建设，生态环境治理、农村综合改革、乡村振兴等方面的投入不断加大等因素影响，</w:t>
      </w:r>
      <w:r>
        <w:rPr>
          <w:rFonts w:ascii="仿宋_GB2312" w:hAnsi="仿宋_GB2312" w:eastAsia="仿宋_GB2312" w:cs="仿宋_GB2312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0"/>
          <w:szCs w:val="30"/>
        </w:rPr>
        <w:t>年我镇财政收支安排依然是紧平衡。</w:t>
      </w:r>
    </w:p>
    <w:p w14:paraId="18208F05">
      <w:pPr>
        <w:spacing w:line="600" w:lineRule="exact"/>
        <w:jc w:val="left"/>
        <w:textAlignment w:val="baseline"/>
        <w:rPr>
          <w:rFonts w:ascii="仿宋_GB2312" w:hAnsi="仿宋_GB2312" w:eastAsia="仿宋_GB2312" w:cs="仿宋_GB2312"/>
          <w:sz w:val="30"/>
          <w:szCs w:val="30"/>
        </w:rPr>
      </w:pPr>
    </w:p>
    <w:p w14:paraId="34AD75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四、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2025</w:t>
      </w: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年工作重点</w:t>
      </w:r>
    </w:p>
    <w:p w14:paraId="0AEC4C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Style w:val="6"/>
          <w:rFonts w:hint="default" w:ascii="楷体_gb2312" w:hAnsi="Times New Roman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（一）硬化预算约束能力，财政预算执行更加规范</w:t>
      </w:r>
      <w:r>
        <w:rPr>
          <w:rStyle w:val="6"/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坚持量入为出，确保收支平衡。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一是实事求是编制收入预算。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不断加强宏观经济形势分析和预测，充分考虑经济运行、减税降费、政策调整等因素对财政收入的影响，科学合理确定收入预期目标，确保收入预算积极稳妥、真实可靠。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二是从严从紧控制支出预算。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牢固树立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过紧日子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思想，坚持厉行节约、精打细算，大力压减一般性支出，严格控制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三公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经费预算，确保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三公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经费只减不增。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三是强化预算收支平衡。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坚持量入为出、收支平衡的原则，合理安排支出预算，确保预算收支平衡，严禁无预算、超预算支出，切实防范财政运行风险。</w:t>
      </w:r>
    </w:p>
    <w:p w14:paraId="09A0D3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Style w:val="6"/>
          <w:rFonts w:hint="default" w:ascii="楷体_gb2312" w:hAnsi="Times New Roman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（二）加强财政收入征管，财政保障实力全面提升</w:t>
      </w:r>
      <w:r>
        <w:rPr>
          <w:rStyle w:val="6"/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不断强化收入征管，确保财政保障实力全面提升。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一是加强税源培植。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加强对传统产业、新兴产业、小微企业的服务力度，助推产业转型，促进财源持续稳定。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二是争取上级支持。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围绕上级决策部署，加大解析研究力度，准确捕捉上级资金投向，积极争取上级优惠政策、重大项目和财政资金的支持。三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是强化收入征管。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加强部门协调配合，推进综合治税，实施主体税种、重点税源监控，完善齐抓共管的征管机制，切实做到挖潜堵漏，确保税收应收尽收。</w:t>
      </w:r>
    </w:p>
    <w:p w14:paraId="3E10B4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Style w:val="6"/>
          <w:rFonts w:hint="default" w:ascii="楷体_gb2312" w:hAnsi="Times New Roman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（三）严格控制支出管理，财政监督机制协调有序</w:t>
      </w:r>
      <w:r>
        <w:rPr>
          <w:rStyle w:val="6"/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一要坚决贯彻</w:t>
      </w:r>
      <w:r>
        <w:rPr>
          <w:rStyle w:val="6"/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能省则省</w:t>
      </w:r>
      <w:r>
        <w:rPr>
          <w:rStyle w:val="6"/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的宗旨。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进一步压减行政运行成本，切实做到政策有落实，压减有成效。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二要坚决遵守</w:t>
      </w:r>
      <w:r>
        <w:rPr>
          <w:rStyle w:val="6"/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量力而行</w:t>
      </w:r>
      <w:r>
        <w:rPr>
          <w:rStyle w:val="6"/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的原则。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进一步压减非刚性非重点支出，对于政府投资项目应审慎考虑建设必要性、可行性和财政承受能力，提级审查后再申报预算，无预算不实施。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三要坚决落实</w:t>
      </w:r>
      <w:r>
        <w:rPr>
          <w:rStyle w:val="6"/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只减不增</w:t>
      </w:r>
      <w:r>
        <w:rPr>
          <w:rStyle w:val="6"/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的要求。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严格遵守编制和人事管理规定，严格执行机关事业单位人员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多退少进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制度，保持财政供养人员数量只减不增。</w:t>
      </w:r>
    </w:p>
    <w:p w14:paraId="10CDAF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Style w:val="6"/>
          <w:rFonts w:hint="default" w:ascii="楷体_gb2312" w:hAnsi="Times New Roman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（四）不断强化队伍建设，履职尽责能力全面提升</w:t>
      </w:r>
      <w:r>
        <w:rPr>
          <w:rStyle w:val="6"/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不断强化队伍建设，全面提升队伍业务能力和素质。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一是加强业务学习。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顺应新时代要求，加强对新制度、新政策、新规定的学习，理顺财政工作思路，不断提升服务水平。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二是提升队伍专业性。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定期开展财务培训，建立专业化财政队伍，巩固财政运行基础。</w:t>
      </w:r>
      <w:r>
        <w:rPr>
          <w:rStyle w:val="6"/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三是推进廉政建设。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通过制定学习制度，观看警示教育片，撰写学习心得等，树牢廉洁奉公的理念，建设风清气正的财政队伍。</w:t>
      </w:r>
    </w:p>
    <w:p w14:paraId="5D06817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3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94949"/>
          <w:spacing w:val="0"/>
          <w:sz w:val="21"/>
          <w:szCs w:val="21"/>
          <w:u w:val="none"/>
        </w:rPr>
      </w:pP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各位代表，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2025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年已然拉开帷幕，在这关键一年，我们将在镇党委、政府的领导与镇人大的有力监督支持下，心往一处想、劲往一处使，秉持真抓实干、奋勇争先的工作作风，锚定目标任务，把财政各项工作抓细抓实。我们将以高度的责任感和使命感，全力推动财政工作迈上新台阶，奋力谱写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  <w:lang w:eastAsia="zh-CN"/>
        </w:rPr>
        <w:t>蛟潭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94949"/>
          <w:spacing w:val="0"/>
          <w:sz w:val="31"/>
          <w:szCs w:val="31"/>
          <w:u w:val="none"/>
          <w:shd w:val="clear" w:fill="FFFFFF"/>
        </w:rPr>
        <w:t>发展的崭新篇章！</w:t>
      </w:r>
    </w:p>
    <w:p w14:paraId="71CA45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07B07"/>
    <w:rsid w:val="04E85283"/>
    <w:rsid w:val="070B6B66"/>
    <w:rsid w:val="0E863D82"/>
    <w:rsid w:val="119A0DA4"/>
    <w:rsid w:val="11C069DB"/>
    <w:rsid w:val="13C803BF"/>
    <w:rsid w:val="16A208E0"/>
    <w:rsid w:val="18F558C8"/>
    <w:rsid w:val="1F3B74D2"/>
    <w:rsid w:val="23541A05"/>
    <w:rsid w:val="2C554796"/>
    <w:rsid w:val="315F66E0"/>
    <w:rsid w:val="3257140E"/>
    <w:rsid w:val="3858409B"/>
    <w:rsid w:val="3AA31AE7"/>
    <w:rsid w:val="4BF47196"/>
    <w:rsid w:val="555667E9"/>
    <w:rsid w:val="6421269A"/>
    <w:rsid w:val="69BE4574"/>
    <w:rsid w:val="6A6B28C1"/>
    <w:rsid w:val="73F41B79"/>
    <w:rsid w:val="7CBC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basedOn w:val="1"/>
    <w:qFormat/>
    <w:uiPriority w:val="0"/>
    <w:pPr>
      <w:spacing w:line="440" w:lineRule="exact"/>
      <w:ind w:firstLine="480" w:firstLine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3864</Words>
  <Characters>4128</Characters>
  <Lines>0</Lines>
  <Paragraphs>0</Paragraphs>
  <TotalTime>15</TotalTime>
  <ScaleCrop>false</ScaleCrop>
  <LinksUpToDate>false</LinksUpToDate>
  <CharactersWithSpaces>4133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2025-05-13T03:07:00Z</dcterms:created>
  <dc:creator>Administrator</dc:creator>
  <cp:lastModifiedBy>Administrator</cp:lastModifiedBy>
  <dcterms:modified xsi:type="dcterms:W3CDTF">2025-05-14T01:36:05Z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eyJoZGlkIjoiOWZiOGQ5ODdhMmU4MWNjZGZhYzBhMTZkNzI0YThkMzMifQ==</vt:lpwstr>
  </property>
  <property fmtid="{D5CDD505-2E9C-101B-9397-08002B2CF9AE}" pid="4" name="ICV">
    <vt:lpwstr>48BFB064359144DEA06E9787B28D3B41_13</vt:lpwstr>
  </property>
</Properties>
</file>