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178" w:leftChars="-85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关于20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sz w:val="44"/>
          <w:szCs w:val="44"/>
        </w:rPr>
        <w:t>年度财政预算执行情况和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年财政预算草案的报告</w:t>
      </w:r>
    </w:p>
    <w:bookmarkEnd w:id="0"/>
    <w:p>
      <w:pPr>
        <w:spacing w:line="600" w:lineRule="exact"/>
        <w:jc w:val="center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——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20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21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年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月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日在乡十七届人大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次会议上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曹兆锋</w:t>
      </w:r>
    </w:p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、同志们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我受乡人民政府委托，向大会报告2020年财政预算执行情况与2021年财政预算草案，请予审议；2021年预算草案，请予审查批准。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一、2020年财政预算执行情况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是极不平凡的一年。在乡党委的坚强领导下，在乡人大的依法监督支持下，全乡以习近平新时代中国特色社会主义思想为指导，以高质量发展为导向，以稳中求进为总基调，积极应对新冠肺炎疫情影响，全面落实减税降费政策，狠抓增收节支、开源节流，促进财政收入稳定增长，重点保障民生需求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财政运行总体平稳，财政运行情况良好。执行情况如下：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1.一般公共预算执行情况</w:t>
      </w:r>
    </w:p>
    <w:p>
      <w:pPr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全乡财政总收入完成2612万元，增长92.92%。一般公共预算收入完成1156万元，增长73.4％。一般公共预算支出4625.1万元（主要项目完成情况为：一般公共服务支出1633.5万元；公共安全支出1万元；文化体育与传媒支出21万元；社会保障和就业支出420.5万元；卫生健康支出67.7万元；节能环保支出181万元；城乡社区支出335万；农林水支出1498.7万元；灾害防治及应急管理支出410.2万元；其他支出56.5万元。），比上年增长73%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2020年全乡一般公共预算收入加上级补助收入、上年结余等，总收入合计为4685.5万元;一般公共预算支出加上解支出、结转下年支出等，总支出合计为4625.1万元，全年预算平衡。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2.政府性基金预算执行情况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2020年全乡政府性基金收入390.1万元（上级补助收入）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，比上年上升159%；全乡政府性基金支出390.1万元，比上年上升159%；全年预算平衡。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财政工作成绩的取得，是党委、政府正确领导的结果，是全乡人民的共同努力的结果，在肯定成绩的同时，我们也清醒地看到那些长期困绕我乡财政工作的困难和问题，与建设美丽和谐文明宜居新江村的要求还有一定差距：一是我乡缺少支柱型财源，财政收入总量偏小，税收质量不高，民生支出、机构运转、人员经费等刚性支出压力大；二是财政规范化、精细化管理有待进一步提高;三是惠民生，促发展等领域支出强度逐年增大的同时，预算刚性约束还不够，资金使用绩效仍需进一步提升。对于这些问题，我们将高度重视，通过不断深化改革、加快发展、严肃法纪和规范管理等综合措施，认真加以解决。</w:t>
      </w:r>
    </w:p>
    <w:p>
      <w:pPr>
        <w:spacing w:line="600" w:lineRule="exact"/>
        <w:ind w:firstLine="643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二、2021年财政预算草案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我们将全面贯例落实中央、省、市、县的各项决策部署，紧紧围绕乡党委、政府的重大布局，抢抓国家扩大投资拉动内需政策机遇，充分发挥财政政策逆周期调节作用，促进经济高质量跨越式发展。优化财政支出结构，着力保障“三保”支出，促进经济持续健康发展、社会和谐稳定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按照上述总体要求，和“保重点、控一般、促优化、提绩效”的要求， 坚持“量入为出，有保有压”的原则，树立过紧日子的思想，大力压缩非工资性支出，结合我乡经济发展状况和促进事业发展的需要，拟定预算收入和预算支出方面的草案如下：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（一）收入预算草案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年全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ascii="仿宋_GB2312" w:hAnsi="仿宋_GB2312" w:eastAsia="仿宋_GB2312" w:cs="仿宋_GB2312"/>
          <w:sz w:val="32"/>
          <w:szCs w:val="32"/>
        </w:rPr>
        <w:t>财政总收入预算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1800万</w:t>
      </w:r>
      <w:r>
        <w:rPr>
          <w:rFonts w:ascii="仿宋_GB2312" w:hAnsi="仿宋_GB2312" w:eastAsia="仿宋_GB2312" w:cs="仿宋_GB2312"/>
          <w:sz w:val="32"/>
          <w:szCs w:val="32"/>
        </w:rPr>
        <w:t>元，比20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ascii="仿宋_GB2312" w:hAnsi="仿宋_GB2312" w:eastAsia="仿宋_GB2312" w:cs="仿宋_GB2312"/>
          <w:sz w:val="32"/>
          <w:szCs w:val="32"/>
        </w:rPr>
        <w:t>数增长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一般公共预算收入700万元，</w:t>
      </w:r>
      <w:r>
        <w:rPr>
          <w:rFonts w:ascii="仿宋_GB2312" w:hAnsi="仿宋_GB2312" w:eastAsia="仿宋_GB2312" w:cs="仿宋_GB2312"/>
          <w:sz w:val="32"/>
          <w:szCs w:val="32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ascii="仿宋_GB2312" w:hAnsi="仿宋_GB2312" w:eastAsia="仿宋_GB2312" w:cs="仿宋_GB2312"/>
          <w:sz w:val="32"/>
          <w:szCs w:val="32"/>
        </w:rPr>
        <w:t>数增长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21年一般公共预算收入，加上上级固定及提前下达结算补助收入1211万元，减去上解支出56万元，</w:t>
      </w:r>
      <w:r>
        <w:rPr>
          <w:rFonts w:ascii="仿宋_GB2312" w:hAnsi="仿宋_GB2312" w:eastAsia="仿宋_GB2312" w:cs="仿宋_GB2312"/>
          <w:sz w:val="32"/>
          <w:szCs w:val="32"/>
        </w:rPr>
        <w:t>预算财力预计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1155万元。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（二）支出预算草案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2021年一般公共财政预算支出1155万元。具体安排是：</w:t>
      </w:r>
    </w:p>
    <w:p>
      <w:pPr>
        <w:spacing w:line="600" w:lineRule="exact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一般公共服务990万元，农林水事务145万元，其它支出20万。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上述安排，我乡财政收入总量小，对上级转移支付的依存度大，收入增长压力不断加大，财政必保支出较多，机关事业单位人员增资，养老保险缴费等刚性支出需求增大，收支矛盾仍然突出，历史遗留问题过多，民生支出增大，加上基础设施建设，生态环境治理、农村综合改革、乡村振兴等方面的投入不断加大等因素影响，2021年我乡财政收支安排依然是紧平衡。</w:t>
      </w:r>
    </w:p>
    <w:p>
      <w:pPr>
        <w:spacing w:line="600" w:lineRule="exact"/>
        <w:ind w:firstLine="643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三、扎实做好2021年各项财政工作　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我乡财政工作的指导思想是：以习近平新时代中国特色社会主义思想为指导，深入贯彻党的十九大精神，继续实施积极财政政策，促进经济较快发展；认真贯彻省、市、县经济会议精神；压缩行政运行成本，优化支出结构，推进公共财政建设，切实保障和改善民生；坚持统筹兼顾、增收节支的方针，牢固树立“过紧日子”的思想；强化财政监督，加强作风建设，树立务实高效的良好形象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（一）全力组织收入，为全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各项事业发展提供财力保障。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加强税源调查，完善税源台帐，摸清底数，重点服务；二是加强财税部门协作，建立健全税源基础信息共享机制；三是强化监管，以票管非税收入，严禁乱收费，严禁坐收坐支，依法征管，营造公平、公正、和谐的环境。四是做大做强总部经济，夯实财力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（二）不断调整和优化支出结构，落实各项惠民政策及推进财政资金绩效管理。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当前收支矛盾异常突出的形势，财政支出必须实现精细化管理，必须千方百计使财政资金发挥出最大效应。一是继续做到“四个确保”：确保国家标准工资按月足额发放，确保政府正常运转，确保社会保障资金及时到位，确保维护社会稳定需要；二是从严控制一般支出，严格控制“三公”支出，鼓励勤俭节约，反对铺张浪费；三是集中财力办大事，切实提高资金使用效益；五是充分发挥“一卡通“支付平台作用，不折不扣落实好各项惠民政策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（三）推进财政科学化、精细化管理。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完善乡镇国库集中支付改革；加强基础信息收集、录入，逐步完善财政基础信息数据库建设，夯实公共财政改革基础，规范资料档案管理。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（四）加强自身建设，提高创业服务水平。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不断加强财政人员政治和业务上的学习，提高干部把握方针政策、献计献策、服务经济发展能力；二是加强财政人员廉政教育，强化内部制度建设，确保财政人员安全、财政资金安全；三是大力开展财政宣传，争取社会各界理解和支持。同时，利用各种有利机会，不失时机地对乡属各部门、村、企事业单位的会计人员和报账员进行培训，切实提高全乡会计人员和报账员的职业道德和业务素质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2021年的财政工作任务十分艰巨，责任非常重大。我们将在乡党委、政府的正确领导下，在社会各界的大力支持下，依法接受人大监督，深入贯彻落实高质量发展，发扬求真务实、敢于担当的精神，扎实工作，锐意进取，为江村</w:t>
      </w:r>
      <w:r>
        <w:rPr>
          <w:rFonts w:ascii="仿宋_GB2312" w:hAnsi="仿宋_GB2312" w:eastAsia="仿宋_GB2312" w:cs="仿宋_GB2312"/>
          <w:sz w:val="32"/>
          <w:szCs w:val="32"/>
        </w:rPr>
        <w:t>高质量跨越式发展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贡献财政力量,以优异成绩迎接建党一百周年！</w:t>
      </w:r>
    </w:p>
    <w:p>
      <w:pPr>
        <w:autoSpaceDE w:val="0"/>
        <w:autoSpaceDN w:val="0"/>
        <w:adjustRightInd w:val="0"/>
        <w:rPr>
          <w:rFonts w:hint="eastAsia" w:ascii="仿宋_GB2312" w:hAnsi="宋体" w:eastAsia="仿宋_GB2312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hAnsi="宋体" w:eastAsia="仿宋_GB2312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1900"/>
    <w:rsid w:val="0EC5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440" w:lineRule="exact"/>
      <w:ind w:firstLine="48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ascii="宋体" w:hAnsi="华文中宋"/>
      <w:b/>
      <w:bCs/>
      <w:spacing w:val="-6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2021-05-20T09:32:00Z</dcterms:created>
  <dc:creator>、</dc:creator>
  <cp:lastModifiedBy>、</cp:lastModifiedBy>
  <dcterms:modified xsi:type="dcterms:W3CDTF">2021-05-20T09:33:07Z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23093669FA3E4F7EBFAAF6576BFB1B83</vt:lpwstr>
  </property>
</Properties>
</file>